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100C21" w14:textId="77777777" w:rsidR="00AC34B0" w:rsidRDefault="00000000">
      <w:pPr>
        <w:jc w:val="center"/>
        <w:rPr>
          <w:rFonts w:hint="eastAsia"/>
        </w:rPr>
      </w:pPr>
      <w:r>
        <w:rPr>
          <w:b/>
          <w:color w:val="57068C"/>
          <w:sz w:val="28"/>
        </w:rPr>
        <w:t>EMERGING TECHNOLOGIES</w:t>
      </w:r>
    </w:p>
    <w:p w14:paraId="60AE43B3" w14:textId="77777777" w:rsidR="00AC34B0" w:rsidRDefault="00000000">
      <w:pPr>
        <w:pStyle w:val="Title"/>
        <w:jc w:val="center"/>
      </w:pPr>
      <w:r>
        <w:t>Specialist Agent Record Template</w:t>
      </w:r>
    </w:p>
    <w:p w14:paraId="186811A8" w14:textId="77777777" w:rsidR="00AC34B0" w:rsidRDefault="00000000">
      <w:pPr>
        <w:jc w:val="center"/>
        <w:rPr>
          <w:rFonts w:hint="eastAsia"/>
        </w:rPr>
      </w:pPr>
      <w:r>
        <w:t>MASY1-GC 1800 | Assignments 2-8</w:t>
      </w:r>
    </w:p>
    <w:tbl>
      <w:tblPr>
        <w:tblW w:w="0" w:type="auto"/>
        <w:tblLook w:val="04A0" w:firstRow="1" w:lastRow="0" w:firstColumn="1" w:lastColumn="0" w:noHBand="0" w:noVBand="1"/>
      </w:tblPr>
      <w:tblGrid>
        <w:gridCol w:w="10454"/>
      </w:tblGrid>
      <w:tr w:rsidR="00AC34B0" w14:paraId="4598980F" w14:textId="77777777">
        <w:trPr>
          <w:cantSplit/>
        </w:trPr>
        <w:tc>
          <w:tcPr>
            <w:tcW w:w="10454" w:type="dxa"/>
            <w:shd w:val="clear" w:color="auto" w:fill="F3EDF7"/>
            <w:tcMar>
              <w:top w:w="90" w:type="dxa"/>
              <w:left w:w="120" w:type="dxa"/>
              <w:bottom w:w="90" w:type="dxa"/>
              <w:right w:w="120" w:type="dxa"/>
            </w:tcMar>
          </w:tcPr>
          <w:p w14:paraId="6B7A1586" w14:textId="77777777" w:rsidR="00AC34B0" w:rsidRDefault="00000000">
            <w:pPr>
              <w:pStyle w:val="Callout"/>
              <w:rPr>
                <w:rFonts w:hint="eastAsia"/>
              </w:rPr>
            </w:pPr>
            <w:r>
              <w:t>Complete this record from the evidence in your working scaffold. Keep it concise. The record documents what you specialized, how you tested it, what failed or changed, and what professional judgment you reached.</w:t>
            </w:r>
          </w:p>
        </w:tc>
      </w:tr>
    </w:tbl>
    <w:p w14:paraId="0A0E6453" w14:textId="77777777" w:rsidR="00AC34B0" w:rsidRDefault="00000000">
      <w:pPr>
        <w:pStyle w:val="Heading1"/>
        <w:keepNext/>
      </w:pPr>
      <w:r>
        <w:t>A. Agent and Version</w:t>
      </w:r>
    </w:p>
    <w:tbl>
      <w:tblPr>
        <w:tblStyle w:val="TableGrid"/>
        <w:tblW w:w="0" w:type="auto"/>
        <w:jc w:val="center"/>
        <w:tblLook w:val="04A0" w:firstRow="1" w:lastRow="0" w:firstColumn="1" w:lastColumn="0" w:noHBand="0" w:noVBand="1"/>
      </w:tblPr>
      <w:tblGrid>
        <w:gridCol w:w="5219"/>
        <w:gridCol w:w="5225"/>
      </w:tblGrid>
      <w:tr w:rsidR="00AC34B0" w14:paraId="75AC358C" w14:textId="77777777">
        <w:trPr>
          <w:jc w:val="center"/>
          <w:cantSplit/>
        </w:trPr>
        <w:tc>
          <w:tcPr>
            <w:tcW w:w="5227" w:type="dxa"/>
            <w:shd w:val="clear" w:color="auto" w:fill="57068C"/>
            <w:tcMar>
              <w:top w:w="70" w:type="dxa"/>
              <w:left w:w="90" w:type="dxa"/>
              <w:bottom w:w="70" w:type="dxa"/>
              <w:right w:w="90" w:type="dxa"/>
            </w:tcMar>
          </w:tcPr>
          <w:p w14:paraId="652B74B4" w14:textId="77777777" w:rsidR="00AC34B0" w:rsidRDefault="00000000">
            <w:pPr>
              <w:spacing w:after="20"/>
              <w:rPr>
                <w:rFonts w:hint="eastAsia"/>
              </w:rPr>
              <w:keepNext/>
            </w:pPr>
            <w:r>
              <w:rPr>
                <w:b/>
                <w:color w:val="FFFFFF"/>
                <w:sz w:val="17"/>
              </w:rPr>
              <w:t>Field</w:t>
            </w:r>
          </w:p>
        </w:tc>
        <w:tc>
          <w:tcPr>
            <w:tcW w:w="5227" w:type="dxa"/>
            <w:shd w:val="clear" w:color="auto" w:fill="57068C"/>
            <w:tcMar>
              <w:top w:w="70" w:type="dxa"/>
              <w:left w:w="90" w:type="dxa"/>
              <w:bottom w:w="70" w:type="dxa"/>
              <w:right w:w="90" w:type="dxa"/>
            </w:tcMar>
          </w:tcPr>
          <w:p w14:paraId="4F291234" w14:textId="77777777" w:rsidR="00AC34B0" w:rsidRDefault="00000000">
            <w:pPr>
              <w:spacing w:after="20"/>
              <w:rPr>
                <w:rFonts w:hint="eastAsia"/>
              </w:rPr>
              <w:keepNext/>
            </w:pPr>
            <w:r>
              <w:rPr>
                <w:b/>
                <w:color w:val="FFFFFF"/>
                <w:sz w:val="17"/>
              </w:rPr>
              <w:t>Student record</w:t>
            </w:r>
          </w:p>
        </w:tc>
      </w:tr>
      <w:tr w:rsidR="00AC34B0" w14:paraId="1B509F94" w14:textId="77777777">
        <w:trPr>
          <w:jc w:val="center"/>
          <w:cantSplit/>
        </w:trPr>
        <w:tc>
          <w:tcPr>
            <w:tcW w:w="5227" w:type="dxa"/>
            <w:tcMar>
              <w:top w:w="70" w:type="dxa"/>
              <w:left w:w="90" w:type="dxa"/>
              <w:bottom w:w="70" w:type="dxa"/>
              <w:right w:w="90" w:type="dxa"/>
            </w:tcMar>
          </w:tcPr>
          <w:p w14:paraId="6A8F21D6" w14:textId="77777777" w:rsidR="00AC34B0" w:rsidRDefault="00000000">
            <w:pPr>
              <w:spacing w:after="20"/>
              <w:rPr>
                <w:rFonts w:hint="eastAsia"/>
              </w:rPr>
            </w:pPr>
            <w:r>
              <w:rPr>
                <w:sz w:val="17"/>
              </w:rPr>
              <w:t>Student / team</w:t>
            </w:r>
          </w:p>
        </w:tc>
        <w:tc>
          <w:tcPr>
            <w:tcW w:w="5227" w:type="dxa"/>
            <w:tcMar>
              <w:top w:w="70" w:type="dxa"/>
              <w:left w:w="90" w:type="dxa"/>
              <w:bottom w:w="70" w:type="dxa"/>
              <w:right w:w="90" w:type="dxa"/>
            </w:tcMar>
          </w:tcPr>
          <w:p>
            <w:pPr>
              <w:spacing w:after="20"/>
              <w:rPr>
                <w:rFonts w:hint="eastAsia"/>
              </w:rPr>
            </w:pPr>
            <w:r>
              <w:t>Matthew Pecko</w:t>
            </w:r>
          </w:p>
        </w:tc>
      </w:tr>
      <w:tr w:rsidR="00AC34B0" w14:paraId="21C3AE15" w14:textId="77777777">
        <w:trPr>
          <w:jc w:val="center"/>
          <w:cantSplit/>
        </w:trPr>
        <w:tc>
          <w:tcPr>
            <w:tcW w:w="5227" w:type="dxa"/>
            <w:tcMar>
              <w:top w:w="70" w:type="dxa"/>
              <w:left w:w="90" w:type="dxa"/>
              <w:bottom w:w="70" w:type="dxa"/>
              <w:right w:w="90" w:type="dxa"/>
            </w:tcMar>
          </w:tcPr>
          <w:p w14:paraId="7F06AAD5" w14:textId="77777777" w:rsidR="00AC34B0" w:rsidRDefault="00000000">
            <w:pPr>
              <w:spacing w:after="20"/>
              <w:rPr>
                <w:rFonts w:hint="eastAsia"/>
              </w:rPr>
            </w:pPr>
            <w:r>
              <w:rPr>
                <w:sz w:val="17"/>
              </w:rPr>
              <w:t>Assignment / specialist agent</w:t>
            </w:r>
          </w:p>
        </w:tc>
        <w:tc>
          <w:tcPr>
            <w:tcW w:w="5227" w:type="dxa"/>
            <w:tcMar>
              <w:top w:w="70" w:type="dxa"/>
              <w:left w:w="90" w:type="dxa"/>
              <w:bottom w:w="70" w:type="dxa"/>
              <w:right w:w="90" w:type="dxa"/>
            </w:tcMar>
          </w:tcPr>
          <w:p>
            <w:pPr>
              <w:spacing w:after="20"/>
              <w:rPr>
                <w:rFonts w:hint="eastAsia"/>
              </w:rPr>
            </w:pPr>
            <w:r>
              <w:t>Assignment 7: Organizational Adoption Agent (v0.2.0)</w:t>
            </w:r>
          </w:p>
        </w:tc>
      </w:tr>
      <w:tr w:rsidR="00AC34B0" w14:paraId="21032AA7" w14:textId="77777777">
        <w:trPr>
          <w:jc w:val="center"/>
          <w:cantSplit/>
        </w:trPr>
        <w:tc>
          <w:tcPr>
            <w:tcW w:w="5227" w:type="dxa"/>
            <w:tcMar>
              <w:top w:w="70" w:type="dxa"/>
              <w:left w:w="90" w:type="dxa"/>
              <w:bottom w:w="70" w:type="dxa"/>
              <w:right w:w="90" w:type="dxa"/>
            </w:tcMar>
          </w:tcPr>
          <w:p w14:paraId="6AFA3265" w14:textId="77777777" w:rsidR="00AC34B0" w:rsidRDefault="00000000">
            <w:pPr>
              <w:spacing w:after="20"/>
              <w:rPr>
                <w:rFonts w:hint="eastAsia"/>
              </w:rPr>
            </w:pPr>
            <w:r>
              <w:rPr>
                <w:sz w:val="17"/>
              </w:rPr>
              <w:t>Date</w:t>
            </w:r>
          </w:p>
        </w:tc>
        <w:tc>
          <w:tcPr>
            <w:tcW w:w="5227" w:type="dxa"/>
            <w:tcMar>
              <w:top w:w="70" w:type="dxa"/>
              <w:left w:w="90" w:type="dxa"/>
              <w:bottom w:w="70" w:type="dxa"/>
              <w:right w:w="90" w:type="dxa"/>
            </w:tcMar>
          </w:tcPr>
          <w:p>
            <w:pPr>
              <w:spacing w:after="20"/>
              <w:rPr>
                <w:rFonts w:hint="eastAsia"/>
              </w:rPr>
            </w:pPr>
            <w:r>
              <w:t>10/14/2026</w:t>
            </w:r>
          </w:p>
        </w:tc>
      </w:tr>
      <w:tr w:rsidR="00AC34B0" w14:paraId="60BF2E23" w14:textId="77777777">
        <w:trPr>
          <w:jc w:val="center"/>
          <w:cantSplit/>
        </w:trPr>
        <w:tc>
          <w:tcPr>
            <w:tcW w:w="5227" w:type="dxa"/>
            <w:tcMar>
              <w:top w:w="70" w:type="dxa"/>
              <w:left w:w="90" w:type="dxa"/>
              <w:bottom w:w="70" w:type="dxa"/>
              <w:right w:w="90" w:type="dxa"/>
            </w:tcMar>
          </w:tcPr>
          <w:p w14:paraId="11880E81" w14:textId="77777777" w:rsidR="00AC34B0" w:rsidRDefault="00000000">
            <w:pPr>
              <w:spacing w:after="20"/>
              <w:rPr>
                <w:rFonts w:hint="eastAsia"/>
              </w:rPr>
            </w:pPr>
            <w:r>
              <w:rPr>
                <w:sz w:val="17"/>
              </w:rPr>
              <w:t>GitHub repository</w:t>
            </w:r>
          </w:p>
        </w:tc>
        <w:tc>
          <w:tcPr>
            <w:tcW w:w="5227" w:type="dxa"/>
            <w:tcMar>
              <w:top w:w="70" w:type="dxa"/>
              <w:left w:w="90" w:type="dxa"/>
              <w:bottom w:w="70" w:type="dxa"/>
              <w:right w:w="90" w:type="dxa"/>
            </w:tcMar>
          </w:tcPr>
          <w:p>
            <w:pPr>
              <w:spacing w:after="20"/>
              <w:rPr>
                <w:rFonts w:hint="eastAsia"/>
              </w:rPr>
            </w:pPr>
            <w:r>
              <w:t>https://github.com/Matthew1172/assignment-7-organizational-adoption-agent</w:t>
            </w:r>
          </w:p>
        </w:tc>
      </w:tr>
      <w:tr w:rsidR="00AC34B0" w14:paraId="056F9757" w14:textId="77777777">
        <w:trPr>
          <w:jc w:val="center"/>
          <w:cantSplit/>
        </w:trPr>
        <w:tc>
          <w:tcPr>
            <w:tcW w:w="5227" w:type="dxa"/>
            <w:tcMar>
              <w:top w:w="70" w:type="dxa"/>
              <w:left w:w="90" w:type="dxa"/>
              <w:bottom w:w="70" w:type="dxa"/>
              <w:right w:w="90" w:type="dxa"/>
            </w:tcMar>
          </w:tcPr>
          <w:p w14:paraId="2159D201" w14:textId="77777777" w:rsidR="00AC34B0" w:rsidRDefault="00000000">
            <w:pPr>
              <w:spacing w:after="20"/>
              <w:rPr>
                <w:rFonts w:hint="eastAsia"/>
              </w:rPr>
            </w:pPr>
            <w:r>
              <w:rPr>
                <w:sz w:val="17"/>
              </w:rPr>
              <w:t>Branch</w:t>
            </w:r>
          </w:p>
        </w:tc>
        <w:tc>
          <w:tcPr>
            <w:tcW w:w="5227" w:type="dxa"/>
            <w:tcMar>
              <w:top w:w="70" w:type="dxa"/>
              <w:left w:w="90" w:type="dxa"/>
              <w:bottom w:w="70" w:type="dxa"/>
              <w:right w:w="90" w:type="dxa"/>
            </w:tcMar>
          </w:tcPr>
          <w:p>
            <w:pPr>
              <w:spacing w:after="20"/>
              <w:rPr>
                <w:rFonts w:hint="eastAsia"/>
              </w:rPr>
            </w:pPr>
            <w:r>
              <w:t>main</w:t>
            </w:r>
          </w:p>
        </w:tc>
      </w:tr>
      <w:tr w:rsidR="00AC34B0" w14:paraId="26147C2A" w14:textId="77777777">
        <w:trPr>
          <w:jc w:val="center"/>
          <w:cantSplit/>
        </w:trPr>
        <w:tc>
          <w:tcPr>
            <w:tcW w:w="5227" w:type="dxa"/>
            <w:tcMar>
              <w:top w:w="70" w:type="dxa"/>
              <w:left w:w="90" w:type="dxa"/>
              <w:bottom w:w="70" w:type="dxa"/>
              <w:right w:w="90" w:type="dxa"/>
            </w:tcMar>
          </w:tcPr>
          <w:p w14:paraId="250D9DB4" w14:textId="77777777" w:rsidR="00AC34B0" w:rsidRDefault="00000000">
            <w:pPr>
              <w:spacing w:after="20"/>
              <w:rPr>
                <w:rFonts w:hint="eastAsia"/>
              </w:rPr>
            </w:pPr>
            <w:r>
              <w:rPr>
                <w:sz w:val="17"/>
              </w:rPr>
              <w:t>Commit</w:t>
            </w:r>
          </w:p>
        </w:tc>
        <w:tc>
          <w:tcPr>
            <w:tcW w:w="5227" w:type="dxa"/>
            <w:tcMar>
              <w:top w:w="70" w:type="dxa"/>
              <w:left w:w="90" w:type="dxa"/>
              <w:bottom w:w="70" w:type="dxa"/>
              <w:right w:w="90" w:type="dxa"/>
            </w:tcMar>
          </w:tcPr>
          <w:p>
            <w:pPr>
              <w:spacing w:after="20"/>
              <w:rPr>
                <w:rFonts w:hint="eastAsia"/>
              </w:rPr>
            </w:pPr>
            <w:r>
              <w:t>a4a55b2a859473023b2d1b2b6608614d71e17f4b</w:t>
            </w:r>
          </w:p>
        </w:tc>
      </w:tr>
      <w:tr w:rsidR="00AC34B0" w14:paraId="0FDCC695" w14:textId="77777777">
        <w:trPr>
          <w:jc w:val="center"/>
          <w:cantSplit/>
        </w:trPr>
        <w:tc>
          <w:tcPr>
            <w:tcW w:w="5227" w:type="dxa"/>
            <w:tcMar>
              <w:top w:w="70" w:type="dxa"/>
              <w:left w:w="90" w:type="dxa"/>
              <w:bottom w:w="70" w:type="dxa"/>
              <w:right w:w="90" w:type="dxa"/>
            </w:tcMar>
          </w:tcPr>
          <w:p w14:paraId="7AEC1B37" w14:textId="77777777" w:rsidR="00AC34B0" w:rsidRDefault="00000000">
            <w:pPr>
              <w:spacing w:after="20"/>
              <w:rPr>
                <w:rFonts w:hint="eastAsia"/>
              </w:rPr>
            </w:pPr>
            <w:r>
              <w:rPr>
                <w:sz w:val="17"/>
              </w:rPr>
              <w:t>Frozen scaffold version</w:t>
            </w:r>
          </w:p>
        </w:tc>
        <w:tc>
          <w:tcPr>
            <w:tcW w:w="5227" w:type="dxa"/>
            <w:tcMar>
              <w:top w:w="70" w:type="dxa"/>
              <w:left w:w="90" w:type="dxa"/>
              <w:bottom w:w="70" w:type="dxa"/>
              <w:right w:w="90" w:type="dxa"/>
            </w:tcMar>
          </w:tcPr>
          <w:p>
            <w:pPr>
              <w:spacing w:after="20"/>
              <w:rPr>
                <w:rFonts w:hint="eastAsia"/>
              </w:rPr>
            </w:pPr>
            <w:r>
              <w:rPr>
                <w:sz w:val="17"/>
              </w:rPr>
              <w:t>MASY1800_ET_Agent_Scaffold_v1_0</w:t>
            </w:r>
          </w:p>
        </w:tc>
      </w:tr>
    </w:tbl>
    <w:p w14:paraId="23BAFDA0" w14:textId="77777777" w:rsidR="00AC34B0" w:rsidRDefault="00000000">
      <w:pPr>
        <w:pStyle w:val="Heading1"/>
        <w:keepNext/>
      </w:pPr>
      <w:r>
        <w:t>B. Specialist Purpose and Context</w:t>
      </w:r>
    </w:p>
    <w:tbl>
      <w:tblPr>
        <w:tblStyle w:val="TableGrid"/>
        <w:tblW w:w="0" w:type="auto"/>
        <w:jc w:val="center"/>
        <w:tblLook w:val="04A0" w:firstRow="1" w:lastRow="0" w:firstColumn="1" w:lastColumn="0" w:noHBand="0" w:noVBand="1"/>
      </w:tblPr>
      <w:tblGrid>
        <w:gridCol w:w="5222"/>
        <w:gridCol w:w="5222"/>
      </w:tblGrid>
      <w:tr w:rsidR="00AC34B0" w14:paraId="2C5BA553" w14:textId="77777777">
        <w:trPr>
          <w:jc w:val="center"/>
          <w:cantSplit/>
        </w:trPr>
        <w:tc>
          <w:tcPr>
            <w:tcW w:w="5227" w:type="dxa"/>
            <w:shd w:val="clear" w:color="auto" w:fill="57068C"/>
            <w:tcMar>
              <w:top w:w="70" w:type="dxa"/>
              <w:left w:w="90" w:type="dxa"/>
              <w:bottom w:w="70" w:type="dxa"/>
              <w:right w:w="90" w:type="dxa"/>
            </w:tcMar>
          </w:tcPr>
          <w:p w14:paraId="57A09F24" w14:textId="77777777" w:rsidR="00AC34B0" w:rsidRDefault="00000000">
            <w:pPr>
              <w:spacing w:after="20"/>
              <w:rPr>
                <w:rFonts w:hint="eastAsia"/>
              </w:rPr>
              <w:keepNext/>
            </w:pPr>
            <w:r>
              <w:rPr>
                <w:b/>
                <w:color w:val="FFFFFF"/>
                <w:sz w:val="17"/>
              </w:rPr>
              <w:t>Field</w:t>
            </w:r>
          </w:p>
        </w:tc>
        <w:tc>
          <w:tcPr>
            <w:tcW w:w="5227" w:type="dxa"/>
            <w:shd w:val="clear" w:color="auto" w:fill="57068C"/>
            <w:tcMar>
              <w:top w:w="70" w:type="dxa"/>
              <w:left w:w="90" w:type="dxa"/>
              <w:bottom w:w="70" w:type="dxa"/>
              <w:right w:w="90" w:type="dxa"/>
            </w:tcMar>
          </w:tcPr>
          <w:p w14:paraId="480614E0" w14:textId="77777777" w:rsidR="00AC34B0" w:rsidRDefault="00000000">
            <w:pPr>
              <w:spacing w:after="20"/>
              <w:rPr>
                <w:rFonts w:hint="eastAsia"/>
              </w:rPr>
              <w:keepNext/>
            </w:pPr>
            <w:r>
              <w:rPr>
                <w:b/>
                <w:color w:val="FFFFFF"/>
                <w:sz w:val="17"/>
              </w:rPr>
              <w:t>Student record</w:t>
            </w:r>
          </w:p>
        </w:tc>
      </w:tr>
      <w:tr w:rsidR="00AC34B0" w14:paraId="1FD644E9" w14:textId="77777777">
        <w:trPr>
          <w:jc w:val="center"/>
          <w:cantSplit/>
        </w:trPr>
        <w:tc>
          <w:tcPr>
            <w:tcW w:w="5227" w:type="dxa"/>
            <w:tcMar>
              <w:top w:w="70" w:type="dxa"/>
              <w:left w:w="90" w:type="dxa"/>
              <w:bottom w:w="70" w:type="dxa"/>
              <w:right w:w="90" w:type="dxa"/>
            </w:tcMar>
          </w:tcPr>
          <w:p w14:paraId="52E233B9" w14:textId="77777777" w:rsidR="00AC34B0" w:rsidRDefault="00000000">
            <w:pPr>
              <w:spacing w:after="20"/>
              <w:rPr>
                <w:rFonts w:hint="eastAsia"/>
              </w:rPr>
            </w:pPr>
            <w:r>
              <w:rPr>
                <w:sz w:val="17"/>
              </w:rPr>
              <w:t>Governing analytical question</w:t>
            </w:r>
          </w:p>
        </w:tc>
        <w:tc>
          <w:tcPr>
            <w:tcW w:w="5227" w:type="dxa"/>
            <w:tcMar>
              <w:top w:w="70" w:type="dxa"/>
              <w:left w:w="90" w:type="dxa"/>
              <w:bottom w:w="70" w:type="dxa"/>
              <w:right w:w="90" w:type="dxa"/>
            </w:tcMar>
          </w:tcPr>
          <w:p>
            <w:pPr>
              <w:spacing w:after="20"/>
              <w:rPr>
                <w:rFonts w:hint="eastAsia"/>
              </w:rPr>
            </w:pPr>
            <w:r>
              <w:t>Even if adoption is strategically appropriate, can this organization actually absorb, govern, and sustain the proposed application?</w:t>
            </w:r>
          </w:p>
        </w:tc>
      </w:tr>
      <w:tr w:rsidR="00AC34B0" w14:paraId="6403C060" w14:textId="77777777">
        <w:trPr>
          <w:jc w:val="center"/>
          <w:cantSplit/>
        </w:trPr>
        <w:tc>
          <w:tcPr>
            <w:tcW w:w="5227" w:type="dxa"/>
            <w:tcMar>
              <w:top w:w="70" w:type="dxa"/>
              <w:left w:w="90" w:type="dxa"/>
              <w:bottom w:w="70" w:type="dxa"/>
              <w:right w:w="90" w:type="dxa"/>
            </w:tcMar>
          </w:tcPr>
          <w:p w14:paraId="7A1E6EE4" w14:textId="77777777" w:rsidR="00AC34B0" w:rsidRDefault="00000000">
            <w:pPr>
              <w:spacing w:after="20"/>
              <w:rPr>
                <w:rFonts w:hint="eastAsia"/>
              </w:rPr>
            </w:pPr>
            <w:r>
              <w:rPr>
                <w:sz w:val="17"/>
              </w:rPr>
              <w:t>Emerging technology</w:t>
            </w:r>
          </w:p>
        </w:tc>
        <w:tc>
          <w:tcPr>
            <w:tcW w:w="5227" w:type="dxa"/>
            <w:tcMar>
              <w:top w:w="70" w:type="dxa"/>
              <w:left w:w="90" w:type="dxa"/>
              <w:bottom w:w="70" w:type="dxa"/>
              <w:right w:w="90" w:type="dxa"/>
            </w:tcMar>
          </w:tcPr>
          <w:p>
            <w:pPr>
              <w:spacing w:after="20"/>
              <w:rPr>
                <w:rFonts w:hint="eastAsia"/>
              </w:rPr>
            </w:pPr>
            <w:r>
              <w:t>Synchronized digital twins of a manufacturing production line</w:t>
            </w:r>
          </w:p>
        </w:tc>
      </w:tr>
      <w:tr w:rsidR="00AC34B0" w14:paraId="6E122638" w14:textId="77777777">
        <w:trPr>
          <w:jc w:val="center"/>
          <w:cantSplit/>
        </w:trPr>
        <w:tc>
          <w:tcPr>
            <w:tcW w:w="5227" w:type="dxa"/>
            <w:tcMar>
              <w:top w:w="70" w:type="dxa"/>
              <w:left w:w="90" w:type="dxa"/>
              <w:bottom w:w="70" w:type="dxa"/>
              <w:right w:w="90" w:type="dxa"/>
            </w:tcMar>
          </w:tcPr>
          <w:p w14:paraId="7EF81BE1" w14:textId="77777777" w:rsidR="00AC34B0" w:rsidRDefault="00000000">
            <w:pPr>
              <w:spacing w:after="20"/>
              <w:rPr>
                <w:rFonts w:hint="eastAsia"/>
              </w:rPr>
            </w:pPr>
            <w:r>
              <w:rPr>
                <w:sz w:val="17"/>
              </w:rPr>
              <w:t>Intended application</w:t>
            </w:r>
          </w:p>
        </w:tc>
        <w:tc>
          <w:tcPr>
            <w:tcW w:w="5227" w:type="dxa"/>
            <w:tcMar>
              <w:top w:w="70" w:type="dxa"/>
              <w:left w:w="90" w:type="dxa"/>
              <w:bottom w:w="70" w:type="dxa"/>
              <w:right w:w="90" w:type="dxa"/>
            </w:tcMar>
          </w:tcPr>
          <w:p>
            <w:pPr>
              <w:spacing w:after="20"/>
              <w:rPr>
                <w:rFonts w:hint="eastAsia"/>
              </w:rPr>
            </w:pPr>
            <w:r>
              <w:t>Use a read-only digital twin of one packaging line to support maintenance planning; supervisors retain all equipment decisions.</w:t>
            </w:r>
          </w:p>
        </w:tc>
      </w:tr>
      <w:tr w:rsidR="00AC34B0" w14:paraId="6EB467A5" w14:textId="77777777">
        <w:trPr>
          <w:jc w:val="center"/>
          <w:cantSplit/>
        </w:trPr>
        <w:tc>
          <w:tcPr>
            <w:tcW w:w="5227" w:type="dxa"/>
            <w:tcMar>
              <w:top w:w="70" w:type="dxa"/>
              <w:left w:w="90" w:type="dxa"/>
              <w:bottom w:w="70" w:type="dxa"/>
              <w:right w:w="90" w:type="dxa"/>
            </w:tcMar>
          </w:tcPr>
          <w:p w14:paraId="49513744" w14:textId="77777777" w:rsidR="00AC34B0" w:rsidRDefault="00000000">
            <w:pPr>
              <w:spacing w:after="20"/>
              <w:rPr>
                <w:rFonts w:hint="eastAsia"/>
              </w:rPr>
            </w:pPr>
            <w:r>
              <w:rPr>
                <w:sz w:val="17"/>
              </w:rPr>
              <w:t>Organization / industry</w:t>
            </w:r>
          </w:p>
        </w:tc>
        <w:tc>
          <w:tcPr>
            <w:tcW w:w="5227" w:type="dxa"/>
            <w:tcMar>
              <w:top w:w="70" w:type="dxa"/>
              <w:left w:w="90" w:type="dxa"/>
              <w:bottom w:w="70" w:type="dxa"/>
              <w:right w:w="90" w:type="dxa"/>
            </w:tcMar>
          </w:tcPr>
          <w:p>
            <w:pPr>
              <w:spacing w:after="20"/>
              <w:rPr>
                <w:rFonts w:hint="eastAsia"/>
              </w:rPr>
            </w:pPr>
            <w:r>
              <w:t>A hypothetical mid-sized food packaging manufacturer. Food packaging manufacturing.</w:t>
            </w:r>
          </w:p>
        </w:tc>
      </w:tr>
      <w:tr w:rsidR="00AC34B0" w14:paraId="243D9655" w14:textId="77777777">
        <w:trPr>
          <w:jc w:val="center"/>
          <w:cantSplit/>
        </w:trPr>
        <w:tc>
          <w:tcPr>
            <w:tcW w:w="5227" w:type="dxa"/>
            <w:tcMar>
              <w:top w:w="70" w:type="dxa"/>
              <w:left w:w="90" w:type="dxa"/>
              <w:bottom w:w="70" w:type="dxa"/>
              <w:right w:w="90" w:type="dxa"/>
            </w:tcMar>
          </w:tcPr>
          <w:p w14:paraId="19F928E5" w14:textId="77777777" w:rsidR="00AC34B0" w:rsidRDefault="00000000">
            <w:pPr>
              <w:spacing w:after="20"/>
              <w:rPr>
                <w:rFonts w:hint="eastAsia"/>
              </w:rPr>
            </w:pPr>
            <w:r>
              <w:rPr>
                <w:sz w:val="17"/>
              </w:rPr>
              <w:t>Adoption posture</w:t>
            </w:r>
          </w:p>
        </w:tc>
        <w:tc>
          <w:tcPr>
            <w:tcW w:w="5227" w:type="dxa"/>
            <w:tcMar>
              <w:top w:w="70" w:type="dxa"/>
              <w:left w:w="90" w:type="dxa"/>
              <w:bottom w:w="70" w:type="dxa"/>
              <w:right w:w="90" w:type="dxa"/>
            </w:tcMar>
          </w:tcPr>
          <w:p>
            <w:pPr>
              <w:spacing w:after="20"/>
              <w:rPr>
                <w:rFonts w:hint="eastAsia"/>
              </w:rPr>
            </w:pPr>
            <w:r>
              <w:t>Fast follower</w:t>
            </w:r>
          </w:p>
        </w:tc>
      </w:tr>
      <w:tr w:rsidR="00AC34B0" w14:paraId="2F0A6CF3" w14:textId="77777777">
        <w:trPr>
          <w:jc w:val="center"/>
          <w:cantSplit/>
        </w:trPr>
        <w:tc>
          <w:tcPr>
            <w:tcW w:w="5227" w:type="dxa"/>
            <w:tcMar>
              <w:top w:w="70" w:type="dxa"/>
              <w:left w:w="90" w:type="dxa"/>
              <w:bottom w:w="70" w:type="dxa"/>
              <w:right w:w="90" w:type="dxa"/>
            </w:tcMar>
          </w:tcPr>
          <w:p w14:paraId="69BCF159" w14:textId="77777777" w:rsidR="00AC34B0" w:rsidRDefault="00000000">
            <w:pPr>
              <w:spacing w:after="20"/>
              <w:rPr>
                <w:rFonts w:hint="eastAsia"/>
              </w:rPr>
            </w:pPr>
            <w:r>
              <w:rPr>
                <w:sz w:val="17"/>
              </w:rPr>
              <w:t>Risk / consequence context</w:t>
            </w:r>
          </w:p>
        </w:tc>
        <w:tc>
          <w:tcPr>
            <w:tcW w:w="5227" w:type="dxa"/>
            <w:tcMar>
              <w:top w:w="70" w:type="dxa"/>
              <w:left w:w="90" w:type="dxa"/>
              <w:bottom w:w="70" w:type="dxa"/>
              <w:right w:w="90" w:type="dxa"/>
            </w:tcMar>
          </w:tcPr>
          <w:p>
            <w:pPr>
              <w:spacing w:after="20"/>
              <w:rPr>
                <w:rFonts w:hint="eastAsia"/>
              </w:rPr>
            </w:pPr>
            <w:r>
              <w:t>A wrong alert could cause unnecessary shutdown or a missed fault.</w:t>
            </w:r>
          </w:p>
        </w:tc>
      </w:tr>
      <w:tr w:rsidR="00AC34B0" w14:paraId="6D23E782" w14:textId="77777777">
        <w:trPr>
          <w:jc w:val="center"/>
          <w:cantSplit/>
        </w:trPr>
        <w:tc>
          <w:tcPr>
            <w:tcW w:w="5227" w:type="dxa"/>
            <w:tcMar>
              <w:top w:w="70" w:type="dxa"/>
              <w:left w:w="90" w:type="dxa"/>
              <w:bottom w:w="70" w:type="dxa"/>
              <w:right w:w="90" w:type="dxa"/>
            </w:tcMar>
          </w:tcPr>
          <w:p w14:paraId="3E02837D" w14:textId="77777777" w:rsidR="00AC34B0" w:rsidRDefault="00000000">
            <w:pPr>
              <w:spacing w:after="20"/>
              <w:rPr>
                <w:rFonts w:hint="eastAsia"/>
              </w:rPr>
            </w:pPr>
            <w:r>
              <w:rPr>
                <w:sz w:val="17"/>
              </w:rPr>
              <w:t>Management question / time horizon</w:t>
            </w:r>
          </w:p>
        </w:tc>
        <w:tc>
          <w:tcPr>
            <w:tcW w:w="5227" w:type="dxa"/>
            <w:tcMar>
              <w:top w:w="70" w:type="dxa"/>
              <w:left w:w="90" w:type="dxa"/>
              <w:bottom w:w="70" w:type="dxa"/>
              <w:right w:w="90" w:type="dxa"/>
            </w:tcMar>
          </w:tcPr>
          <w:p>
            <w:pPr>
              <w:spacing w:after="20"/>
              <w:rPr>
                <w:rFonts w:hint="eastAsia"/>
              </w:rPr>
            </w:pPr>
            <w:r>
              <w:t>Even if adoption is strategically appropriate, can this organization actually absorb, govern, and sustain the proposed application? Decide on a bounded pilot within 6–12 months.</w:t>
            </w:r>
          </w:p>
        </w:tc>
      </w:tr>
    </w:tbl>
    <w:p w14:paraId="15754551" w14:textId="77777777" w:rsidR="00AC34B0" w:rsidRDefault="00000000">
      <w:pPr>
        <w:pStyle w:val="Heading1"/>
        <w:keepNext/>
      </w:pPr>
      <w:r>
        <w:t>C. Three-Level Finding</w:t>
      </w:r>
    </w:p>
    <w:tbl>
      <w:tblPr>
        <w:tblStyle w:val="TableGrid"/>
        <w:tblW w:w="0" w:type="auto"/>
        <w:jc w:val="center"/>
        <w:tblLook w:val="04A0" w:firstRow="1" w:lastRow="0" w:firstColumn="1" w:lastColumn="0" w:noHBand="0" w:noVBand="1"/>
      </w:tblPr>
      <w:tblGrid>
        <w:gridCol w:w="5222"/>
        <w:gridCol w:w="5222"/>
      </w:tblGrid>
      <w:tr w:rsidR="00AC34B0" w14:paraId="2107CF2E" w14:textId="77777777" w:rsidTr="009F63B8">
        <w:trPr>
          <w:jc w:val="center"/>
          <w:cantSplit/>
        </w:trPr>
        <w:tc>
          <w:tcPr>
            <w:tcW w:w="5222" w:type="dxa"/>
            <w:shd w:val="clear" w:color="auto" w:fill="57068C"/>
            <w:tcMar>
              <w:top w:w="70" w:type="dxa"/>
              <w:left w:w="90" w:type="dxa"/>
              <w:bottom w:w="70" w:type="dxa"/>
              <w:right w:w="90" w:type="dxa"/>
            </w:tcMar>
          </w:tcPr>
          <w:p w14:paraId="4EF0E068" w14:textId="77777777" w:rsidR="00AC34B0" w:rsidRDefault="00000000">
            <w:pPr>
              <w:spacing w:after="20"/>
              <w:rPr>
                <w:rFonts w:hint="eastAsia"/>
              </w:rPr>
              <w:keepNext/>
            </w:pPr>
            <w:r>
              <w:rPr>
                <w:b/>
                <w:color w:val="FFFFFF"/>
                <w:sz w:val="17"/>
              </w:rPr>
              <w:t>Field</w:t>
            </w:r>
          </w:p>
        </w:tc>
        <w:tc>
          <w:tcPr>
            <w:tcW w:w="5222" w:type="dxa"/>
            <w:shd w:val="clear" w:color="auto" w:fill="57068C"/>
            <w:tcMar>
              <w:top w:w="70" w:type="dxa"/>
              <w:left w:w="90" w:type="dxa"/>
              <w:bottom w:w="70" w:type="dxa"/>
              <w:right w:w="90" w:type="dxa"/>
            </w:tcMar>
          </w:tcPr>
          <w:p w14:paraId="09DDE787" w14:textId="77777777" w:rsidR="00AC34B0" w:rsidRDefault="00000000">
            <w:pPr>
              <w:spacing w:after="20"/>
              <w:rPr>
                <w:rFonts w:hint="eastAsia"/>
              </w:rPr>
              <w:keepNext/>
            </w:pPr>
            <w:r>
              <w:rPr>
                <w:b/>
                <w:color w:val="FFFFFF"/>
                <w:sz w:val="17"/>
              </w:rPr>
              <w:t>Student record</w:t>
            </w:r>
          </w:p>
        </w:tc>
      </w:tr>
      <w:tr w:rsidR="009F63B8" w14:paraId="5AC02737" w14:textId="77777777" w:rsidTr="009F63B8">
        <w:trPr>
          <w:jc w:val="center"/>
          <w:cantSplit/>
        </w:trPr>
        <w:tc>
          <w:tcPr>
            <w:tcW w:w="5222" w:type="dxa"/>
            <w:tcMar>
              <w:top w:w="70" w:type="dxa"/>
              <w:left w:w="90" w:type="dxa"/>
              <w:bottom w:w="70" w:type="dxa"/>
              <w:right w:w="90" w:type="dxa"/>
            </w:tcMar>
          </w:tcPr>
          <w:p w14:paraId="43A3E6D6" w14:textId="77777777" w:rsidR="009F63B8" w:rsidRDefault="009F63B8" w:rsidP="009F63B8">
            <w:pPr>
              <w:spacing w:after="20"/>
              <w:rPr>
                <w:rFonts w:hint="eastAsia"/>
              </w:rPr>
            </w:pPr>
            <w:r>
              <w:rPr>
                <w:sz w:val="17"/>
              </w:rPr>
              <w:lastRenderedPageBreak/>
              <w:t>ET generally</w:t>
            </w:r>
          </w:p>
        </w:tc>
        <w:tc>
          <w:tcPr>
            <w:tcW w:w="5222" w:type="dxa"/>
            <w:tcMar>
              <w:top w:w="70" w:type="dxa"/>
              <w:left w:w="90" w:type="dxa"/>
              <w:bottom w:w="70" w:type="dxa"/>
              <w:right w:w="90" w:type="dxa"/>
            </w:tcMar>
          </w:tcPr>
          <w:p>
            <w:pPr>
              <w:spacing w:after="20"/>
              <w:rPr>
                <w:rFonts w:hint="eastAsia"/>
              </w:rPr>
            </w:pPr>
            <w:r>
              <w:t>Manufacturing digital twins require credible models and validation. Organizational readiness is a separate question; a firm’s missing owner does not make the technology immature.</w:t>
            </w:r>
          </w:p>
        </w:tc>
      </w:tr>
      <w:tr w:rsidR="009F63B8" w14:paraId="6EAF3937" w14:textId="77777777" w:rsidTr="009F63B8">
        <w:trPr>
          <w:jc w:val="center"/>
          <w:cantSplit/>
        </w:trPr>
        <w:tc>
          <w:tcPr>
            <w:tcW w:w="5222" w:type="dxa"/>
            <w:tcMar>
              <w:top w:w="70" w:type="dxa"/>
              <w:left w:w="90" w:type="dxa"/>
              <w:bottom w:w="70" w:type="dxa"/>
              <w:right w:w="90" w:type="dxa"/>
            </w:tcMar>
          </w:tcPr>
          <w:p w14:paraId="18AD4E5D" w14:textId="77777777" w:rsidR="009F63B8" w:rsidRDefault="009F63B8" w:rsidP="009F63B8">
            <w:pPr>
              <w:spacing w:after="20"/>
              <w:rPr>
                <w:rFonts w:hint="eastAsia"/>
              </w:rPr>
            </w:pPr>
            <w:r>
              <w:rPr>
                <w:sz w:val="17"/>
              </w:rPr>
              <w:t>ET for this application</w:t>
            </w:r>
          </w:p>
        </w:tc>
        <w:tc>
          <w:tcPr>
            <w:tcW w:w="5222" w:type="dxa"/>
            <w:tcMar>
              <w:top w:w="70" w:type="dxa"/>
              <w:left w:w="90" w:type="dxa"/>
              <w:bottom w:w="70" w:type="dxa"/>
              <w:right w:w="90" w:type="dxa"/>
            </w:tcMar>
          </w:tcPr>
          <w:p>
            <w:pPr>
              <w:spacing w:after="20"/>
              <w:rPr>
                <w:rFonts w:hint="eastAsia"/>
              </w:rPr>
            </w:pPr>
            <w:r>
              <w:t>A read-only maintenance twin allows bounded learning while supervisors retain equipment decisions. Alerts still need validation before influencing shutdowns.</w:t>
            </w:r>
          </w:p>
        </w:tc>
      </w:tr>
      <w:tr w:rsidR="009F63B8" w14:paraId="2FFA6F2A" w14:textId="77777777" w:rsidTr="009F63B8">
        <w:trPr>
          <w:jc w:val="center"/>
          <w:cantSplit/>
        </w:trPr>
        <w:tc>
          <w:tcPr>
            <w:tcW w:w="5222" w:type="dxa"/>
            <w:tcMar>
              <w:top w:w="70" w:type="dxa"/>
              <w:left w:w="90" w:type="dxa"/>
              <w:bottom w:w="70" w:type="dxa"/>
              <w:right w:w="90" w:type="dxa"/>
            </w:tcMar>
          </w:tcPr>
          <w:p w14:paraId="5332D55C" w14:textId="77777777" w:rsidR="009F63B8" w:rsidRDefault="009F63B8" w:rsidP="009F63B8">
            <w:pPr>
              <w:spacing w:after="20"/>
              <w:rPr>
                <w:rFonts w:hint="eastAsia"/>
              </w:rPr>
            </w:pPr>
            <w:r>
              <w:rPr>
                <w:sz w:val="17"/>
              </w:rPr>
              <w:t>ET for this application in this organization</w:t>
            </w:r>
          </w:p>
        </w:tc>
        <w:tc>
          <w:tcPr>
            <w:tcW w:w="5222" w:type="dxa"/>
            <w:tcMar>
              <w:top w:w="70" w:type="dxa"/>
              <w:left w:w="90" w:type="dxa"/>
              <w:bottom w:w="70" w:type="dxa"/>
              <w:right w:w="90" w:type="dxa"/>
            </w:tcMar>
          </w:tcPr>
          <w:p>
            <w:pPr>
              <w:spacing w:after="20"/>
              <w:rPr>
                <w:rFonts w:hint="eastAsia"/>
              </w:rPr>
            </w:pPr>
            <w:r>
              <w:t>The hypothetical manufacturer has pilot sponsorship, engineering time, and funding. It lacks a named post-pilot model owner, and model fit remains unvalidated.</w:t>
            </w:r>
          </w:p>
        </w:tc>
      </w:tr>
      <w:tr w:rsidR="009F63B8" w14:paraId="7EB46E1E" w14:textId="77777777" w:rsidTr="009F63B8">
        <w:trPr>
          <w:jc w:val="center"/>
          <w:cantSplit/>
        </w:trPr>
        <w:tc>
          <w:tcPr>
            <w:tcW w:w="5222" w:type="dxa"/>
            <w:tcMar>
              <w:top w:w="70" w:type="dxa"/>
              <w:left w:w="90" w:type="dxa"/>
              <w:bottom w:w="70" w:type="dxa"/>
              <w:right w:w="90" w:type="dxa"/>
            </w:tcMar>
          </w:tcPr>
          <w:p w14:paraId="35876CB5" w14:textId="77777777" w:rsidR="009F63B8" w:rsidRDefault="009F63B8" w:rsidP="009F63B8">
            <w:pPr>
              <w:spacing w:after="20"/>
              <w:rPr>
                <w:rFonts w:hint="eastAsia"/>
              </w:rPr>
            </w:pPr>
            <w:r>
              <w:rPr>
                <w:sz w:val="17"/>
              </w:rPr>
              <w:t>Bounded management implication</w:t>
            </w:r>
          </w:p>
        </w:tc>
        <w:tc>
          <w:tcPr>
            <w:tcW w:w="5222" w:type="dxa"/>
            <w:tcMar>
              <w:top w:w="70" w:type="dxa"/>
              <w:left w:w="90" w:type="dxa"/>
              <w:bottom w:w="70" w:type="dxa"/>
              <w:right w:w="90" w:type="dxa"/>
            </w:tcMar>
          </w:tcPr>
          <w:p>
            <w:pPr>
              <w:spacing w:after="20"/>
              <w:rPr>
                <w:rFonts w:hint="eastAsia"/>
              </w:rPr>
            </w:pPr>
            <w:r>
              <w:rPr>
                <w:rFonts w:hint="eastAsia"/>
              </w:rPr>
              <w:t>The plant manager should appoint a continuing model owner. Test fit in a bounded read-only pilot before relying on alerts; sustained use and scaling remain unsupported.</w:t>
            </w:r>
          </w:p>
        </w:tc>
      </w:tr>
      <w:tr w:rsidR="009F63B8" w14:paraId="653EC671" w14:textId="77777777" w:rsidTr="009F63B8">
        <w:trPr>
          <w:jc w:val="center"/>
          <w:cantSplit/>
        </w:trPr>
        <w:tc>
          <w:tcPr>
            <w:tcW w:w="5222" w:type="dxa"/>
            <w:tcMar>
              <w:top w:w="70" w:type="dxa"/>
              <w:left w:w="90" w:type="dxa"/>
              <w:bottom w:w="70" w:type="dxa"/>
              <w:right w:w="90" w:type="dxa"/>
            </w:tcMar>
          </w:tcPr>
          <w:p w14:paraId="6AF17D44" w14:textId="77777777" w:rsidR="009F63B8" w:rsidRDefault="009F63B8" w:rsidP="009F63B8">
            <w:pPr>
              <w:spacing w:after="20"/>
              <w:rPr>
                <w:rFonts w:hint="eastAsia"/>
              </w:rPr>
            </w:pPr>
            <w:r>
              <w:rPr>
                <w:sz w:val="17"/>
              </w:rPr>
              <w:t>Confidence / uncertainty</w:t>
            </w:r>
          </w:p>
        </w:tc>
        <w:tc>
          <w:tcPr>
            <w:tcW w:w="5222" w:type="dxa"/>
            <w:tcMar>
              <w:top w:w="70" w:type="dxa"/>
              <w:left w:w="90" w:type="dxa"/>
              <w:bottom w:w="70" w:type="dxa"/>
              <w:right w:w="90" w:type="dxa"/>
            </w:tcMar>
          </w:tcPr>
          <w:p>
            <w:pPr>
              <w:spacing w:after="20"/>
              <w:rPr>
                <w:rFonts w:hint="eastAsia"/>
              </w:rPr>
            </w:pPr>
            <w:r>
              <w:t>Moderate confidence in conditional pilot readiness. Continuing ownership and validation are unresolved; operator participation and ongoing funding are not established.</w:t>
            </w:r>
          </w:p>
        </w:tc>
      </w:tr>
      <w:tr w:rsidR="009F63B8" w14:paraId="39674315" w14:textId="77777777" w:rsidTr="009F63B8">
        <w:trPr>
          <w:jc w:val="center"/>
          <w:cantSplit/>
        </w:trPr>
        <w:tc>
          <w:tcPr>
            <w:tcW w:w="5222" w:type="dxa"/>
            <w:tcMar>
              <w:top w:w="70" w:type="dxa"/>
              <w:left w:w="90" w:type="dxa"/>
              <w:bottom w:w="70" w:type="dxa"/>
              <w:right w:w="90" w:type="dxa"/>
            </w:tcMar>
          </w:tcPr>
          <w:p w14:paraId="344FDB15" w14:textId="77777777" w:rsidR="009F63B8" w:rsidRDefault="009F63B8" w:rsidP="009F63B8">
            <w:pPr>
              <w:spacing w:after="20"/>
              <w:rPr>
                <w:rFonts w:hint="eastAsia"/>
              </w:rPr>
            </w:pPr>
            <w:r>
              <w:rPr>
                <w:sz w:val="17"/>
              </w:rPr>
              <w:t>What evidence or condition would change the conclusion</w:t>
            </w:r>
          </w:p>
        </w:tc>
        <w:tc>
          <w:tcPr>
            <w:tcW w:w="5222" w:type="dxa"/>
            <w:tcMar>
              <w:top w:w="70" w:type="dxa"/>
              <w:left w:w="90" w:type="dxa"/>
              <w:bottom w:w="70" w:type="dxa"/>
              <w:right w:w="90" w:type="dxa"/>
            </w:tcMar>
          </w:tcPr>
          <w:p>
            <w:pPr>
              <w:spacing w:after="20"/>
              <w:rPr>
                <w:rFonts w:hint="eastAsia"/>
              </w:rPr>
            </w:pPr>
            <w:r>
              <w:t>An accepted ownership plan with protected capacity could change the sustainment finding. Model-fit results and evidence of workable operator review could support operational reliance.</w:t>
            </w:r>
          </w:p>
        </w:tc>
      </w:tr>
    </w:tbl>
    <w:p w14:paraId="49853FFD" w14:textId="77777777" w:rsidR="00AC34B0" w:rsidRDefault="00000000">
      <w:pPr>
        <w:pStyle w:val="Heading1"/>
        <w:keepNext/>
      </w:pPr>
      <w:r>
        <w:t>D. Evidence and Testing</w:t>
      </w:r>
    </w:p>
    <w:tbl>
      <w:tblPr>
        <w:tblStyle w:val="TableGrid"/>
        <w:tblW w:w="0" w:type="auto"/>
        <w:jc w:val="center"/>
        <w:tblLook w:val="04A0" w:firstRow="1" w:lastRow="0" w:firstColumn="1" w:lastColumn="0" w:noHBand="0" w:noVBand="1"/>
      </w:tblPr>
      <w:tblGrid>
        <w:gridCol w:w="5219"/>
        <w:gridCol w:w="5225"/>
      </w:tblGrid>
      <w:tr w:rsidR="00AC34B0" w14:paraId="78CFAF1C" w14:textId="77777777">
        <w:trPr>
          <w:jc w:val="center"/>
          <w:cantSplit/>
        </w:trPr>
        <w:tc>
          <w:tcPr>
            <w:tcW w:w="5227" w:type="dxa"/>
            <w:shd w:val="clear" w:color="auto" w:fill="57068C"/>
            <w:tcMar>
              <w:top w:w="70" w:type="dxa"/>
              <w:left w:w="90" w:type="dxa"/>
              <w:bottom w:w="70" w:type="dxa"/>
              <w:right w:w="90" w:type="dxa"/>
            </w:tcMar>
          </w:tcPr>
          <w:p w14:paraId="17F4B211" w14:textId="77777777" w:rsidR="00AC34B0" w:rsidRDefault="00000000">
            <w:pPr>
              <w:spacing w:after="20"/>
              <w:rPr>
                <w:rFonts w:hint="eastAsia"/>
              </w:rPr>
              <w:keepNext/>
            </w:pPr>
            <w:r>
              <w:rPr>
                <w:b/>
                <w:color w:val="FFFFFF"/>
                <w:sz w:val="17"/>
              </w:rPr>
              <w:t>Field</w:t>
            </w:r>
          </w:p>
        </w:tc>
        <w:tc>
          <w:tcPr>
            <w:tcW w:w="5227" w:type="dxa"/>
            <w:shd w:val="clear" w:color="auto" w:fill="57068C"/>
            <w:tcMar>
              <w:top w:w="70" w:type="dxa"/>
              <w:left w:w="90" w:type="dxa"/>
              <w:bottom w:w="70" w:type="dxa"/>
              <w:right w:w="90" w:type="dxa"/>
            </w:tcMar>
          </w:tcPr>
          <w:p w14:paraId="215FF1E5" w14:textId="77777777" w:rsidR="00AC34B0" w:rsidRDefault="00000000">
            <w:pPr>
              <w:spacing w:after="20"/>
              <w:rPr>
                <w:rFonts w:hint="eastAsia"/>
              </w:rPr>
              <w:keepNext/>
            </w:pPr>
            <w:r>
              <w:rPr>
                <w:b/>
                <w:color w:val="FFFFFF"/>
                <w:sz w:val="17"/>
              </w:rPr>
              <w:t>Student record</w:t>
            </w:r>
          </w:p>
        </w:tc>
      </w:tr>
      <w:tr w:rsidR="00AC34B0" w14:paraId="0023AB81" w14:textId="77777777">
        <w:trPr>
          <w:jc w:val="center"/>
          <w:cantSplit/>
        </w:trPr>
        <w:tc>
          <w:tcPr>
            <w:tcW w:w="5227" w:type="dxa"/>
            <w:tcMar>
              <w:top w:w="70" w:type="dxa"/>
              <w:left w:w="90" w:type="dxa"/>
              <w:bottom w:w="70" w:type="dxa"/>
              <w:right w:w="90" w:type="dxa"/>
            </w:tcMar>
          </w:tcPr>
          <w:p w14:paraId="527DCBF8" w14:textId="77777777" w:rsidR="00AC34B0" w:rsidRDefault="00000000">
            <w:pPr>
              <w:spacing w:after="20"/>
              <w:rPr>
                <w:rFonts w:hint="eastAsia"/>
              </w:rPr>
            </w:pPr>
            <w:r>
              <w:rPr>
                <w:sz w:val="17"/>
              </w:rPr>
              <w:t>Most important evidence/source(s)</w:t>
            </w:r>
          </w:p>
        </w:tc>
        <w:tc>
          <w:tcPr>
            <w:tcW w:w="5227" w:type="dxa"/>
            <w:tcMar>
              <w:top w:w="70" w:type="dxa"/>
              <w:left w:w="90" w:type="dxa"/>
              <w:bottom w:w="70" w:type="dxa"/>
              <w:right w:w="90" w:type="dxa"/>
            </w:tcMar>
          </w:tcPr>
          <w:p>
            <w:pPr>
              <w:spacing w:after="20"/>
              <w:rPr>
                <w:rFonts w:hint="eastAsia"/>
              </w:rPr>
            </w:pPr>
            <w:r>
              <w:t>NIST, Digital Twins for Advanced Manufacturing, updated July 20, 2026; NIST IR 8356, Security and Trust Considerations for Digital Twin Technology, February 2025. These support validation and trust concerns, not an organizational audit. URLs are in primary_response.json.</w:t>
            </w:r>
          </w:p>
        </w:tc>
      </w:tr>
      <w:tr w:rsidR="00AC34B0" w14:paraId="09C61468" w14:textId="77777777">
        <w:trPr>
          <w:jc w:val="center"/>
          <w:cantSplit/>
        </w:trPr>
        <w:tc>
          <w:tcPr>
            <w:tcW w:w="5227" w:type="dxa"/>
            <w:tcMar>
              <w:top w:w="70" w:type="dxa"/>
              <w:left w:w="90" w:type="dxa"/>
              <w:bottom w:w="70" w:type="dxa"/>
              <w:right w:w="90" w:type="dxa"/>
            </w:tcMar>
          </w:tcPr>
          <w:p w14:paraId="73771235" w14:textId="77777777" w:rsidR="00AC34B0" w:rsidRDefault="00000000">
            <w:pPr>
              <w:spacing w:after="20"/>
              <w:rPr>
                <w:rFonts w:hint="eastAsia"/>
              </w:rPr>
            </w:pPr>
            <w:r>
              <w:rPr>
                <w:sz w:val="17"/>
              </w:rPr>
              <w:t>Primary test - result</w:t>
            </w:r>
          </w:p>
        </w:tc>
        <w:tc>
          <w:tcPr>
            <w:tcW w:w="5227" w:type="dxa"/>
            <w:tcMar>
              <w:top w:w="70" w:type="dxa"/>
              <w:left w:w="90" w:type="dxa"/>
              <w:bottom w:w="70" w:type="dxa"/>
              <w:right w:w="90" w:type="dxa"/>
            </w:tcMar>
          </w:tcPr>
          <w:p>
            <w:pPr>
              <w:spacing w:after="20"/>
              <w:rPr>
                <w:rFonts w:hint="eastAsia"/>
              </w:rPr>
            </w:pPr>
            <w:r>
              <w:t>The saved response passed the output contract. It identified missing continuing ownership as the decisive gap and withheld endorsement of sustained operation.</w:t>
            </w:r>
          </w:p>
        </w:tc>
      </w:tr>
      <w:tr w:rsidR="00AC34B0" w14:paraId="5047B7DD" w14:textId="77777777">
        <w:trPr>
          <w:jc w:val="center"/>
          <w:cantSplit/>
        </w:trPr>
        <w:tc>
          <w:tcPr>
            <w:tcW w:w="5227" w:type="dxa"/>
            <w:tcMar>
              <w:top w:w="70" w:type="dxa"/>
              <w:left w:w="90" w:type="dxa"/>
              <w:bottom w:w="70" w:type="dxa"/>
              <w:right w:w="90" w:type="dxa"/>
            </w:tcMar>
          </w:tcPr>
          <w:p w14:paraId="0F09864B" w14:textId="77777777" w:rsidR="00AC34B0" w:rsidRDefault="00000000">
            <w:pPr>
              <w:spacing w:after="20"/>
              <w:rPr>
                <w:rFonts w:hint="eastAsia"/>
              </w:rPr>
            </w:pPr>
            <w:r>
              <w:rPr>
                <w:sz w:val="17"/>
              </w:rPr>
              <w:t>Contrast test - what appropriately stayed stable</w:t>
            </w:r>
          </w:p>
        </w:tc>
        <w:tc>
          <w:tcPr>
            <w:tcW w:w="5227" w:type="dxa"/>
            <w:tcMar>
              <w:top w:w="70" w:type="dxa"/>
              <w:left w:w="90" w:type="dxa"/>
              <w:bottom w:w="70" w:type="dxa"/>
              <w:right w:w="90" w:type="dxa"/>
            </w:tcMar>
          </w:tcPr>
          <w:p>
            <w:pPr>
              <w:spacing w:after="20"/>
              <w:rPr>
                <w:rFonts w:hint="eastAsia"/>
              </w:rPr>
            </w:pPr>
            <w:r>
              <w:rPr>
                <w:rFonts w:hint="eastAsia"/>
              </w:rPr>
              <w:t>The need for model validation and the read-only boundary stayed stable. Organizational weakness was not reported as low technology maturity.</w:t>
            </w:r>
          </w:p>
        </w:tc>
      </w:tr>
      <w:tr w:rsidR="00AC34B0" w14:paraId="44A5E4CF" w14:textId="77777777">
        <w:trPr>
          <w:jc w:val="center"/>
          <w:cantSplit/>
        </w:trPr>
        <w:tc>
          <w:tcPr>
            <w:tcW w:w="5227" w:type="dxa"/>
            <w:tcMar>
              <w:top w:w="70" w:type="dxa"/>
              <w:left w:w="90" w:type="dxa"/>
              <w:bottom w:w="70" w:type="dxa"/>
              <w:right w:w="90" w:type="dxa"/>
            </w:tcMar>
          </w:tcPr>
          <w:p w14:paraId="6A656B08" w14:textId="77777777" w:rsidR="00AC34B0" w:rsidRDefault="00000000">
            <w:pPr>
              <w:spacing w:after="20"/>
              <w:rPr>
                <w:rFonts w:hint="eastAsia"/>
              </w:rPr>
            </w:pPr>
            <w:r>
              <w:rPr>
                <w:sz w:val="17"/>
              </w:rPr>
              <w:t>Contrast test - what appropriately changed</w:t>
            </w:r>
          </w:p>
        </w:tc>
        <w:tc>
          <w:tcPr>
            <w:tcW w:w="5227" w:type="dxa"/>
            <w:tcMar>
              <w:top w:w="70" w:type="dxa"/>
              <w:left w:w="90" w:type="dxa"/>
              <w:bottom w:w="70" w:type="dxa"/>
              <w:right w:w="90" w:type="dxa"/>
            </w:tcMar>
          </w:tcPr>
          <w:p>
            <w:pPr>
              <w:spacing w:after="20"/>
              <w:rPr>
                <w:rFonts w:hint="eastAsia"/>
              </w:rPr>
            </w:pPr>
            <w:r>
              <w:rPr>
                <w:rFonts w:hint="eastAsia"/>
              </w:rPr>
              <w:t>The stronger firm had owners and review arrangements, allowing conditional model testing. The weaker firm lacked sponsorship and resources and needed readiness preparation first.</w:t>
            </w:r>
          </w:p>
        </w:tc>
      </w:tr>
      <w:tr w:rsidR="00AC34B0" w14:paraId="326ECFBC" w14:textId="77777777">
        <w:trPr>
          <w:jc w:val="center"/>
          <w:cantSplit/>
        </w:trPr>
        <w:tc>
          <w:tcPr>
            <w:tcW w:w="5227" w:type="dxa"/>
            <w:tcMar>
              <w:top w:w="70" w:type="dxa"/>
              <w:left w:w="90" w:type="dxa"/>
              <w:bottom w:w="70" w:type="dxa"/>
              <w:right w:w="90" w:type="dxa"/>
            </w:tcMar>
          </w:tcPr>
          <w:p w14:paraId="2B47A554" w14:textId="77777777" w:rsidR="00AC34B0" w:rsidRDefault="00000000">
            <w:pPr>
              <w:spacing w:after="20"/>
              <w:rPr>
                <w:rFonts w:hint="eastAsia"/>
              </w:rPr>
            </w:pPr>
            <w:r>
              <w:rPr>
                <w:sz w:val="17"/>
              </w:rPr>
              <w:t>Weakness/failure found</w:t>
            </w:r>
          </w:p>
        </w:tc>
        <w:tc>
          <w:tcPr>
            <w:tcW w:w="5227" w:type="dxa"/>
            <w:tcMar>
              <w:top w:w="70" w:type="dxa"/>
              <w:left w:w="90" w:type="dxa"/>
              <w:bottom w:w="70" w:type="dxa"/>
              <w:right w:w="90" w:type="dxa"/>
            </w:tcMar>
          </w:tcPr>
          <w:p>
            <w:pPr>
              <w:spacing w:after="20"/>
              <w:rPr>
                <w:rFonts w:hint="eastAsia"/>
              </w:rPr>
            </w:pPr>
            <w:r>
              <w:t>The initial response could not create the requested readiness file and placed a long readiness inventory inside evidence notes. That made the JSON harder to use.</w:t>
            </w:r>
          </w:p>
        </w:tc>
      </w:tr>
      <w:tr w:rsidR="00AC34B0" w14:paraId="6C770D2A" w14:textId="77777777">
        <w:trPr>
          <w:jc w:val="center"/>
          <w:cantSplit/>
        </w:trPr>
        <w:tc>
          <w:tcPr>
            <w:tcW w:w="5227" w:type="dxa"/>
            <w:tcMar>
              <w:top w:w="70" w:type="dxa"/>
              <w:left w:w="90" w:type="dxa"/>
              <w:bottom w:w="70" w:type="dxa"/>
              <w:right w:w="90" w:type="dxa"/>
            </w:tcMar>
          </w:tcPr>
          <w:p w14:paraId="602435D6" w14:textId="77777777" w:rsidR="00AC34B0" w:rsidRDefault="00000000">
            <w:pPr>
              <w:spacing w:after="20"/>
              <w:rPr>
                <w:rFonts w:hint="eastAsia"/>
              </w:rPr>
            </w:pPr>
            <w:r>
              <w:rPr>
                <w:sz w:val="17"/>
              </w:rPr>
              <w:t>Revision made and why</w:t>
            </w:r>
          </w:p>
        </w:tc>
        <w:tc>
          <w:tcPr>
            <w:tcW w:w="5227" w:type="dxa"/>
            <w:tcMar>
              <w:top w:w="70" w:type="dxa"/>
              <w:left w:w="90" w:type="dxa"/>
              <w:bottom w:w="70" w:type="dxa"/>
              <w:right w:w="90" w:type="dxa"/>
            </w:tcMar>
          </w:tcPr>
          <w:p>
            <w:pPr>
              <w:spacing w:after="20"/>
              <w:rPr>
                <w:rFonts w:hint="eastAsia"/>
              </w:rPr>
            </w:pPr>
            <w:r>
              <w:t>Created the full profile locally and required the decisive gap in the response. Distinguished supported assumptions, observed gaps, and unknowns, then reran the same inputs.</w:t>
            </w:r>
          </w:p>
        </w:tc>
      </w:tr>
      <w:tr w:rsidR="00AC34B0" w14:paraId="40110E86" w14:textId="77777777">
        <w:trPr>
          <w:jc w:val="center"/>
          <w:cantSplit/>
        </w:trPr>
        <w:tc>
          <w:tcPr>
            <w:tcW w:w="5227" w:type="dxa"/>
            <w:tcMar>
              <w:top w:w="70" w:type="dxa"/>
              <w:left w:w="90" w:type="dxa"/>
              <w:bottom w:w="70" w:type="dxa"/>
              <w:right w:w="90" w:type="dxa"/>
            </w:tcMar>
          </w:tcPr>
          <w:p w14:paraId="2E40E85D" w14:textId="77777777" w:rsidR="00AC34B0" w:rsidRDefault="00000000">
            <w:pPr>
              <w:spacing w:after="20"/>
              <w:rPr>
                <w:rFonts w:hint="eastAsia"/>
              </w:rPr>
            </w:pPr>
            <w:r>
              <w:rPr>
                <w:sz w:val="17"/>
              </w:rPr>
              <w:t>Remaining limitation / abstention condition</w:t>
            </w:r>
          </w:p>
        </w:tc>
        <w:tc>
          <w:tcPr>
            <w:tcW w:w="5227" w:type="dxa"/>
            <w:tcMar>
              <w:top w:w="70" w:type="dxa"/>
              <w:left w:w="90" w:type="dxa"/>
              <w:bottom w:w="70" w:type="dxa"/>
              <w:right w:w="90" w:type="dxa"/>
            </w:tcMar>
          </w:tcPr>
          <w:p>
            <w:pPr>
              <w:spacing w:after="20"/>
              <w:rPr>
                <w:rFonts w:hint="eastAsia"/>
              </w:rPr>
            </w:pPr>
            <w:r>
              <w:t>A named owner does not prove competence or funded capacity. Withhold sustained-operation endorsement without usable data, model-fit evidence, and operator-review arrangements.</w:t>
            </w:r>
          </w:p>
        </w:tc>
      </w:tr>
    </w:tbl>
    <w:p w14:paraId="696705DD" w14:textId="77777777" w:rsidR="00AC34B0" w:rsidRDefault="00000000">
      <w:pPr>
        <w:pStyle w:val="Heading1"/>
        <w:keepNext/>
      </w:pPr>
      <w:r>
        <w:t>E. Independent Judgment and Handoff</w:t>
      </w:r>
    </w:p>
    <w:tbl>
      <w:tblPr>
        <w:tblStyle w:val="TableGrid"/>
        <w:tblW w:w="0" w:type="auto"/>
        <w:jc w:val="center"/>
        <w:tblLook w:val="04A0" w:firstRow="1" w:lastRow="0" w:firstColumn="1" w:lastColumn="0" w:noHBand="0" w:noVBand="1"/>
      </w:tblPr>
      <w:tblGrid>
        <w:gridCol w:w="5222"/>
        <w:gridCol w:w="5222"/>
      </w:tblGrid>
      <w:tr w:rsidR="00AC34B0" w14:paraId="11B4DDDA" w14:textId="77777777">
        <w:trPr>
          <w:jc w:val="center"/>
          <w:cantSplit/>
        </w:trPr>
        <w:tc>
          <w:tcPr>
            <w:tcW w:w="5227" w:type="dxa"/>
            <w:shd w:val="clear" w:color="auto" w:fill="57068C"/>
            <w:tcMar>
              <w:top w:w="70" w:type="dxa"/>
              <w:left w:w="90" w:type="dxa"/>
              <w:bottom w:w="70" w:type="dxa"/>
              <w:right w:w="90" w:type="dxa"/>
            </w:tcMar>
          </w:tcPr>
          <w:p w14:paraId="3058F1A9" w14:textId="77777777" w:rsidR="00AC34B0" w:rsidRDefault="00000000">
            <w:pPr>
              <w:spacing w:after="20"/>
              <w:rPr>
                <w:rFonts w:hint="eastAsia"/>
              </w:rPr>
              <w:keepNext/>
            </w:pPr>
            <w:r>
              <w:rPr>
                <w:b/>
                <w:color w:val="FFFFFF"/>
                <w:sz w:val="17"/>
              </w:rPr>
              <w:t>Field</w:t>
            </w:r>
          </w:p>
        </w:tc>
        <w:tc>
          <w:tcPr>
            <w:tcW w:w="5227" w:type="dxa"/>
            <w:shd w:val="clear" w:color="auto" w:fill="57068C"/>
            <w:tcMar>
              <w:top w:w="70" w:type="dxa"/>
              <w:left w:w="90" w:type="dxa"/>
              <w:bottom w:w="70" w:type="dxa"/>
              <w:right w:w="90" w:type="dxa"/>
            </w:tcMar>
          </w:tcPr>
          <w:p w14:paraId="5F3BBC54" w14:textId="77777777" w:rsidR="00AC34B0" w:rsidRDefault="00000000">
            <w:pPr>
              <w:spacing w:after="20"/>
              <w:rPr>
                <w:rFonts w:hint="eastAsia"/>
              </w:rPr>
              <w:keepNext/>
            </w:pPr>
            <w:r>
              <w:rPr>
                <w:b/>
                <w:color w:val="FFFFFF"/>
                <w:sz w:val="17"/>
              </w:rPr>
              <w:t>Student record</w:t>
            </w:r>
          </w:p>
        </w:tc>
      </w:tr>
      <w:tr w:rsidR="00AC34B0" w14:paraId="271D0C04" w14:textId="77777777">
        <w:trPr>
          <w:jc w:val="center"/>
          <w:cantSplit/>
        </w:trPr>
        <w:tc>
          <w:tcPr>
            <w:tcW w:w="5227" w:type="dxa"/>
            <w:tcMar>
              <w:top w:w="70" w:type="dxa"/>
              <w:left w:w="90" w:type="dxa"/>
              <w:bottom w:w="70" w:type="dxa"/>
              <w:right w:w="90" w:type="dxa"/>
            </w:tcMar>
          </w:tcPr>
          <w:p w14:paraId="62AFA6EC" w14:textId="77777777" w:rsidR="00AC34B0" w:rsidRDefault="00000000">
            <w:pPr>
              <w:spacing w:after="20"/>
              <w:rPr>
                <w:rFonts w:hint="eastAsia"/>
              </w:rPr>
            </w:pPr>
            <w:r>
              <w:rPr>
                <w:sz w:val="17"/>
              </w:rPr>
              <w:t>Is the agent credible enough for team consideration? Why?</w:t>
            </w:r>
          </w:p>
        </w:tc>
        <w:tc>
          <w:tcPr>
            <w:tcW w:w="5227" w:type="dxa"/>
            <w:tcMar>
              <w:top w:w="70" w:type="dxa"/>
              <w:left w:w="90" w:type="dxa"/>
              <w:bottom w:w="70" w:type="dxa"/>
              <w:right w:w="90" w:type="dxa"/>
            </w:tcMar>
          </w:tcPr>
          <w:p>
            <w:pPr>
              <w:spacing w:after="20"/>
              <w:rPr>
                <w:rFonts w:hint="eastAsia"/>
              </w:rPr>
            </w:pPr>
            <w:r>
              <w:t>Yes, as a readiness specialist. Its conclusion changes with organizational support while preserving the technology finding and requesting evidence instead of inventing readiness.</w:t>
            </w:r>
          </w:p>
        </w:tc>
      </w:tr>
      <w:tr w:rsidR="00AC34B0" w14:paraId="0805E22E" w14:textId="77777777">
        <w:trPr>
          <w:jc w:val="center"/>
          <w:cantSplit/>
        </w:trPr>
        <w:tc>
          <w:tcPr>
            <w:tcW w:w="5227" w:type="dxa"/>
            <w:tcMar>
              <w:top w:w="70" w:type="dxa"/>
              <w:left w:w="90" w:type="dxa"/>
              <w:bottom w:w="70" w:type="dxa"/>
              <w:right w:w="90" w:type="dxa"/>
            </w:tcMar>
          </w:tcPr>
          <w:p w14:paraId="2062BFEF" w14:textId="77777777" w:rsidR="00AC34B0" w:rsidRDefault="00000000">
            <w:pPr>
              <w:spacing w:after="20"/>
              <w:rPr>
                <w:rFonts w:hint="eastAsia"/>
              </w:rPr>
            </w:pPr>
            <w:r>
              <w:rPr>
                <w:sz w:val="17"/>
              </w:rPr>
              <w:lastRenderedPageBreak/>
              <w:t>Most important recommendation to the team</w:t>
            </w:r>
          </w:p>
        </w:tc>
        <w:tc>
          <w:tcPr>
            <w:tcW w:w="5227" w:type="dxa"/>
            <w:tcMar>
              <w:top w:w="70" w:type="dxa"/>
              <w:left w:w="90" w:type="dxa"/>
              <w:bottom w:w="70" w:type="dxa"/>
              <w:right w:w="90" w:type="dxa"/>
            </w:tcMar>
          </w:tcPr>
          <w:p>
            <w:pPr>
              <w:spacing w:after="20"/>
              <w:rPr>
                <w:rFonts w:hint="eastAsia"/>
              </w:rPr>
            </w:pPr>
            <w:r>
              <w:t>Capture a continuing owner and protected operating time in the intake. Sponsor enthusiasm and a successful demonstration are not evidence of sustainable use.</w:t>
            </w:r>
          </w:p>
        </w:tc>
      </w:tr>
      <w:tr w:rsidR="00AC34B0" w14:paraId="5F275D9E" w14:textId="77777777">
        <w:trPr>
          <w:jc w:val="center"/>
          <w:cantSplit/>
        </w:trPr>
        <w:tc>
          <w:tcPr>
            <w:tcW w:w="5227" w:type="dxa"/>
            <w:tcMar>
              <w:top w:w="70" w:type="dxa"/>
              <w:left w:w="90" w:type="dxa"/>
              <w:bottom w:w="70" w:type="dxa"/>
              <w:right w:w="90" w:type="dxa"/>
            </w:tcMar>
          </w:tcPr>
          <w:p w14:paraId="64C2A67F" w14:textId="77777777" w:rsidR="00AC34B0" w:rsidRDefault="00000000">
            <w:pPr>
              <w:spacing w:after="20"/>
              <w:rPr>
                <w:rFonts w:hint="eastAsia"/>
              </w:rPr>
            </w:pPr>
            <w:r>
              <w:rPr>
                <w:sz w:val="17"/>
              </w:rPr>
              <w:t>AI / verification note</w:t>
            </w:r>
          </w:p>
        </w:tc>
        <w:tc>
          <w:tcPr>
            <w:tcW w:w="5227" w:type="dxa"/>
            <w:tcMar>
              <w:top w:w="70" w:type="dxa"/>
              <w:left w:w="90" w:type="dxa"/>
              <w:bottom w:w="70" w:type="dxa"/>
              <w:right w:w="90" w:type="dxa"/>
            </w:tcMar>
          </w:tcPr>
          <w:p>
            <w:pPr>
              <w:spacing w:after="20"/>
              <w:rPr>
                <w:rFonts w:hint="eastAsia"/>
              </w:rPr>
            </w:pPr>
            <w:r>
              <w:rPr>
                <w:sz w:val="17"/>
              </w:rPr>
              <w:t>Codex prepared the repository, cases, and revisions. The Python helper sent prompts to the OpenAI API and saved actual responses. Original source pages were checked; organization details remain hypothetical. Schema validation checks structure, not factual accuracy.</w:t>
            </w:r>
          </w:p>
        </w:tc>
      </w:tr>
    </w:tbl>
    <w:p w14:paraId="043F56E9" w14:textId="77777777" w:rsidR="000A20E9" w:rsidRDefault="000A20E9"/>
    <w:sectPr w:rsidR="000A20E9" w:rsidSect="00034616">
      <w:headerReference w:type="default" r:id="rId9"/>
      <w:footerReference w:type="default" r:id="rId10"/>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C43EAB" w14:textId="77777777" w:rsidR="000A20E9" w:rsidRDefault="000A20E9">
      <w:pPr>
        <w:spacing w:after="0" w:line="240" w:lineRule="auto"/>
        <w:rPr>
          <w:rFonts w:hint="eastAsia"/>
        </w:rPr>
      </w:pPr>
      <w:r>
        <w:separator/>
      </w:r>
    </w:p>
  </w:endnote>
  <w:endnote w:type="continuationSeparator" w:id="0">
    <w:p w14:paraId="61D8CE9B" w14:textId="77777777" w:rsidR="000A20E9" w:rsidRDefault="000A20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2CE709" w14:textId="77777777" w:rsidR="00630F3A" w:rsidRDefault="00000000">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287B15" w14:textId="77777777" w:rsidR="000A20E9" w:rsidRDefault="000A20E9">
      <w:pPr>
        <w:spacing w:after="0" w:line="240" w:lineRule="auto"/>
        <w:rPr>
          <w:rFonts w:hint="eastAsia"/>
        </w:rPr>
      </w:pPr>
      <w:r>
        <w:separator/>
      </w:r>
    </w:p>
  </w:footnote>
  <w:footnote w:type="continuationSeparator" w:id="0">
    <w:p w14:paraId="0E1546A2" w14:textId="77777777" w:rsidR="000A20E9" w:rsidRDefault="000A20E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6FACD0" w14:textId="77777777"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0E9"/>
    <w:rsid w:val="000C7827"/>
    <w:rsid w:val="0015074B"/>
    <w:rsid w:val="00214B14"/>
    <w:rsid w:val="0029639D"/>
    <w:rsid w:val="00326F90"/>
    <w:rsid w:val="00630F3A"/>
    <w:rsid w:val="006E721C"/>
    <w:rsid w:val="0085745F"/>
    <w:rsid w:val="009F63B8"/>
    <w:rsid w:val="00AA1D8D"/>
    <w:rsid w:val="00AC34B0"/>
    <w:rsid w:val="00B47730"/>
    <w:rsid w:val="00C034F2"/>
    <w:rsid w:val="00CB0664"/>
    <w:rsid w:val="00D24D5A"/>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99B3A"/>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 w:type="character" w:styleId="Hyperlink">
    <w:name w:val="Hyperlink"/>
    <w:basedOn w:val="DefaultParagraphFont"/>
    <w:uiPriority w:val="99"/>
    <w:unhideWhenUsed/>
    <w:rsid w:val="00C034F2"/>
    <w:rPr>
      <w:color w:val="0000FF" w:themeColor="hyperlink"/>
      <w:u w:val="single"/>
    </w:rPr>
  </w:style>
  <w:style w:type="character" w:styleId="UnresolvedMention">
    <w:name w:val="Unresolved Mention"/>
    <w:basedOn w:val="DefaultParagraphFont"/>
    <w:uiPriority w:val="99"/>
    <w:semiHidden/>
    <w:unhideWhenUsed/>
    <w:rsid w:val="00C034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id.com/docs/api/products/transac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Emerging Technologies - Specialist Agent Record Template</vt:lpstr>
    </vt:vector>
  </TitlesOfParts>
  <Manager/>
  <Company/>
  <LinksUpToDate>false</LinksUpToDate>
  <CharactersWithSpaces>4610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Matthew Pecko</cp:lastModifiedBy>
  <cp:revision>2</cp:revision>
  <dcterms:created xsi:type="dcterms:W3CDTF">2026-10-12T21:10:00Z</dcterms:created>
  <dcterms:modified xsi:type="dcterms:W3CDTF">2026-10-12T21:10:00Z</dcterms:modified>
  <cp:category/>
</cp:coreProperties>
</file>