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106.png" ContentType="image/png"/>
  <Override PartName="/word/media/rId124.png" ContentType="image/png"/>
  <Override PartName="/word/media/rId145.png" ContentType="image/png"/>
  <Override PartName="/word/media/rId151.png" ContentType="image/png"/>
  <Override PartName="/word/media/rId139.png" ContentType="image/png"/>
  <Override PartName="/word/media/rId184.png" ContentType="image/png"/>
  <Override PartName="/word/media/rId190.png" ContentType="image/png"/>
  <Override PartName="/word/media/rId193.png" ContentType="image/png"/>
  <Override PartName="/word/media/rId86.png" ContentType="image/png"/>
  <Override PartName="/word/media/rId92.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Effect</w:t>
      </w:r>
      <w:r>
        <w:t xml:space="preserve"> </w:t>
      </w:r>
      <w:r>
        <w:t xml:space="preserve">Sizes</w:t>
      </w:r>
      <w:r>
        <w:t xml:space="preserve"> </w:t>
      </w:r>
      <w:r>
        <w:t xml:space="preserve">and</w:t>
      </w:r>
      <w:r>
        <w:t xml:space="preserve"> </w:t>
      </w:r>
      <w:r>
        <w:t xml:space="preserve">Confidence</w:t>
      </w:r>
      <w:r>
        <w:t xml:space="preserve"> </w:t>
      </w:r>
      <w:r>
        <w:t xml:space="preserve">Intervals</w:t>
      </w:r>
    </w:p>
    <w:p>
      <w:pPr>
        <w:pStyle w:val="Author"/>
      </w:pPr>
      <w:r>
        <w:t xml:space="preserve">Matthew</w:t>
      </w:r>
      <w:r>
        <w:t xml:space="preserve"> </w:t>
      </w:r>
      <w:r>
        <w:t xml:space="preserve">B.</w:t>
      </w:r>
      <w:r>
        <w:t xml:space="preserve"> </w:t>
      </w:r>
      <w:r>
        <w:t xml:space="preserve">Jané</w:t>
      </w:r>
    </w:p>
    <w:p>
      <w:pPr>
        <w:pStyle w:val="Author"/>
      </w:pPr>
      <w:r>
        <w:t xml:space="preserve">Qinyu</w:t>
      </w:r>
      <w:r>
        <w:t xml:space="preserve"> </w:t>
      </w:r>
      <w:r>
        <w:t xml:space="preserve">Xiao</w:t>
      </w:r>
    </w:p>
    <w:p>
      <w:pPr>
        <w:pStyle w:val="Author"/>
      </w:pPr>
      <w:r>
        <w:t xml:space="preserve">Siu</w:t>
      </w:r>
      <w:r>
        <w:t xml:space="preserve"> </w:t>
      </w:r>
      <w:r>
        <w:t xml:space="preserve">Kit</w:t>
      </w:r>
      <w:r>
        <w:t xml:space="preserve"> </w:t>
      </w:r>
      <w:r>
        <w:t xml:space="preserve">Yeung</w:t>
      </w:r>
    </w:p>
    <w:p>
      <w:pPr>
        <w:pStyle w:val="Author"/>
      </w:pPr>
      <w:r>
        <w:t xml:space="preserve">Mattan</w:t>
      </w:r>
      <w:r>
        <w:t xml:space="preserve"> </w:t>
      </w:r>
      <w:r>
        <w:t xml:space="preserve">S.</w:t>
      </w:r>
      <w:r>
        <w:t xml:space="preserve"> </w:t>
      </w:r>
      <w:r>
        <w:t xml:space="preserve">Ben-Shachar</w:t>
      </w:r>
    </w:p>
    <w:p>
      <w:pPr>
        <w:pStyle w:val="Author"/>
      </w:pPr>
      <w:r>
        <w:t xml:space="preserve">Aaron</w:t>
      </w:r>
      <w:r>
        <w:t xml:space="preserve"> </w:t>
      </w:r>
      <w:r>
        <w:t xml:space="preserve">R.</w:t>
      </w:r>
      <w:r>
        <w:t xml:space="preserve"> </w:t>
      </w:r>
      <w:r>
        <w:t xml:space="preserve">Caldwell</w:t>
      </w:r>
    </w:p>
    <w:p>
      <w:pPr>
        <w:pStyle w:val="Author"/>
      </w:pPr>
      <w:r>
        <w:t xml:space="preserve">Denis</w:t>
      </w:r>
      <w:r>
        <w:t xml:space="preserve"> </w:t>
      </w:r>
      <w:r>
        <w:t xml:space="preserve">Cousineau</w:t>
      </w:r>
    </w:p>
    <w:p>
      <w:pPr>
        <w:pStyle w:val="Author"/>
      </w:pPr>
      <w:r>
        <w:t xml:space="preserve">Daniel</w:t>
      </w:r>
      <w:r>
        <w:t xml:space="preserve"> </w:t>
      </w:r>
      <w:r>
        <w:t xml:space="preserve">J.</w:t>
      </w:r>
      <w:r>
        <w:t xml:space="preserve"> </w:t>
      </w:r>
      <w:r>
        <w:t xml:space="preserve">Dunleavy</w:t>
      </w:r>
    </w:p>
    <w:p>
      <w:pPr>
        <w:pStyle w:val="Author"/>
      </w:pPr>
      <w:r>
        <w:t xml:space="preserve">Mahmoud</w:t>
      </w:r>
      <w:r>
        <w:t xml:space="preserve"> </w:t>
      </w:r>
      <w:r>
        <w:t xml:space="preserve">Elsherif</w:t>
      </w:r>
    </w:p>
    <w:p>
      <w:pPr>
        <w:pStyle w:val="Author"/>
      </w:pPr>
      <w:r>
        <w:t xml:space="preserve">Blair</w:t>
      </w:r>
      <w:r>
        <w:t xml:space="preserve"> </w:t>
      </w:r>
      <w:r>
        <w:t xml:space="preserve">T.</w:t>
      </w:r>
      <w:r>
        <w:t xml:space="preserve"> </w:t>
      </w:r>
      <w:r>
        <w:t xml:space="preserve">Johnson</w:t>
      </w:r>
    </w:p>
    <w:p>
      <w:pPr>
        <w:pStyle w:val="Author"/>
      </w:pPr>
      <w:r>
        <w:t xml:space="preserve">David</w:t>
      </w:r>
      <w:r>
        <w:t xml:space="preserve"> </w:t>
      </w:r>
      <w:r>
        <w:t xml:space="preserve">Moreau</w:t>
      </w:r>
    </w:p>
    <w:p>
      <w:pPr>
        <w:pStyle w:val="Author"/>
      </w:pPr>
      <w:r>
        <w:t xml:space="preserve">Paul</w:t>
      </w:r>
      <w:r>
        <w:t xml:space="preserve"> </w:t>
      </w:r>
      <w:r>
        <w:t xml:space="preserve">Riesthuis</w:t>
      </w:r>
    </w:p>
    <w:p>
      <w:pPr>
        <w:pStyle w:val="Author"/>
      </w:pPr>
      <w:r>
        <w:t xml:space="preserve">Lukas</w:t>
      </w:r>
      <w:r>
        <w:t xml:space="preserve"> </w:t>
      </w:r>
      <w:r>
        <w:t xml:space="preserve">Röseler</w:t>
      </w:r>
    </w:p>
    <w:p>
      <w:pPr>
        <w:pStyle w:val="Author"/>
      </w:pPr>
      <w:r>
        <w:t xml:space="preserve">James</w:t>
      </w:r>
      <w:r>
        <w:t xml:space="preserve"> </w:t>
      </w:r>
      <w:r>
        <w:t xml:space="preserve">Steele</w:t>
      </w:r>
    </w:p>
    <w:p>
      <w:pPr>
        <w:pStyle w:val="Author"/>
      </w:pPr>
      <w:r>
        <w:t xml:space="preserve">Felipe</w:t>
      </w:r>
      <w:r>
        <w:t xml:space="preserve"> </w:t>
      </w:r>
      <w:r>
        <w:t xml:space="preserve">F.</w:t>
      </w:r>
      <w:r>
        <w:t xml:space="preserve"> </w:t>
      </w:r>
      <w:r>
        <w:t xml:space="preserve">Vieira</w:t>
      </w:r>
    </w:p>
    <w:p>
      <w:pPr>
        <w:pStyle w:val="Author"/>
      </w:pPr>
      <w:r>
        <w:t xml:space="preserve">Mircea</w:t>
      </w:r>
      <w:r>
        <w:t xml:space="preserve"> </w:t>
      </w:r>
      <w:r>
        <w:t xml:space="preserve">Zloteanu</w:t>
      </w:r>
    </w:p>
    <w:p>
      <w:pPr>
        <w:pStyle w:val="Author"/>
      </w:pPr>
      <w:r>
        <w:t xml:space="preserve">Gilad</w:t>
      </w:r>
      <w:r>
        <w:t xml:space="preserve"> </w:t>
      </w:r>
      <w:r>
        <w:t xml:space="preserve">Feldman</w:t>
      </w:r>
    </w:p>
    <w:p>
      <w:pPr>
        <w:pStyle w:val="Date"/>
      </w:pP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welcome"/>
    <w:p>
      <w:pPr>
        <w:pStyle w:val="Heading1"/>
      </w:pPr>
      <w:r>
        <w:rPr>
          <w:iCs/>
          <w:i/>
        </w:rPr>
        <w:t xml:space="preserve">Welcome</w:t>
      </w:r>
    </w:p>
    <w:p>
      <w:pPr>
        <w:pStyle w:val="FirstParagraph"/>
      </w:pPr>
      <w:r>
        <w:t xml:space="preserve">This effect sizes and confidence intervals collaborative guide aims to provide academics, students and researchers with hands-on, step-by-step instructions for calculating effect sizes and confidence intervals for common statistical tests used in the behavioral, cognitive and social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bookmarkStart w:id="26" w:name="introduction"/>
    <w:p>
      <w:pPr>
        <w:pStyle w:val="Heading2"/>
      </w:pPr>
      <w:r>
        <w:t xml:space="preserve">Introduction</w:t>
      </w:r>
    </w:p>
    <w:p>
      <w:pPr>
        <w:pStyle w:val="FirstParagraph"/>
      </w:pPr>
      <w:r>
        <w:t xml:space="preserve">Effect sizes and confidence intervals are critical metrics for interpreting results and quantifying the magnitude of findings in scientific research. However, calculating these values can be challenging, particularly when original data are unavailable or results are incompletely reported in prior publications. To address this need, our collaborative guide provides hands-on instructions for calculating effect sizes and confidence intervals for common statistical tests in the behavioral, cognitive, and social sciences. Our guide includes background information on these concepts as well as recommendations for useful R packages that can automate many of these computations. R is emphasized due to its capabilities for reproducible analyses; however, we also cover alternative methods for those without expertise in R. This guide is intended to be an evolving open educational resource, updated as new methods and packages become available in this fast-changing era of open scholarship. By compiling these applied instructions, our goal is to enable students and researchers to easily obtain these metrics, facilitating robust and transparent quantification of results, as well as cumulative scientific progress.</w:t>
      </w:r>
    </w:p>
    <w:bookmarkStart w:id="22" w:name="guidelines-for-contribution"/>
    <w:p>
      <w:pPr>
        <w:pStyle w:val="Heading3"/>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 To contribute, there are now two options:</w:t>
      </w:r>
    </w:p>
    <w:p>
      <w:pPr>
        <w:numPr>
          <w:ilvl w:val="0"/>
          <w:numId w:val="1001"/>
        </w:numPr>
        <w:pStyle w:val="Compact"/>
      </w:pPr>
      <w:r>
        <w:t xml:space="preserve">You can suggest edits and make comments in the following google doc:</w:t>
      </w:r>
      <w:r>
        <w:t xml:space="preserve"> </w:t>
      </w:r>
      <w:hyperlink r:id="rId20">
        <w:r>
          <w:rPr>
            <w:rStyle w:val="Hyperlink"/>
          </w:rPr>
          <w:t xml:space="preserve">mgto.org/effectsizeguide</w:t>
        </w:r>
      </w:hyperlink>
      <w:r>
        <w:t xml:space="preserve">.</w:t>
      </w:r>
    </w:p>
    <w:p>
      <w:pPr>
        <w:numPr>
          <w:ilvl w:val="0"/>
          <w:numId w:val="1001"/>
        </w:numPr>
        <w:pStyle w:val="Compact"/>
      </w:pPr>
      <w:r>
        <w:t xml:space="preserve">You can suggest edits directly in the online book using Hypothes.is. To do this you will need to create a free account on hypothes.is (</w:t>
      </w:r>
      <w:hyperlink r:id="rId21">
        <w:r>
          <w:rPr>
            <w:rStyle w:val="Hyperlink"/>
          </w:rPr>
          <w:t xml:space="preserve">hypothes.is/signup</w:t>
        </w:r>
      </w:hyperlink>
      <w:r>
        <w:t xml:space="preserve">; this will take about a minute). Then when you navigate to the online book, you can open the panel on the top right of the screen. There you can suggest edits and create comments with code and latex!</w:t>
      </w:r>
    </w:p>
    <w:bookmarkEnd w:id="22"/>
    <w:bookmarkStart w:id="23" w:name="notes"/>
    <w:p>
      <w:pPr>
        <w:pStyle w:val="Heading3"/>
      </w:pPr>
      <w:r>
        <w:t xml:space="preserve">Notes</w:t>
      </w:r>
    </w:p>
    <w:p>
      <w:pPr>
        <w:numPr>
          <w:ilvl w:val="0"/>
          <w:numId w:val="1002"/>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2"/>
        </w:numPr>
      </w:pPr>
      <w:r>
        <w:t xml:space="preserve">Use the Suggesting mode rather than the Editing mode. Suggesting is now the default mode for this document. Therefore, please do not hesitate to correct mistakes or modify the contents directly.</w:t>
      </w:r>
    </w:p>
    <w:p>
      <w:pPr>
        <w:numPr>
          <w:ilvl w:val="0"/>
          <w:numId w:val="1002"/>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2"/>
        </w:numPr>
      </w:pPr>
      <w:r>
        <w:t xml:space="preserve">Please make proper citations (in APA 7th format) and provide relevant links when you refer to any source that is not your own.</w:t>
      </w:r>
    </w:p>
    <w:bookmarkEnd w:id="23"/>
    <w:bookmarkStart w:id="24"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(M. B. J., Q.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M. B. J. and Q. X. will be the first two authors, S. K. Y. will be second author,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24"/>
    <w:bookmarkStart w:id="25" w:name="cite-this-book"/>
    <w:p>
      <w:pPr>
        <w:pStyle w:val="Heading3"/>
      </w:pPr>
      <w:r>
        <w:t xml:space="preserve">Cite this book</w:t>
      </w:r>
    </w:p>
    <w:p>
      <w:pPr>
        <w:pStyle w:val="FirstParagraph"/>
      </w:pPr>
      <w:r>
        <w:t xml:space="preserve">This will change soon, but for now you can cite this book with the following citation:</w:t>
      </w:r>
    </w:p>
    <w:p>
      <w:pPr>
        <w:pStyle w:val="BodyText"/>
      </w:pPr>
      <w:r>
        <w:rPr>
          <w:bCs/>
          <w:b/>
        </w:rPr>
        <w:t xml:space="preserve">APA:</w:t>
      </w:r>
    </w:p>
    <w:p>
      <w:pPr>
        <w:pStyle w:val="BodyText"/>
      </w:pPr>
      <w:r>
        <w:t xml:space="preserve">Jané, M. B., Xiao, Q., Yeung, S. K., Ben-Shachar, M. S., Caldwell, A. R., Cousineau, D., Dunleavy, D. J., Elsherif, M., Johnson, B. T., Moreau, D., Riesthuis, P., Röseler, L., Steele, J., Vieira, F. F., Zloteanu, M., &amp; Feldman, G. (2024). Guide to effect sizes and confidence intervals. https://matthewbjane.quarto.pub/effect-size-and-confidence-intervals-guide/. Pre</w:t>
      </w:r>
    </w:p>
    <w:p>
      <w:pPr>
        <w:pStyle w:val="BodyText"/>
      </w:pPr>
      <w:r>
        <w:rPr>
          <w:bCs/>
          <w:b/>
        </w:rPr>
        <w:t xml:space="preserve">BibTeX:</w:t>
      </w:r>
    </w:p>
    <w:p>
      <w:pPr>
        <w:pStyle w:val="SourceCode"/>
      </w:pPr>
      <w:r>
        <w:rPr>
          <w:rStyle w:val="NormalTok"/>
        </w:rPr>
        <w:t xml:space="preserve">@misc{EffectSizeGuide, </w:t>
      </w:r>
      <w:r>
        <w:br/>
      </w:r>
      <w:r>
        <w:rPr>
          <w:rStyle w:val="NormalTok"/>
        </w:rPr>
        <w:t xml:space="preserve">  title={Guide to effect sizes and confidence intervals}, </w:t>
      </w:r>
      <w:r>
        <w:br/>
      </w:r>
      <w:r>
        <w:rPr>
          <w:rStyle w:val="NormalTok"/>
        </w:rPr>
        <w:t xml:space="preserve">  author={Jané, Matthew B and Xiao, Qinyu and Yeung, Siu Kit and Ben-Shachar, Mattan S and Caldwell, Aaron R and Cousineau, Denis and Dunleavy, Daniel J and Elsherif, Mahmoud and Johnson, Blair T and Moreau, David and Riesthuis, Paul and Röseler, Lukas and Steele, James and Vieira, Felipe F. and Zloteanu, Mircea and Feldman, Gilad},</w:t>
      </w:r>
      <w:r>
        <w:br/>
      </w:r>
      <w:r>
        <w:rPr>
          <w:rStyle w:val="NormalTok"/>
        </w:rPr>
        <w:t xml:space="preserve">  year={2024},</w:t>
      </w:r>
      <w:r>
        <w:br/>
      </w:r>
      <w:r>
        <w:rPr>
          <w:rStyle w:val="NormalTok"/>
        </w:rPr>
        <w:t xml:space="preserve">  url={https://matthewbjane.quarto.pub/effect-size-and-confidence-intervals-guide/}</w:t>
      </w:r>
      <w:r>
        <w:br/>
      </w:r>
      <w:r>
        <w:rPr>
          <w:rStyle w:val="NormalTok"/>
        </w:rPr>
        <w:t xml:space="preserve">} </w:t>
      </w:r>
    </w:p>
    <w:bookmarkEnd w:id="25"/>
    <w:bookmarkEnd w:id="26"/>
    <w:bookmarkEnd w:id="27"/>
    <w:bookmarkStart w:id="28" w:name="defining-effect-sizes"/>
    <w:p>
      <w:pPr>
        <w:pStyle w:val="Heading1"/>
      </w:pPr>
      <w:r>
        <w:t xml:space="preserve">1. Defining Effect Sizes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t xml:space="preserve"> </w:t>
      </w:r>
      <w:r>
        <w:t xml:space="preserve">(Divine et al. 2018)</w:t>
      </w:r>
      <w:r>
        <w:t xml:space="preserve"> </w:t>
      </w:r>
      <w:r>
        <w:t xml:space="preserve">to report effect sizes</w:t>
      </w:r>
      <w:r>
        <w:t xml:space="preserve"> </w:t>
      </w:r>
      <w:r>
        <w:t xml:space="preserve">(APA 2010, 34; see Fritz, Morris, and Richler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a summary of the results that are expressed in the same units as the raw data. For example, when kilograms are measured, a raw effect size reports a measure in kilograms. Consider the effect of a diet on a treatment group; a control group receives no diet. The change in weight can be expressed as the mean difference between the groups. This measure is also in kg and so is a raw effect size. Standardized effect sizes expressed on a standardized scale which has no longer any unit but which have a universal interpretation. A z score is an example of a standardized measure. This document is concerned exclusively on standardized effect sizes.</w:t>
      </w:r>
    </w:p>
    <w:bookmarkEnd w:id="28"/>
    <w:bookmarkStart w:id="38" w:name="benchmarks"/>
    <w:p>
      <w:pPr>
        <w:pStyle w:val="Heading1"/>
      </w:pPr>
      <w:r>
        <w:t xml:space="preserve">2. 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and Schwarz 2019)</w:t>
      </w:r>
      <w:r>
        <w:t xml:space="preserve"> </w:t>
      </w:r>
      <w:r>
        <w:t xml:space="preserve">and goals; as</w:t>
      </w:r>
      <w:r>
        <w:t xml:space="preserve"> </w:t>
      </w:r>
      <w:r>
        <w:t xml:space="preserve">Glass, McGaw, and Smith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tend to attract controversy</w:t>
      </w:r>
      <w:r>
        <w:t xml:space="preserve"> </w:t>
      </w:r>
      <w:r>
        <w:t xml:space="preserve">(Glass, McGaw, and Smith 1981; Kelley and Preacher 2012; Harrell 2020)</w:t>
      </w:r>
      <w:r>
        <w:t xml:space="preserve">. Note that field-specific empirical benchmarks have been suggested by researchers. For social psychology, these alternative benchmarks obtained through meta-analyzing the literature (for example,</w:t>
      </w:r>
      <w:r>
        <w:t xml:space="preserve"> </w:t>
      </w:r>
      <w:hyperlink r:id="rId29">
        <w:r>
          <w:rPr>
            <w:rStyle w:val="Hyperlink"/>
          </w:rPr>
          <w:t xml:space="preserve">this</w:t>
        </w:r>
      </w:hyperlink>
      <w:r>
        <w:t xml:space="preserve"> </w:t>
      </w:r>
      <w:r>
        <w:t xml:space="preserve">and</w:t>
      </w:r>
      <w:r>
        <w:t xml:space="preserve"> </w:t>
      </w:r>
      <w:hyperlink r:id="rId30">
        <w:r>
          <w:rPr>
            <w:rStyle w:val="Hyperlink"/>
          </w:rPr>
          <w:t xml:space="preserve">this</w:t>
        </w:r>
      </w:hyperlink>
      <w:r>
        <w:t xml:space="preserve">; see</w:t>
      </w:r>
      <w:r>
        <w:t xml:space="preserve"> </w:t>
      </w:r>
      <w:hyperlink r:id="rId31">
        <w:r>
          <w:rPr>
            <w:rStyle w:val="Hyperlink"/>
          </w:rPr>
          <w:t xml:space="preserve">this Twitter/X thread</w:t>
        </w:r>
      </w:hyperlink>
      <w:r>
        <w:t xml:space="preserve"> </w:t>
      </w:r>
      <w:r>
        <w:t xml:space="preserve">for a summary) are typically smaller than what Cohen put forward. Although such field-specific effect size distributions can provide an overview of the observed effect sizes, it does not provide a good interpretation of the magnitude of the effect</w:t>
      </w:r>
      <w:r>
        <w:t xml:space="preserve"> </w:t>
      </w:r>
      <w:r>
        <w:t xml:space="preserve">(see Panzarella, Beribisky, and Cribbie 2021)</w:t>
      </w:r>
      <w:r>
        <w:t xml:space="preserve">. To examine the magnitude of the effect, the specific context of the study at hand needs to be taken into account</w:t>
      </w:r>
      <w:r>
        <w:t xml:space="preserve"> </w:t>
      </w:r>
      <w:r>
        <w:t xml:space="preserve">(pp. 532-535, Cohen 1988)</w:t>
      </w:r>
      <w:r>
        <w:t xml:space="preserve">. Please refer to the table below:</w:t>
      </w:r>
    </w:p>
    <w:tbl>
      <w:tblPr>
        <w:tblStyle w:val="Table"/>
        <w:tblW w:type="pct" w:w="5000"/>
        <w:tblLook w:firstRow="1" w:lastRow="0" w:firstColumn="0" w:lastColumn="0" w:noHBand="0" w:noVBand="0" w:val="0020"/>
        <w:jc w:val="start"/>
      </w:tblPr>
      <w:tblGrid>
        <w:gridCol w:w="2461"/>
        <w:gridCol w:w="1605"/>
        <w:gridCol w:w="1284"/>
        <w:gridCol w:w="1284"/>
        <w:gridCol w:w="1284"/>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32"/>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33"/>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Bond Jr., and Stokes-Zoota (2003)</w:t>
            </w:r>
            <w:r>
              <w:rPr>
                <w:rStyle w:val="FootnoteReference"/>
              </w:rPr>
              <w:footnoteReference w:id="34"/>
            </w:r>
            <w:r>
              <w:rPr>
                <w:rStyle w:val="FootnoteReference"/>
              </w:rPr>
              <w:footnoteReference w:id="35"/>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37"/>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 The reporting of unstandardardized effect sizes is not only beneficial for interpretation but they are also more robust and more easy to compute</w:t>
      </w:r>
      <w:r>
        <w:t xml:space="preserve"> </w:t>
      </w:r>
      <w:r>
        <w:t xml:space="preserve">(Baguley 2009)</w:t>
      </w:r>
      <w:r>
        <w:t xml:space="preserve">. Additionally, a useful tool to examine, for example, the magnitude of a Cohen’s d is by examining U3, percentage overlap, probability of superiority, and numbers needed to treat</w:t>
      </w:r>
      <w:r>
        <w:t xml:space="preserve"> </w:t>
      </w:r>
      <w:r>
        <w:t xml:space="preserve">(For nice visualizations see https://rpsychologist.com/cohend/, Magnusson 2023)</w:t>
      </w:r>
      <w:r>
        <w:t xml:space="preserve">.</w:t>
      </w:r>
    </w:p>
    <w:p>
      <w:pPr>
        <w:pStyle w:val="BodyText"/>
      </w:pPr>
      <w:r>
        <w:t xml:space="preserve">To further assess the practical importance of observed effect sizes, it is necessary to establish the smallest effect size of interest for each specific field</w:t>
      </w:r>
      <w:r>
        <w:t xml:space="preserve"> </w:t>
      </w:r>
      <w:r>
        <w:t xml:space="preserve">(SESOI, Lakens, Scheel, and Isager 2018)</w:t>
      </w:r>
      <w:r>
        <w:t xml:space="preserve">. Cohen’s benchmarks, field-specific benchmarks, or published findings are not preferred to establish the SESOI because they do not convey information about the practical relevance/magnitude of an effect size</w:t>
      </w:r>
      <w:r>
        <w:t xml:space="preserve"> </w:t>
      </w:r>
      <w:r>
        <w:t xml:space="preserve">(Panzarella, Beribisky, and Cribbie 2021)</w:t>
      </w:r>
      <w:r>
        <w:t xml:space="preserve">. Recent developments in various areas of research in psychology have been taken to establish the SESOI through anchor-based methods</w:t>
      </w:r>
      <w:r>
        <w:t xml:space="preserve"> </w:t>
      </w:r>
      <w:r>
        <w:t xml:space="preserve">(Anvari and Lakens 2021)</w:t>
      </w:r>
      <w:r>
        <w:t xml:space="preserve">, consensus-methods</w:t>
      </w:r>
      <w:r>
        <w:t xml:space="preserve"> </w:t>
      </w:r>
      <w:r>
        <w:t xml:space="preserve">(Riesthuis et al. 2022)</w:t>
      </w:r>
      <w:r>
        <w:t xml:space="preserve">, and cost-benefit analyses</w:t>
      </w:r>
      <w:r>
        <w:t xml:space="preserve"> </w:t>
      </w:r>
      <w:r>
        <w:t xml:space="preserve">(see Otgaar et al. 2022, 2023)</w:t>
      </w:r>
      <w:r>
        <w:t xml:space="preserve">. These approaches are frequently implemented successfully in medical research</w:t>
      </w:r>
      <w:r>
        <w:t xml:space="preserve"> </w:t>
      </w:r>
      <w:r>
        <w:t xml:space="preserve">(e.g., HEIJDE et al. 2001)</w:t>
      </w:r>
      <w:r>
        <w:t xml:space="preserve"> </w:t>
      </w:r>
      <w:r>
        <w:t xml:space="preserve">and recommendations are to, ideally, implement the various methods simultaneously to obtain a precise estimate of the smallest effect size of interest</w:t>
      </w:r>
      <w:r>
        <w:t xml:space="preserve"> </w:t>
      </w:r>
      <w:r>
        <w:t xml:space="preserve">(termed minimally clinically important difference in the medical literature, Bonini et al. 2020)</w:t>
      </w:r>
      <w:r>
        <w:t xml:space="preserve">. Interestingly, the minimally clinically important difference</w:t>
      </w:r>
      <w:r>
        <w:t xml:space="preserve"> </w:t>
      </w:r>
      <w:r>
        <w:t xml:space="preserve">(MCID, smallest effect which patients perceive as beneficial [or harmful], McGlothlin and Lewis 2014)</w:t>
      </w:r>
      <w:r>
        <w:t xml:space="preserve"> </w:t>
      </w:r>
      <w:r>
        <w:t xml:space="preserve">is sometimes even deemed as a low bar and other measures are encouraged such as patient acceptable symptomatic state</w:t>
      </w:r>
      <w:r>
        <w:t xml:space="preserve"> </w:t>
      </w:r>
      <w:r>
        <w:t xml:space="preserve">(PASS, level of symptoms a patients allows while still accept their symptom state, this can be used to examine whether a certain treatment leads to a state that patients consider acceptable, Daste et al. 2022)</w:t>
      </w:r>
      <w:r>
        <w:t xml:space="preserve">, substantial clinical benefit</w:t>
      </w:r>
      <w:r>
        <w:t xml:space="preserve"> </w:t>
      </w:r>
      <w:r>
        <w:t xml:space="preserve">(SCB, effect that leads patient to self-report significant improvements, Wellington et al. 2023)</w:t>
      </w:r>
      <w:r>
        <w:t xml:space="preserve">, and maximal outcome improvement</w:t>
      </w:r>
      <w:r>
        <w:t xml:space="preserve"> </w:t>
      </w:r>
      <w:r>
        <w:t xml:space="preserve">(MOI, similar to MCID, PASS, and SCB, except that the scores are normalized by the maximal improvement possible for each patient, Beck et al. 2020; Rossi, Brand, and Lubowitz 2023)</w:t>
      </w:r>
      <w:r>
        <w:t xml:space="preserve">.</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(Orben and Lakens 2020, 1; Meehl 1984)</w:t>
      </w:r>
      <w:r>
        <w:t xml:space="preserve">, but the practical implication of very weak/small correlations between some variables may be limited, and whether the effect is reliably detected depends on statistical power.</w:t>
      </w:r>
    </w:p>
    <w:bookmarkEnd w:id="38"/>
    <w:bookmarkStart w:id="47" w:name="reporting-effect-sizes"/>
    <w:p>
      <w:pPr>
        <w:pStyle w:val="Heading1"/>
      </w:pPr>
      <w:r>
        <w:t xml:space="preserve">3. Reporting Effect Sizes</w:t>
      </w:r>
    </w:p>
    <w:p>
      <w:pPr>
        <w:pStyle w:val="FirstParagraph"/>
      </w:pPr>
      <w:r>
        <w:t xml:space="preserve">When reporting effect sizes, it is important to provide sufficient detail and context to ensure transparency, convey directionality, and indicate precision. Transparency involves clearly documenting procedures and data so that others can reproduce your effect size calculations. Next, for directional effects like Cohen’s d, make sure to define the direction of comparison and align it with your hypothesis. Finally, indicate the precision of the estimate, typically by reporting confidence intervals. Narrower confidence intervals reflect more precision, while wider intervals reflect greater uncertainty (Winter, 2019). Factors like sample size, variability, and study design influence precision. Reporting effect sizes thoughtfully with transparency, directionality, and precision, enables readers to accurately interpret the meaningfulness and implications of your results. In the following sections, we provide recommendations to optimize reporting on each of these factors.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 all CIs are created equal.</w:t>
            </w:r>
          </w:p>
        </w:tc>
      </w:tr>
      <w:tr>
        <w:trPr>
          <w:cantSplit/>
        </w:trPr>
        <w:tc>
          <w:tcPr>
            <w:tcMar>
              <w:top w:w="108" w:type="dxa"/>
              <w:bottom w:w="108" w:type="dxa"/>
            </w:tcMar>
          </w:tcPr>
          <w:p>
            <w:pPr>
              <w:pStyle w:val="BodyText"/>
            </w:pPr>
            <w:pPr>
              <w:spacing w:before="16" w:after="16"/>
            </w:pPr>
            <w:r>
              <w:t xml:space="preserve">Confidence Intervals only indicate parameter precision under specific assumptions. Some have even titled this issue as the precision fallacy</w:t>
            </w:r>
            <w:r>
              <w:t xml:space="preserve"> </w:t>
            </w:r>
            <w:r>
              <w:t xml:space="preserve">(Morey et al. 2016)</w:t>
            </w:r>
            <w:r>
              <w:t xml:space="preserve">. For the same data, CIs can be computed in various ways resulting in wildly different intervals</w:t>
            </w:r>
            <w:r>
              <w:t xml:space="preserve"> </w:t>
            </w:r>
            <w:r>
              <w:t xml:space="preserve">(see the submarine example in Morey et al. 2016)</w:t>
            </w:r>
            <w:r>
              <w:t xml:space="preserve">. Such CIs are computed by inverting hypothesis tests (using the p-value obtained from a model); see this discussion by</w:t>
            </w:r>
            <w:r>
              <w:t xml:space="preserve"> </w:t>
            </w:r>
            <w:r>
              <w:t xml:space="preserve">Gelman (2011)</w:t>
            </w:r>
            <w:r>
              <w:t xml:space="preserve">. Under this approach, the CI reflects the data and model (+assumptions), not just the parameter estimate. If one is using an improper model, the associated CI will be misleading and its width will not reflect precision or uncertainty. The solution is to compute CIs based on the data at hand, such as constructing parametric (if the distribution is known) or non-parametric (empirical distribution) bootstrapped CIs, or understand that your CIs are conditional on the model you used. That said, for CIs computed for effect sizes like Cohen’s d, which assume a Gaussian distribution, the precision fallacy should not be a problem and can be used to infer precision (see this forum</w:t>
            </w:r>
            <w:r>
              <w:t xml:space="preserve"> </w:t>
            </w:r>
            <w:hyperlink r:id="rId42">
              <w:r>
                <w:rPr>
                  <w:rStyle w:val="Hyperlink"/>
                </w:rPr>
                <w:t xml:space="preserve">discussion</w:t>
              </w:r>
            </w:hyperlink>
            <w:r>
              <w:t xml:space="preserve">).</w:t>
            </w:r>
          </w:p>
        </w:tc>
      </w:tr>
    </w:tbl>
    <w:bookmarkStart w:id="43" w:name="transparency"/>
    <w:p>
      <w:pPr>
        <w:pStyle w:val="Heading2"/>
      </w:pPr>
      <w:r>
        <w:t xml:space="preserve">3.1 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43"/>
    <w:bookmarkStart w:id="45" w:name="directionality"/>
    <w:p>
      <w:pPr>
        <w:pStyle w:val="Heading2"/>
      </w:pPr>
      <w:r>
        <w:t xml:space="preserve">3.2 Directionality</w:t>
      </w:r>
    </w:p>
    <w:p>
      <w:pPr>
        <w:pStyle w:val="FirstParagraph"/>
      </w:pPr>
      <w:r>
        <w:t xml:space="preserve">Some effect sizes are directional (e.g., Cohen’s</w:t>
      </w:r>
      <w:r>
        <w:t xml:space="preserve"> </w:t>
      </w:r>
      <m:oMath>
        <m:r>
          <m:t>d</m:t>
        </m:r>
      </m:oMath>
      <w:r>
        <w:t xml:space="preserve">, Pearson correlations</w:t>
      </w:r>
      <w:r>
        <w:t xml:space="preserve"> </w:t>
      </w:r>
      <m:oMath>
        <m:r>
          <m:t>r</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44"/>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45"/>
    <w:bookmarkStart w:id="46" w:name="precision"/>
    <w:p>
      <w:pPr>
        <w:pStyle w:val="Heading2"/>
      </w:pPr>
      <w:r>
        <w:t xml:space="preserve">3.3 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46"/>
    <w:bookmarkEnd w:id="47"/>
    <w:bookmarkStart w:id="48" w:name="interpreting-confidence-intervals"/>
    <w:p>
      <w:pPr>
        <w:pStyle w:val="Heading1"/>
      </w:pPr>
      <w:r>
        <w:t xml:space="preserve">4. 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 For the effect estimate and confidence intervals to be valid, the data and test must meet the assumptions of the estimating procedure.</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and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48"/>
    <w:bookmarkStart w:id="51" w:name="reporting-confidence-intervals"/>
    <w:p>
      <w:pPr>
        <w:pStyle w:val="Heading1"/>
      </w:pPr>
      <w:r>
        <w:t xml:space="preserve">5. 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Alpha level</w:t>
            </w:r>
          </w:p>
        </w:tc>
      </w:tr>
      <w:tr>
        <w:trPr>
          <w:cantSplit/>
        </w:trPr>
        <w:tc>
          <w:tcPr>
            <w:tcMar>
              <w:top w:w="108" w:type="dxa"/>
              <w:bottom w:w="108" w:type="dxa"/>
            </w:tcMar>
          </w:tcPr>
          <w:p>
            <w:pPr>
              <w:pStyle w:val="BodyText"/>
            </w:pPr>
            <w:pPr>
              <w:spacing w:before="16" w:after="16"/>
            </w:pPr>
            <w:r>
              <w:t xml:space="preserve">The confidence interval depends on the alpha level, that is, the proportion of CIs upon repeated sampling that will not contain the true parameter. If the true effect is zero (or null), the the alpha level represents the false positive rate (i.e., the rate of observing a significant effect when there is none). The 95% CI is based on an alpha level of .05, however researchers can choose any value (between 0 and 1), as long as it is properly justified</w:t>
            </w:r>
            <w:r>
              <w:t xml:space="preserve"> </w:t>
            </w:r>
            <w:r>
              <w:t xml:space="preserve">(Lakens 2022)</w:t>
            </w:r>
            <w:r>
              <w:t xml:space="preserve">.</w:t>
            </w:r>
          </w:p>
        </w:tc>
      </w:tr>
    </w:tbl>
    <w:p>
      <w:pPr>
        <w:pStyle w:val="BodyText"/>
      </w:pPr>
      <w:r>
        <w:t xml:space="preserve">Nonetheless, for some effect sizes (e.g., eta-squared, partial eta-squared, R-squared), we calculate 90% confidence intervals. This is because</w:t>
      </w:r>
      <w:r>
        <w:t xml:space="preserve"> </w:t>
      </w:r>
      <m:oMath>
        <m:sSup>
          <m:e>
            <m:r>
              <m:t>η</m:t>
            </m:r>
          </m:e>
          <m:sup>
            <m:r>
              <m:t>2</m:t>
            </m:r>
          </m:sup>
        </m:sSup>
      </m:oMath>
      <w:r>
        <w:t xml:space="preserve"> </w:t>
      </w:r>
      <w:r>
        <w:t xml:space="preserve">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that the effect size estimate is not included within your CI, you likely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BodyText"/>
      </w:pPr>
      <w:r>
        <w:t xml:space="preserve">For further reading related to the calculation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51"/>
    <w:bookmarkStart w:id="66" w:name="using-r"/>
    <w:p>
      <w:pPr>
        <w:pStyle w:val="Heading1"/>
      </w:pPr>
      <w:r>
        <w:t xml:space="preserve">6. Using R</w:t>
      </w:r>
    </w:p>
    <w:bookmarkStart w:id="52" w:name="why-use-r"/>
    <w:p>
      <w:pPr>
        <w:pStyle w:val="Heading2"/>
      </w:pPr>
      <w:r>
        <w:t xml:space="preserve">6.1 Why Use R?</w:t>
      </w:r>
    </w:p>
    <w:p>
      <w:pPr>
        <w:pStyle w:val="FirstParagraph"/>
      </w:pPr>
      <w:r>
        <w:t xml:space="preserve">We strongly recommend using open-source software such as R or Python for computing effect sizes and confidence intervals. In this guide, we focus on R, which has several advantages:</w:t>
      </w:r>
    </w:p>
    <w:p>
      <w:pPr>
        <w:numPr>
          <w:ilvl w:val="0"/>
          <w:numId w:val="1003"/>
        </w:numPr>
      </w:pPr>
      <w:r>
        <w:rPr>
          <w:bCs/>
          <w:b/>
        </w:rPr>
        <w:t xml:space="preserve">Reproducibility</w:t>
      </w:r>
      <w:r>
        <w:t xml:space="preserve">: R syntax can be shared to allow others to reproduce your analyses. This promotes transparency and reliability in research.</w:t>
      </w:r>
    </w:p>
    <w:p>
      <w:pPr>
        <w:numPr>
          <w:ilvl w:val="0"/>
          <w:numId w:val="1003"/>
        </w:numPr>
      </w:pPr>
      <w:r>
        <w:rPr>
          <w:bCs/>
          <w:b/>
        </w:rPr>
        <w:t xml:space="preserve">Flexibility</w:t>
      </w:r>
      <w:r>
        <w:t xml:space="preserve">: CRAN repositories contain thousands of user-contributed packages for specialized statistical techniques. This allows calculating a diverse range of effect size and CI metrics.</w:t>
      </w:r>
    </w:p>
    <w:p>
      <w:pPr>
        <w:numPr>
          <w:ilvl w:val="0"/>
          <w:numId w:val="1003"/>
        </w:numPr>
      </w:pPr>
      <w:r>
        <w:rPr>
          <w:bCs/>
          <w:b/>
        </w:rPr>
        <w:t xml:space="preserve">Free and open source</w:t>
      </w:r>
      <w:r>
        <w:t xml:space="preserve">: R is free to download and use. The open source nature means community-driven innovation and packages.</w:t>
      </w:r>
    </w:p>
    <w:p>
      <w:pPr>
        <w:numPr>
          <w:ilvl w:val="0"/>
          <w:numId w:val="1003"/>
        </w:numPr>
      </w:pPr>
      <w:r>
        <w:rPr>
          <w:bCs/>
          <w:b/>
        </w:rPr>
        <w:t xml:space="preserve">Visualizations</w:t>
      </w:r>
      <w:r>
        <w:t xml:space="preserve">: R makes it easy to create publication-quality graphics to visualize your results.</w:t>
      </w:r>
    </w:p>
    <w:p>
      <w:pPr>
        <w:numPr>
          <w:ilvl w:val="0"/>
          <w:numId w:val="1003"/>
        </w:numPr>
      </w:pPr>
      <w:r>
        <w:rPr>
          <w:bCs/>
          <w:b/>
        </w:rPr>
        <w:t xml:space="preserve">Scripting</w:t>
      </w:r>
      <w:r>
        <w:t xml:space="preserve">: Automating analyses through R scripts improves efficiency and consistency.</w:t>
      </w:r>
    </w:p>
    <w:p>
      <w:pPr>
        <w:numPr>
          <w:ilvl w:val="0"/>
          <w:numId w:val="1003"/>
        </w:numPr>
      </w:pPr>
      <w:r>
        <w:rPr>
          <w:bCs/>
          <w:b/>
        </w:rPr>
        <w:t xml:space="preserve">Range of packages</w:t>
      </w:r>
      <w:r>
        <w:t xml:space="preserve">: Packages like</w:t>
      </w:r>
      <w:r>
        <w:t xml:space="preserve"> </w:t>
      </w:r>
      <w:r>
        <w:rPr>
          <w:rStyle w:val="VerbatimChar"/>
        </w:rPr>
        <w:t xml:space="preserve">effectsize</w:t>
      </w:r>
      <w:r>
        <w:t xml:space="preserve">,</w:t>
      </w:r>
      <w:r>
        <w:t xml:space="preserve"> </w:t>
      </w:r>
      <w:r>
        <w:rPr>
          <w:rStyle w:val="VerbatimChar"/>
        </w:rPr>
        <w:t xml:space="preserve">MBESS</w:t>
      </w:r>
      <w:r>
        <w:t xml:space="preserve">,</w:t>
      </w:r>
      <w:r>
        <w:t xml:space="preserve"> </w:t>
      </w:r>
      <w:r>
        <w:rPr>
          <w:rStyle w:val="VerbatimChar"/>
        </w:rPr>
        <w:t xml:space="preserve">metafor</w:t>
      </w:r>
      <w:r>
        <w:t xml:space="preserve">, and more contain a variety of effect size and CI functions.</w:t>
      </w:r>
    </w:p>
    <w:p>
      <w:pPr>
        <w:pStyle w:val="FirstParagraph"/>
      </w:pPr>
      <w:r>
        <w:t xml:space="preserve">Many (if not all) of these advantages are shared with Python and a number of other programming languages. While online calculators or GUI software can also allow calculating confidence intervals and effect sizes, open-source software such as R provide transparency, reproducibility, and access to a vast array of techniques. In the case of R, the learning curve is well worth it for doing robust, state-of-the-art effect size and confidence interval estimation.</w:t>
      </w:r>
    </w:p>
    <w:bookmarkEnd w:id="52"/>
    <w:bookmarkStart w:id="65" w:name="useful-r-packages"/>
    <w:p>
      <w:pPr>
        <w:pStyle w:val="Heading2"/>
      </w:pPr>
      <w:r>
        <w:t xml:space="preserve">6.2 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4"/>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53">
        <w:r>
          <w:rPr>
            <w:rStyle w:val="Hyperlink"/>
          </w:rPr>
          <w:t xml:space="preserve">doomlab.shinyapps.io/mote/</w:t>
        </w:r>
      </w:hyperlink>
      <w:r>
        <w:t xml:space="preserve">). The CRAN project can be found here:</w:t>
      </w:r>
      <w:r>
        <w:t xml:space="preserve"> </w:t>
      </w:r>
      <w:hyperlink r:id="rId54">
        <w:r>
          <w:rPr>
            <w:rStyle w:val="Hyperlink"/>
          </w:rPr>
          <w:t xml:space="preserve">cran.r-project.org/package=MOTE</w:t>
        </w:r>
      </w:hyperlink>
      <w:r>
        <w:t xml:space="preserve">.</w:t>
      </w:r>
    </w:p>
    <w:p>
      <w:pPr>
        <w:numPr>
          <w:ilvl w:val="0"/>
          <w:numId w:val="1004"/>
        </w:numPr>
      </w:pPr>
      <w:r>
        <w:rPr>
          <w:rStyle w:val="VerbatimChar"/>
        </w:rPr>
        <w:t xml:space="preserve">effectsize</w:t>
      </w:r>
      <w:r>
        <w:t xml:space="preserve"> </w:t>
      </w:r>
      <w:r>
        <w:t xml:space="preserve">(Ben-Shachar, Lüdecke, and Makowski 2020)</w:t>
      </w:r>
      <w:r>
        <w:t xml:space="preserve">: This package is particularly useful in data analysis. A major advantage of this package is that it takes in many different model objects and directly outputs effect sizes and CIs. It also implements conversions between a wide array of indices and features functions to perform automated effect size interpretations based on existing benchmark thresholds. The CRAN project can be found here:</w:t>
      </w:r>
      <w:r>
        <w:t xml:space="preserve"> </w:t>
      </w:r>
      <w:hyperlink r:id="rId55">
        <w:r>
          <w:rPr>
            <w:rStyle w:val="Hyperlink"/>
          </w:rPr>
          <w:t xml:space="preserve">cran.r-project.org/package=effectsize</w:t>
        </w:r>
      </w:hyperlink>
      <w:r>
        <w:t xml:space="preserve">.</w:t>
      </w:r>
    </w:p>
    <w:p>
      <w:pPr>
        <w:numPr>
          <w:ilvl w:val="0"/>
          <w:numId w:val="1004"/>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56">
        <w:r>
          <w:rPr>
            <w:rStyle w:val="Hyperlink"/>
          </w:rPr>
          <w:t xml:space="preserve">cran.r-project.org/package=MBESS</w:t>
        </w:r>
      </w:hyperlink>
      <w:r>
        <w:t xml:space="preserve">.</w:t>
      </w:r>
    </w:p>
    <w:p>
      <w:pPr>
        <w:numPr>
          <w:ilvl w:val="0"/>
          <w:numId w:val="1004"/>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57">
        <w:r>
          <w:rPr>
            <w:rStyle w:val="Hyperlink"/>
          </w:rPr>
          <w:t xml:space="preserve">cran.r-project.org/package=metafor</w:t>
        </w:r>
      </w:hyperlink>
      <w:r>
        <w:t xml:space="preserve">.</w:t>
      </w:r>
    </w:p>
    <w:p>
      <w:pPr>
        <w:numPr>
          <w:ilvl w:val="0"/>
          <w:numId w:val="1004"/>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58">
        <w:r>
          <w:rPr>
            <w:rStyle w:val="Hyperlink"/>
          </w:rPr>
          <w:t xml:space="preserve">cran.r-project.org/package=psych</w:t>
        </w:r>
      </w:hyperlink>
      <w:r>
        <w:t xml:space="preserve">.</w:t>
      </w:r>
    </w:p>
    <w:p>
      <w:pPr>
        <w:numPr>
          <w:ilvl w:val="0"/>
          <w:numId w:val="1004"/>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59">
        <w:r>
          <w:rPr>
            <w:rStyle w:val="Hyperlink"/>
          </w:rPr>
          <w:t xml:space="preserve">cran.r-project.org/package=esc</w:t>
        </w:r>
      </w:hyperlink>
      <w:r>
        <w:t xml:space="preserve">.</w:t>
      </w:r>
    </w:p>
    <w:p>
      <w:pPr>
        <w:numPr>
          <w:ilvl w:val="0"/>
          <w:numId w:val="1004"/>
        </w:numPr>
      </w:pPr>
      <w:r>
        <w:rPr>
          <w:rStyle w:val="VerbatimChar"/>
        </w:rPr>
        <w:t xml:space="preserve">psychmeta</w:t>
      </w:r>
      <w:r>
        <w:t xml:space="preserve"> </w:t>
      </w:r>
      <w:r>
        <w:t xml:space="preserve">(Dahlke and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60">
        <w:r>
          <w:rPr>
            <w:rStyle w:val="Hyperlink"/>
          </w:rPr>
          <w:t xml:space="preserve">cran.r-project.org/package=psychmeta</w:t>
        </w:r>
      </w:hyperlink>
      <w:r>
        <w:t xml:space="preserve">.</w:t>
      </w:r>
    </w:p>
    <w:p>
      <w:pPr>
        <w:numPr>
          <w:ilvl w:val="0"/>
          <w:numId w:val="1004"/>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61">
        <w:r>
          <w:rPr>
            <w:rStyle w:val="Hyperlink"/>
          </w:rPr>
          <w:t xml:space="preserve">cran.r-project.org/package=effsize</w:t>
        </w:r>
      </w:hyperlink>
      <w:r>
        <w:t xml:space="preserve">.</w:t>
      </w:r>
    </w:p>
    <w:p>
      <w:pPr>
        <w:numPr>
          <w:ilvl w:val="0"/>
          <w:numId w:val="1004"/>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62">
        <w:r>
          <w:rPr>
            <w:rStyle w:val="Hyperlink"/>
          </w:rPr>
          <w:t xml:space="preserve">cran.r-project.org/package=MAd</w:t>
        </w:r>
      </w:hyperlink>
      <w:r>
        <w:t xml:space="preserve">.</w:t>
      </w:r>
    </w:p>
    <w:p>
      <w:pPr>
        <w:numPr>
          <w:ilvl w:val="0"/>
          <w:numId w:val="1004"/>
        </w:numPr>
      </w:pPr>
      <w:r>
        <w:rPr>
          <w:rStyle w:val="VerbatimChar"/>
        </w:rPr>
        <w:t xml:space="preserve">TOSTER</w:t>
      </w:r>
      <w:r>
        <w:t xml:space="preserve"> </w:t>
      </w:r>
      <w:r>
        <w:t xml:space="preserve">(Läkens 2017; Caldwell 2022)</w:t>
      </w:r>
      <w:r>
        <w:t xml:space="preserve">: This package is designed for equivalence testing. It contains many functions to test for differences in effect sizes along with other useful functions for effect size comparisons. The CRAN project can be found here:</w:t>
      </w:r>
      <w:r>
        <w:t xml:space="preserve"> </w:t>
      </w:r>
      <w:hyperlink r:id="rId63">
        <w:r>
          <w:rPr>
            <w:rStyle w:val="Hyperlink"/>
          </w:rPr>
          <w:t xml:space="preserve">cran.r-project.org/package=TOSTER</w:t>
        </w:r>
      </w:hyperlink>
      <w:r>
        <w:t xml:space="preserve">.</w:t>
      </w:r>
    </w:p>
    <w:p>
      <w:pPr>
        <w:numPr>
          <w:ilvl w:val="0"/>
          <w:numId w:val="1004"/>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64">
        <w:r>
          <w:rPr>
            <w:rStyle w:val="Hyperlink"/>
          </w:rPr>
          <w:t xml:space="preserve">cran.r-project.org/package=DeclareDesign</w:t>
        </w:r>
      </w:hyperlink>
      <w:r>
        <w:t xml:space="preserve">.</w:t>
      </w:r>
    </w:p>
    <w:bookmarkEnd w:id="65"/>
    <w:bookmarkEnd w:id="66"/>
    <w:bookmarkStart w:id="71" w:name="artifacts-and-bias-in-effect-sizes"/>
    <w:p>
      <w:pPr>
        <w:pStyle w:val="Heading1"/>
      </w:pPr>
      <w:r>
        <w:t xml:space="preserve">7. Artifacts and Bias in Effect Sizes</w:t>
      </w:r>
    </w:p>
    <w:bookmarkStart w:id="67" w:name="resources"/>
    <w:p>
      <w:pPr>
        <w:pStyle w:val="Heading2"/>
      </w:pPr>
      <w:r>
        <w:t xml:space="preserve">7.1 Resources</w:t>
      </w:r>
    </w:p>
    <w:p>
      <w:pPr>
        <w:pStyle w:val="FirstParagraph"/>
      </w:pPr>
      <w:r>
        <w:t xml:space="preserve">Effect size estimates such as correlation coefficients and Cohen’s</w:t>
      </w:r>
      <w:r>
        <w:t xml:space="preserve"> </w:t>
      </w:r>
      <m:oMath>
        <m:r>
          <m:t>d</m:t>
        </m:r>
      </m:oMath>
      <w:r>
        <w:t xml:space="preserve"> </w:t>
      </w:r>
      <w:r>
        <w:t xml:space="preserve">values can be severely biased due to various statistical artifacts such as measurement error and selection effects (e.g., range restriction). Methods have been developed to correct for the bias in effect sizes and thus these corrections are called</w:t>
      </w:r>
      <w:r>
        <w:t xml:space="preserve"> </w:t>
      </w:r>
      <w:r>
        <w:t xml:space="preserve">“</w:t>
      </w:r>
      <w:r>
        <w:t xml:space="preserve">artifact corrections</w:t>
      </w:r>
      <w:r>
        <w:t xml:space="preserve">”</w:t>
      </w:r>
      <w:r>
        <w:t xml:space="preserve">. Artifact correction formulas can be complex and therefore readers are referred to other resources listed below:</w:t>
      </w:r>
    </w:p>
    <w:p>
      <w:pPr>
        <w:numPr>
          <w:ilvl w:val="0"/>
          <w:numId w:val="1005"/>
        </w:numPr>
      </w:pPr>
      <w:r>
        <w:t xml:space="preserve">Jané (2023)</w:t>
      </w:r>
      <w:r>
        <w:t xml:space="preserve"> </w:t>
      </w:r>
      <w:r>
        <w:t xml:space="preserve">: An open-access textbook that contains equations and R code for various types of artifact corrections. Not yet released.</w:t>
      </w:r>
    </w:p>
    <w:p>
      <w:pPr>
        <w:numPr>
          <w:ilvl w:val="0"/>
          <w:numId w:val="1005"/>
        </w:numPr>
      </w:pPr>
      <w:r>
        <w:t xml:space="preserve">Hunter and Schmidt (1990)</w:t>
      </w:r>
      <w:r>
        <w:t xml:space="preserve"> </w:t>
      </w:r>
      <w:r>
        <w:t xml:space="preserve">: Classic textbook on the topic of artifact corrections. Hunter and Schmidt pioneered the methodology for artifact correction style meta-analyses.</w:t>
      </w:r>
    </w:p>
    <w:p>
      <w:pPr>
        <w:numPr>
          <w:ilvl w:val="0"/>
          <w:numId w:val="1005"/>
        </w:numPr>
      </w:pPr>
      <w:r>
        <w:t xml:space="preserve">Wiernik and Dahlke (2020)</w:t>
      </w:r>
      <w:r>
        <w:t xml:space="preserve"> </w:t>
      </w:r>
      <w:r>
        <w:t xml:space="preserve">: A paper that serves as a condensed version of Hunter and Schmidt’s book. It contains most of the equations necessary to correct effect sizes.</w:t>
      </w:r>
    </w:p>
    <w:p>
      <w:pPr>
        <w:numPr>
          <w:ilvl w:val="0"/>
          <w:numId w:val="1005"/>
        </w:numPr>
      </w:pPr>
      <w:r>
        <w:t xml:space="preserve">Dahlke and Wiernik (2019)</w:t>
      </w:r>
      <w:r>
        <w:t xml:space="preserve"> </w:t>
      </w:r>
      <w:r>
        <w:t xml:space="preserve">: An R package for conducting artifact correction meta-analyses. Contains all the functions one would need to correct effect sizes for artifacts in R.</w:t>
      </w:r>
    </w:p>
    <w:bookmarkEnd w:id="67"/>
    <w:bookmarkStart w:id="69" w:name="correcting-for-measurement-error"/>
    <w:p>
      <w:pPr>
        <w:pStyle w:val="Heading2"/>
      </w:pPr>
      <w:r>
        <w:t xml:space="preserve">7.2 Correcting for Measurement Error</w:t>
      </w:r>
    </w:p>
    <w:p>
      <w:pPr>
        <w:pStyle w:val="FirstParagraph"/>
      </w:pPr>
      <w:r>
        <w:t xml:space="preserve">If we have reliability estimates of the variables of interest, we can correct a Pearson correlation or a standardized mean difference (Cohen’s</w:t>
      </w:r>
      <w:r>
        <w:t xml:space="preserve"> </w:t>
      </w:r>
      <m:oMath>
        <m:r>
          <m:t>d</m:t>
        </m:r>
      </m:oMath>
      <w:r>
        <w:t xml:space="preserve">) for measurement error. Non-differential measurement error attenuates Pearson correlations and Cohen’s</w:t>
      </w:r>
      <w:r>
        <w:t xml:space="preserve"> </w:t>
      </w:r>
      <m:oMath>
        <m:r>
          <m:t>d</m:t>
        </m:r>
      </m:oMath>
      <w:r>
        <w:t xml:space="preserve"> </w:t>
      </w:r>
      <w:r>
        <w:t xml:space="preserve">therefore we can apply correction factors to adjust for this bias. For a pearson correlation, we can use the correction for attenuation first developed by</w:t>
      </w:r>
      <w:r>
        <w:t xml:space="preserve"> </w:t>
      </w:r>
      <w:r>
        <w:t xml:space="preserve">Spearman (1904)</w:t>
      </w:r>
      <w:r>
        <w:t xml:space="preserve">,</w:t>
      </w:r>
    </w:p>
    <w:p>
      <w:pPr>
        <w:pStyle w:val="BodyText"/>
      </w:pPr>
      <w:bookmarkStart w:id="68" w:name="eq-corr-r"/>
      <m:oMathPara>
        <m:oMathParaPr>
          <m:jc m:val="center"/>
        </m:oMathParaPr>
        <m:oMath>
          <m:sSub>
            <m:e>
              <m:r>
                <m:t>r</m:t>
              </m:r>
            </m:e>
            <m:sub>
              <m:r>
                <m:t>c</m:t>
              </m:r>
            </m:sub>
          </m:sSub>
          <m:r>
            <m:rPr>
              <m:sty m:val="p"/>
            </m:rPr>
            <m:t>=</m:t>
          </m:r>
          <m:f>
            <m:fPr>
              <m:type m:val="bar"/>
            </m:fPr>
            <m:num>
              <m:sSub>
                <m:e>
                  <m:r>
                    <m:t>r</m:t>
                  </m:r>
                </m:e>
                <m:sub>
                  <m:r>
                    <m:rPr>
                      <m:nor/>
                      <m:sty m:val="p"/>
                    </m:rPr>
                    <m:t>obs</m:t>
                  </m:r>
                </m:sub>
              </m:sSub>
            </m:num>
            <m:den>
              <m:rad>
                <m:radPr>
                  <m:degHide m:val="1"/>
                </m:radPr>
                <m:deg/>
                <m:e>
                  <m:sSub>
                    <m:e>
                      <m:r>
                        <m:t>r</m:t>
                      </m:r>
                    </m:e>
                    <m:sub>
                      <m:r>
                        <m:t>x</m:t>
                      </m:r>
                      <m:r>
                        <m:t>x</m:t>
                      </m:r>
                      <m:r>
                        <m:rPr>
                          <m:sty m:val="p"/>
                        </m:rPr>
                        <m:t>′</m:t>
                      </m:r>
                    </m:sub>
                  </m:sSub>
                  <m:sSub>
                    <m:e>
                      <m:r>
                        <m:t>r</m:t>
                      </m:r>
                    </m:e>
                    <m:sub>
                      <m:r>
                        <m:t>y</m:t>
                      </m:r>
                      <m:r>
                        <m:t>y</m:t>
                      </m:r>
                      <m:r>
                        <m:rPr>
                          <m:sty m:val="p"/>
                        </m:rPr>
                        <m:t>′</m:t>
                      </m:r>
                    </m:sub>
                  </m:sSub>
                </m:e>
              </m:rad>
            </m:den>
          </m:f>
          <m:r>
            <m:t>  </m:t>
          </m:r>
          <m:d>
            <m:dPr>
              <m:begChr m:val="("/>
              <m:endChr m:val=")"/>
              <m:sepChr m:val=""/>
              <m:grow/>
            </m:dPr>
            <m:e>
              <m:r>
                <m:t>7.1</m:t>
              </m:r>
            </m:e>
          </m:d>
        </m:oMath>
      </m:oMathPara>
      <w:bookmarkEnd w:id="68"/>
    </w:p>
    <w:p>
      <w:pPr>
        <w:pStyle w:val="FirstParagraph"/>
      </w:pPr>
      <w:r>
        <w:t xml:space="preserve">where</w:t>
      </w:r>
      <w:r>
        <w:t xml:space="preserve"> </w:t>
      </w:r>
      <m:oMath>
        <m:sSub>
          <m:e>
            <m:r>
              <m:t>r</m:t>
            </m:r>
          </m:e>
          <m:sub>
            <m:r>
              <m:t>c</m:t>
            </m:r>
          </m:sub>
        </m:sSub>
      </m:oMath>
      <w:r>
        <w:t xml:space="preserve"> </w:t>
      </w:r>
      <w:r>
        <w:t xml:space="preserve">is the corrected correlation,</w:t>
      </w:r>
      <w:r>
        <w:t xml:space="preserve"> </w:t>
      </w:r>
      <m:oMath>
        <m:sSub>
          <m:e>
            <m:r>
              <m:t>r</m:t>
            </m:r>
          </m:e>
          <m:sub>
            <m:r>
              <m:rPr>
                <m:nor/>
                <m:sty m:val="p"/>
              </m:rPr>
              <m:t>obs</m:t>
            </m:r>
          </m:sub>
        </m:sSub>
      </m:oMath>
      <w:r>
        <w:t xml:space="preserve"> </w:t>
      </w:r>
      <w:r>
        <w:t xml:space="preserve">is the observed correlation,</w:t>
      </w:r>
      <w:r>
        <w:t xml:space="preserve"> </w:t>
      </w:r>
      <m:oMath>
        <m:sSub>
          <m:e>
            <m:r>
              <m:t>r</m:t>
            </m:r>
          </m:e>
          <m:sub>
            <m:r>
              <m:t>x</m:t>
            </m:r>
            <m:r>
              <m:t>x</m:t>
            </m:r>
            <m:r>
              <m:rPr>
                <m:sty m:val="p"/>
              </m:rPr>
              <m:t>′</m:t>
            </m:r>
          </m:sub>
        </m:sSub>
      </m:oMath>
      <w:r>
        <w:t xml:space="preserve"> </w:t>
      </w:r>
      <w:r>
        <w:t xml:space="preserve">is the reliability of</w:t>
      </w:r>
      <w:r>
        <w:t xml:space="preserve"> </w:t>
      </w:r>
      <m:oMath>
        <m:r>
          <m:t>x</m:t>
        </m:r>
      </m:oMath>
      <w:r>
        <w:t xml:space="preserve">, and</w:t>
      </w:r>
      <w:r>
        <w:t xml:space="preserve"> </w:t>
      </w:r>
      <m:oMath>
        <m:sSub>
          <m:e>
            <m:r>
              <m:t>r</m:t>
            </m:r>
          </m:e>
          <m:sub>
            <m:r>
              <m:t>y</m:t>
            </m:r>
            <m:r>
              <m:t>y</m:t>
            </m:r>
            <m:r>
              <m:rPr>
                <m:sty m:val="p"/>
              </m:rPr>
              <m:t>′</m:t>
            </m:r>
          </m:sub>
        </m:sSub>
      </m:oMath>
      <w:r>
        <w:t xml:space="preserve"> </w:t>
      </w:r>
      <w:r>
        <w:t xml:space="preserve">is the reliability of</w:t>
      </w:r>
      <w:r>
        <w:t xml:space="preserve"> </w:t>
      </w:r>
      <m:oMath>
        <m:r>
          <m:t>y</m:t>
        </m:r>
      </m:oMath>
      <w:r>
        <w:t xml:space="preserve">. reliability coefficients can be estimated a number of different ways however the two of the most common estimators is Cronbach Alpha and Test-retest reliability. Alpha measures the internal consistency of a set of sub-component measurements (e.g., question responses on a questionnaire) while test-retest reliability measures the stability over time.</w:t>
      </w:r>
    </w:p>
    <w:p>
      <w:pPr>
        <w:pStyle w:val="BodyText"/>
      </w:pPr>
      <w:r>
        <w:t xml:space="preserve">A Cohen’s</w:t>
      </w:r>
      <w:r>
        <w:t xml:space="preserve"> </w:t>
      </w:r>
      <m:oMath>
        <m:r>
          <m:t>d</m:t>
        </m:r>
      </m:oMath>
      <w:r>
        <w:t xml:space="preserve"> </w:t>
      </w:r>
      <w:r>
        <w:t xml:space="preserve">can be corrected similarly to a correlation coefficient, however since it only has one continuous variable we can just correct for reliability in the continuous variable</w:t>
      </w:r>
    </w:p>
    <w:p>
      <w:pPr>
        <w:pStyle w:val="BodyText"/>
      </w:pPr>
      <m:oMathPara>
        <m:oMathParaPr>
          <m:jc m:val="center"/>
        </m:oMathParaPr>
        <m:oMath>
          <m:sSub>
            <m:e>
              <m:r>
                <m:t>d</m:t>
              </m:r>
            </m:e>
            <m:sub>
              <m:r>
                <m:t>c</m:t>
              </m:r>
            </m:sub>
          </m:sSub>
          <m:r>
            <m:rPr>
              <m:sty m:val="p"/>
            </m:rPr>
            <m:t>=</m:t>
          </m:r>
          <m:f>
            <m:fPr>
              <m:type m:val="bar"/>
            </m:fPr>
            <m:num>
              <m:sSub>
                <m:e>
                  <m:r>
                    <m:t>d</m:t>
                  </m:r>
                </m:e>
                <m:sub>
                  <m:r>
                    <m:rPr>
                      <m:nor/>
                      <m:sty m:val="p"/>
                    </m:rPr>
                    <m:t>obs</m:t>
                  </m:r>
                </m:sub>
              </m:sSub>
            </m:num>
            <m:den>
              <m:rad>
                <m:radPr>
                  <m:degHide m:val="1"/>
                </m:radPr>
                <m:deg/>
                <m:e>
                  <m:sSub>
                    <m:e>
                      <m:r>
                        <m:t>r</m:t>
                      </m:r>
                    </m:e>
                    <m:sub>
                      <m:r>
                        <m:t>y</m:t>
                      </m:r>
                      <m:r>
                        <m:t>y</m:t>
                      </m:r>
                      <m:r>
                        <m:rPr>
                          <m:sty m:val="p"/>
                        </m:rPr>
                        <m:t>′</m:t>
                      </m:r>
                    </m:sub>
                  </m:sSub>
                </m:e>
              </m:rad>
            </m:den>
          </m:f>
        </m:oMath>
      </m:oMathPara>
    </w:p>
    <w:p>
      <w:pPr>
        <w:pStyle w:val="FirstParagraph"/>
      </w:pPr>
      <w:r>
        <w:t xml:space="preserve">However in the case of a Cohen’s d, it is important that</w:t>
      </w:r>
      <w:r>
        <w:t xml:space="preserve"> </w:t>
      </w:r>
      <m:oMath>
        <m:sSub>
          <m:e>
            <m:r>
              <m:t>r</m:t>
            </m:r>
          </m:e>
          <m:sub>
            <m:r>
              <m:t>y</m:t>
            </m:r>
            <m:r>
              <m:t>y</m:t>
            </m:r>
            <m:r>
              <m:rPr>
                <m:sty m:val="p"/>
              </m:rPr>
              <m:t>′</m:t>
            </m:r>
          </m:sub>
        </m:sSub>
      </m:oMath>
      <w:r>
        <w:t xml:space="preserve"> </w:t>
      </w:r>
      <w:r>
        <w:t xml:space="preserve">is the pooled within-group reliability (calculate pooled reliability the same way you calculate the pooled standard deviation for denominator of Cohen’s</w:t>
      </w:r>
      <w:r>
        <w:t xml:space="preserve"> </w:t>
      </w:r>
      <m:oMath>
        <m:r>
          <m:t>d</m:t>
        </m:r>
      </m:oMath>
      <w:r>
        <w:t xml:space="preserve">). If all you have is the total sample reliability (more commonly reported) you can follow this three step process</w:t>
      </w:r>
      <w:r>
        <w:t xml:space="preserve"> </w:t>
      </w:r>
      <w:r>
        <w:t xml:space="preserve">(Wiernik and Dahlke 2020)</w:t>
      </w:r>
      <w:r>
        <w:t xml:space="preserve">,</w:t>
      </w:r>
    </w:p>
    <w:p>
      <w:pPr>
        <w:numPr>
          <w:ilvl w:val="0"/>
          <w:numId w:val="1006"/>
        </w:numPr>
        <w:pStyle w:val="Compact"/>
      </w:pPr>
      <w:r>
        <w:t xml:space="preserve">Convert the d value to a point-biserial correlation (see section on conversions)</w:t>
      </w:r>
    </w:p>
    <w:p>
      <w:pPr>
        <w:numPr>
          <w:ilvl w:val="0"/>
          <w:numId w:val="1006"/>
        </w:numPr>
        <w:pStyle w:val="Compact"/>
      </w:pPr>
      <w:r>
        <w:t xml:space="preserve">Correct the point-biserial correlation using</w:t>
      </w:r>
      <w:r>
        <w:t xml:space="preserve"> </w:t>
      </w:r>
      <w:hyperlink w:anchor="eq-corr-r">
        <w:r>
          <w:rPr>
            <w:rStyle w:val="Hyperlink"/>
          </w:rPr>
          <w:t xml:space="preserve">Equation 7.1</w:t>
        </w:r>
      </w:hyperlink>
      <w:r>
        <w:t xml:space="preserve"> </w:t>
      </w:r>
      <w:r>
        <w:t xml:space="preserve">(setting</w:t>
      </w:r>
      <w:r>
        <w:t xml:space="preserve"> </w:t>
      </w:r>
      <m:oMath>
        <m:sSub>
          <m:e>
            <m:r>
              <m:t>r</m:t>
            </m:r>
          </m:e>
          <m:sub>
            <m:r>
              <m:t>x</m:t>
            </m:r>
            <m:r>
              <m:t>x</m:t>
            </m:r>
            <m:r>
              <m:rPr>
                <m:sty m:val="p"/>
              </m:rPr>
              <m:t>′</m:t>
            </m:r>
          </m:sub>
        </m:sSub>
        <m:r>
          <m:rPr>
            <m:sty m:val="p"/>
          </m:rPr>
          <m:t>=</m:t>
        </m:r>
        <m:r>
          <m:t>1</m:t>
        </m:r>
      </m:oMath>
      <w:r>
        <w:t xml:space="preserve">)</w:t>
      </w:r>
    </w:p>
    <w:p>
      <w:pPr>
        <w:numPr>
          <w:ilvl w:val="0"/>
          <w:numId w:val="1006"/>
        </w:numPr>
        <w:pStyle w:val="Compact"/>
      </w:pPr>
      <w:r>
        <w:t xml:space="preserve">Convert it back to a Cohen’s</w:t>
      </w:r>
      <w:r>
        <w:t xml:space="preserve"> </w:t>
      </w:r>
      <m:oMath>
        <m:r>
          <m:t>d</m:t>
        </m:r>
      </m:oMath>
    </w:p>
    <w:p>
      <w:pPr>
        <w:pStyle w:val="FirstParagraph"/>
      </w:pPr>
      <w:r>
        <w:t xml:space="preserve">Note that confidence intervals for</w:t>
      </w:r>
      <w:r>
        <w:t xml:space="preserve"> </w:t>
      </w:r>
      <m:oMath>
        <m:sSub>
          <m:e>
            <m:r>
              <m:t>r</m:t>
            </m:r>
          </m:e>
          <m:sub>
            <m:r>
              <m:t>c</m:t>
            </m:r>
          </m:sub>
        </m:sSub>
      </m:oMath>
      <w:r>
        <w:t xml:space="preserve"> </w:t>
      </w:r>
      <w:r>
        <w:t xml:space="preserve">and</w:t>
      </w:r>
      <w:r>
        <w:t xml:space="preserve"> </w:t>
      </w:r>
      <m:oMath>
        <m:sSub>
          <m:e>
            <m:r>
              <m:t>d</m:t>
            </m:r>
          </m:e>
          <m:sub>
            <m:r>
              <m:t>c</m:t>
            </m:r>
          </m:sub>
        </m:sSub>
      </m:oMath>
      <w:r>
        <w:t xml:space="preserve"> </w:t>
      </w:r>
      <w:r>
        <w:t xml:space="preserve">must also be corrected. For example, a pearson correlation would need to be corrected such that,</w:t>
      </w:r>
    </w:p>
    <w:p>
      <w:pPr>
        <w:pStyle w:val="BodyText"/>
      </w:pPr>
      <m:oMathPara>
        <m:oMathParaPr>
          <m:jc m:val="center"/>
        </m:oMathParaPr>
        <m:oMath>
          <m:r>
            <m:t>C</m:t>
          </m:r>
          <m:sSub>
            <m:e>
              <m:r>
                <m:t>I</m:t>
              </m:r>
            </m:e>
            <m:sub>
              <m:sSub>
                <m:e>
                  <m:r>
                    <m:t>r</m:t>
                  </m:r>
                </m:e>
                <m:sub>
                  <m:r>
                    <m:t>c</m:t>
                  </m:r>
                </m:sub>
              </m:sSub>
            </m:sub>
          </m:sSub>
          <m:r>
            <m:rPr>
              <m:sty m:val="p"/>
            </m:rPr>
            <m:t>=</m:t>
          </m:r>
          <m:d>
            <m:dPr>
              <m:begChr m:val="["/>
              <m:endChr m:val="]"/>
              <m:sepChr m:val=""/>
              <m:grow/>
            </m:dPr>
            <m:e>
              <m:f>
                <m:fPr>
                  <m:type m:val="bar"/>
                </m:fPr>
                <m:num>
                  <m:sSub>
                    <m:e>
                      <m:r>
                        <m:t>r</m:t>
                      </m:r>
                    </m:e>
                    <m:sub>
                      <m:r>
                        <m:rPr>
                          <m:nor/>
                          <m:sty m:val="p"/>
                        </m:rPr>
                        <m:t>lower-bound</m:t>
                      </m:r>
                    </m:sub>
                  </m:sSub>
                </m:num>
                <m:den>
                  <m:rad>
                    <m:radPr>
                      <m:degHide m:val="1"/>
                    </m:radPr>
                    <m:deg/>
                    <m:e>
                      <m:sSub>
                        <m:e>
                          <m:r>
                            <m:t>r</m:t>
                          </m:r>
                        </m:e>
                        <m:sub>
                          <m:r>
                            <m:t>x</m:t>
                          </m:r>
                          <m:r>
                            <m:t>x</m:t>
                          </m:r>
                          <m:r>
                            <m:rPr>
                              <m:sty m:val="p"/>
                            </m:rPr>
                            <m:t>′</m:t>
                          </m:r>
                        </m:sub>
                      </m:sSub>
                      <m:sSub>
                        <m:e>
                          <m:r>
                            <m:t>r</m:t>
                          </m:r>
                        </m:e>
                        <m:sub>
                          <m:r>
                            <m:t>y</m:t>
                          </m:r>
                          <m:r>
                            <m:t>y</m:t>
                          </m:r>
                          <m:r>
                            <m:rPr>
                              <m:sty m:val="p"/>
                            </m:rPr>
                            <m:t>′</m:t>
                          </m:r>
                        </m:sub>
                      </m:sSub>
                    </m:e>
                  </m:rad>
                </m:den>
              </m:f>
              <m:r>
                <m:rPr>
                  <m:sty m:val="p"/>
                </m:rPr>
                <m:t>,</m:t>
              </m:r>
              <m:f>
                <m:fPr>
                  <m:type m:val="bar"/>
                </m:fPr>
                <m:num>
                  <m:sSub>
                    <m:e>
                      <m:r>
                        <m:t>r</m:t>
                      </m:r>
                    </m:e>
                    <m:sub>
                      <m:r>
                        <m:rPr>
                          <m:nor/>
                          <m:sty m:val="p"/>
                        </m:rPr>
                        <m:t>upper-bound</m:t>
                      </m:r>
                    </m:sub>
                  </m:sSub>
                </m:num>
                <m:den>
                  <m:rad>
                    <m:radPr>
                      <m:degHide m:val="1"/>
                    </m:radPr>
                    <m:deg/>
                    <m:e>
                      <m:sSub>
                        <m:e>
                          <m:r>
                            <m:t>r</m:t>
                          </m:r>
                        </m:e>
                        <m:sub>
                          <m:r>
                            <m:t>x</m:t>
                          </m:r>
                          <m:r>
                            <m:t>x</m:t>
                          </m:r>
                          <m:r>
                            <m:rPr>
                              <m:sty m:val="p"/>
                            </m:rPr>
                            <m:t>′</m:t>
                          </m:r>
                        </m:sub>
                      </m:sSub>
                      <m:sSub>
                        <m:e>
                          <m:r>
                            <m:t>r</m:t>
                          </m:r>
                        </m:e>
                        <m:sub>
                          <m:r>
                            <m:t>y</m:t>
                          </m:r>
                          <m:r>
                            <m:t>y</m:t>
                          </m:r>
                          <m:r>
                            <m:rPr>
                              <m:sty m:val="p"/>
                            </m:rPr>
                            <m:t>′</m:t>
                          </m:r>
                        </m:sub>
                      </m:sSub>
                    </m:e>
                  </m:rad>
                </m:den>
              </m:f>
            </m:e>
          </m:d>
        </m:oMath>
      </m:oMathPara>
    </w:p>
    <w:bookmarkEnd w:id="69"/>
    <w:bookmarkStart w:id="70" w:name="correcting-for-range-restriction"/>
    <w:p>
      <w:pPr>
        <w:pStyle w:val="Heading2"/>
      </w:pPr>
      <w:r>
        <w:t xml:space="preserve">7.3 Correcting for Range Restriction</w:t>
      </w:r>
    </w:p>
    <w:p>
      <w:pPr>
        <w:pStyle w:val="FirstParagraph"/>
      </w:pPr>
      <w:r>
        <w:t xml:space="preserve">Range restriction corrections can be quite complex depending on the selection process. The process for correcting Pearson correlations and Cohen’s</w:t>
      </w:r>
      <w:r>
        <w:t xml:space="preserve"> </w:t>
      </w:r>
      <m:oMath>
        <m:r>
          <m:t>d</m:t>
        </m:r>
      </m:oMath>
      <w:r>
        <w:t xml:space="preserve"> </w:t>
      </w:r>
      <w:r>
        <w:t xml:space="preserve">for range restriction is laid out in table 3 of</w:t>
      </w:r>
      <w:r>
        <w:t xml:space="preserve"> </w:t>
      </w:r>
      <w:r>
        <w:t xml:space="preserve">Wiernik and Dahlke (2020)</w:t>
      </w:r>
      <w:r>
        <w:t xml:space="preserve">.</w:t>
      </w:r>
    </w:p>
    <w:bookmarkEnd w:id="70"/>
    <w:bookmarkEnd w:id="71"/>
    <w:bookmarkStart w:id="105" w:name="mean-differences"/>
    <w:p>
      <w:pPr>
        <w:pStyle w:val="Heading1"/>
      </w:pPr>
      <w:r>
        <w:t xml:space="preserve">8.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Cohen 1988; Lakens 2013; Caldwell 2022; Glass, McGaw, and Smith 1981)</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m:oMathPara>
        <m:oMathParaPr>
          <m:jc m:val="center"/>
        </m:oMathParaPr>
        <m:oMath>
          <m:r>
            <m:t>C</m:t>
          </m:r>
          <m:sSub>
            <m:e>
              <m:r>
                <m:t>I</m:t>
              </m:r>
            </m:e>
            <m:sub>
              <m:r>
                <m:t>d</m:t>
              </m:r>
            </m:sub>
          </m:sSub>
          <m:r>
            <m:rPr>
              <m:sty m:val="p"/>
            </m:rPr>
            <m:t>=</m:t>
          </m:r>
          <m:r>
            <m:t>d</m:t>
          </m:r>
          <m:r>
            <m:rPr>
              <m:sty m:val="p"/>
            </m:rPr>
            <m:t>±</m:t>
          </m:r>
          <m:r>
            <m:t>1.96</m:t>
          </m:r>
          <m:r>
            <m:rPr>
              <m:sty m:val="p"/>
            </m:rPr>
            <m:t>×</m:t>
          </m:r>
          <m:r>
            <m:t>S</m:t>
          </m:r>
          <m:r>
            <m:t>E</m:t>
          </m:r>
        </m:oMath>
      </m:oMathPara>
    </w:p>
    <w:p>
      <w:pPr>
        <w:pStyle w:val="FirstParagraph"/>
      </w:pPr>
      <w:r>
        <w:t xml:space="preserve">Lastly, we will supply example R code so you can apply to your own data.</w:t>
      </w:r>
    </w:p>
    <w:bookmarkStart w:id="72" w:name="X90ec2b99da3082d4a311dac9cf27561d8ec8491"/>
    <w:p>
      <w:pPr>
        <w:pStyle w:val="Heading4"/>
      </w:pPr>
      <w:r>
        <w:rPr>
          <w:bCs/>
          <w:b/>
        </w:rPr>
        <w:t xml:space="preserve">Here is a table for every effect size discussed in this chapter:</w:t>
      </w:r>
    </w:p>
    <w:tbl>
      <w:tblPr>
        <w:tblStyle w:val="Table"/>
        <w:tblW w:type="pct" w:w="5000"/>
        <w:tblLook w:firstRow="1" w:lastRow="0" w:firstColumn="0" w:lastColumn="0" w:noHBand="0" w:noVBand="0" w:val="0020"/>
        <w:jc w:val="start"/>
      </w:tblPr>
      <w:tblGrid>
        <w:gridCol w:w="2410"/>
        <w:gridCol w:w="3443"/>
        <w:gridCol w:w="2066"/>
      </w:tblGrid>
      <w:tr>
        <w:trPr>
          <w:tblHeader w:val="true"/>
        </w:trPr>
        <w:tc>
          <w:tcPr/>
          <w:p>
            <w:pPr>
              <w:pStyle w:val="Compact"/>
              <w:jc w:val="left"/>
            </w:pPr>
            <w:r>
              <w:t xml:space="preserve">Type</w:t>
            </w:r>
          </w:p>
        </w:tc>
        <w:tc>
          <w:tcPr/>
          <w:p>
            <w:pPr>
              <w:pStyle w:val="Compact"/>
              <w:jc w:val="left"/>
            </w:pPr>
            <w:r>
              <w:t xml:space="preserve">Description</w:t>
            </w:r>
          </w:p>
        </w:tc>
        <w:tc>
          <w:tcPr/>
          <w:p>
            <w:pPr>
              <w:pStyle w:val="Compact"/>
              <w:jc w:val="center"/>
            </w:pPr>
            <w:r>
              <w:t xml:space="preserve">Section</w:t>
            </w:r>
          </w:p>
        </w:tc>
      </w:tr>
      <w:tr>
        <w:tc>
          <w:tcPr/>
          <w:p>
            <w:pPr>
              <w:pStyle w:val="Compact"/>
              <w:jc w:val="left"/>
            </w:pPr>
            <w:r>
              <w:rPr>
                <w:bCs/>
                <w:b/>
              </w:rPr>
              <w:t xml:space="preserve">Single Group Design</w:t>
            </w:r>
          </w:p>
        </w:tc>
        <w:tc>
          <w:tcPr/>
          <w:p>
            <w:pPr>
              <w:pStyle w:val="Compact"/>
            </w:pPr>
          </w:p>
        </w:tc>
        <w:tc>
          <w:tcPr/>
          <w:p>
            <w:pPr>
              <w:pStyle w:val="Compact"/>
              <w:jc w:val="center"/>
            </w:pPr>
            <w:hyperlink w:anchor="sec-single-group">
              <w:r>
                <w:rPr>
                  <w:rStyle w:val="Hyperlink"/>
                </w:rPr>
                <w:t xml:space="preserve">Section 8.2</w:t>
              </w:r>
            </w:hyperlink>
          </w:p>
        </w:tc>
      </w:tr>
      <w:tr>
        <w:tc>
          <w:tcPr/>
          <w:p>
            <w:pPr>
              <w:pStyle w:val="Compact"/>
              <w:jc w:val="left"/>
            </w:pPr>
            <m:oMath>
              <m:sSub>
                <m:e>
                  <m:r>
                    <m:t>d</m:t>
                  </m:r>
                </m:e>
                <m:sub>
                  <m:r>
                    <m:t>s</m:t>
                  </m:r>
                </m:sub>
              </m:sSub>
            </m:oMath>
            <w:r>
              <w:t xml:space="preserve"> </w:t>
            </w:r>
            <w:r>
              <w:t xml:space="preserve">- Single Group</w:t>
            </w:r>
          </w:p>
        </w:tc>
        <w:tc>
          <w:tcPr/>
          <w:p>
            <w:pPr>
              <w:pStyle w:val="Compact"/>
              <w:jc w:val="left"/>
            </w:pPr>
            <w:r>
              <w:t xml:space="preserve">Standardized mean difference for comparing a single group to some constant</w:t>
            </w:r>
          </w:p>
        </w:tc>
        <w:tc>
          <w:tcPr/>
          <w:p>
            <w:pPr>
              <w:pStyle w:val="Compact"/>
              <w:jc w:val="center"/>
            </w:pPr>
            <w:hyperlink w:anchor="sec-single-group">
              <w:r>
                <w:rPr>
                  <w:rStyle w:val="Hyperlink"/>
                </w:rPr>
                <w:t xml:space="preserve">Section 8.2</w:t>
              </w:r>
            </w:hyperlink>
          </w:p>
        </w:tc>
      </w:tr>
      <w:tr>
        <w:tc>
          <w:tcPr/>
          <w:p>
            <w:pPr>
              <w:pStyle w:val="Compact"/>
              <w:jc w:val="left"/>
            </w:pPr>
            <w:r>
              <w:rPr>
                <w:bCs/>
                <w:b/>
              </w:rPr>
              <w:t xml:space="preserve">Two Independent Groups Design</w:t>
            </w:r>
          </w:p>
        </w:tc>
        <w:tc>
          <w:tcPr/>
          <w:p>
            <w:pPr>
              <w:pStyle w:val="Compact"/>
            </w:pPr>
          </w:p>
        </w:tc>
        <w:tc>
          <w:tcPr/>
          <w:p>
            <w:pPr>
              <w:pStyle w:val="Compact"/>
              <w:jc w:val="center"/>
            </w:pPr>
            <w:hyperlink w:anchor="sec-two-ind-group">
              <w:r>
                <w:rPr>
                  <w:rStyle w:val="Hyperlink"/>
                </w:rPr>
                <w:t xml:space="preserve">Section 8.3</w:t>
              </w:r>
            </w:hyperlink>
          </w:p>
        </w:tc>
      </w:tr>
      <w:tr>
        <w:tc>
          <w:tcPr/>
          <w:p>
            <w:pPr>
              <w:pStyle w:val="Compact"/>
              <w:jc w:val="left"/>
            </w:pPr>
            <m:oMath>
              <m:sSub>
                <m:e>
                  <m:r>
                    <m:t>d</m:t>
                  </m:r>
                </m:e>
                <m:sub>
                  <m:r>
                    <m:t>p</m:t>
                  </m:r>
                </m:sub>
              </m:sSub>
            </m:oMath>
            <w:r>
              <w:t xml:space="preserve"> </w:t>
            </w:r>
            <w:r>
              <w:t xml:space="preserve">- Pooled Standard Deviation</w:t>
            </w:r>
          </w:p>
        </w:tc>
        <w:tc>
          <w:tcPr/>
          <w:p>
            <w:pPr>
              <w:pStyle w:val="Compact"/>
              <w:jc w:val="left"/>
            </w:pPr>
            <w:r>
              <w:t xml:space="preserve">Uses the average within-group standard deviation to standardize the mean difference. Can be calculated directly from a independent sample t-test. Assumes homogeneity of variance between groups.</w:t>
            </w:r>
          </w:p>
        </w:tc>
        <w:tc>
          <w:tcPr/>
          <w:p>
            <w:pPr>
              <w:pStyle w:val="Compact"/>
              <w:jc w:val="center"/>
            </w:pPr>
            <w:hyperlink w:anchor="sec-two-ind-group-pooled">
              <w:r>
                <w:rPr>
                  <w:rStyle w:val="Hyperlink"/>
                </w:rPr>
                <w:t xml:space="preserve">Section 8.3.1</w:t>
              </w:r>
            </w:hyperlink>
          </w:p>
        </w:tc>
      </w:tr>
      <w:tr>
        <w:tc>
          <w:tcPr/>
          <w:p>
            <w:pPr>
              <w:pStyle w:val="Compact"/>
              <w:jc w:val="left"/>
            </w:pPr>
            <m:oMath>
              <m:sSub>
                <m:e>
                  <m:r>
                    <m:t>d</m:t>
                  </m:r>
                </m:e>
                <m:sub>
                  <m:r>
                    <m:t>Δ</m:t>
                  </m:r>
                </m:sub>
              </m:sSub>
            </m:oMath>
            <w:r>
              <w:t xml:space="preserve"> </w:t>
            </w:r>
            <w:r>
              <w:t xml:space="preserve">- Control Group Standard Deviation</w:t>
            </w:r>
          </w:p>
        </w:tc>
        <w:tc>
          <w:tcPr/>
          <w:p>
            <w:pPr>
              <w:pStyle w:val="Compact"/>
              <w:jc w:val="left"/>
            </w:pPr>
            <w:r>
              <w:t xml:space="preserve">Uses the standard deviation of the control group to standardize the mean difference (often referred to as Glass’s Delta). Does not assume homogeneity of variance between treatment/intervention and control group.</w:t>
            </w:r>
          </w:p>
        </w:tc>
        <w:tc>
          <w:tcPr/>
          <w:p>
            <w:pPr>
              <w:pStyle w:val="Compact"/>
              <w:jc w:val="center"/>
            </w:pPr>
            <w:hyperlink w:anchor="sec-two-ind-group-glass">
              <w:r>
                <w:rPr>
                  <w:rStyle w:val="Hyperlink"/>
                </w:rPr>
                <w:t xml:space="preserve">Section 8.3.2</w:t>
              </w:r>
            </w:hyperlink>
          </w:p>
        </w:tc>
      </w:tr>
      <w:tr>
        <w:tc>
          <w:tcPr/>
          <w:p>
            <w:pPr>
              <w:pStyle w:val="Compact"/>
              <w:jc w:val="left"/>
            </w:pPr>
            <w:r>
              <w:rPr>
                <w:bCs/>
                <w:b/>
              </w:rPr>
              <w:t xml:space="preserve">Repeated Measures (Paired Groups) Design</w:t>
            </w:r>
          </w:p>
        </w:tc>
        <w:tc>
          <w:tcPr/>
          <w:p>
            <w:pPr>
              <w:pStyle w:val="Compact"/>
            </w:pPr>
          </w:p>
        </w:tc>
        <w:tc>
          <w:tcPr/>
          <w:p>
            <w:pPr>
              <w:pStyle w:val="Compact"/>
              <w:jc w:val="center"/>
            </w:pPr>
            <w:hyperlink w:anchor="sec-repeated-measures">
              <w:r>
                <w:rPr>
                  <w:rStyle w:val="Hyperlink"/>
                </w:rPr>
                <w:t xml:space="preserve">Section 8.4</w:t>
              </w:r>
            </w:hyperlink>
          </w:p>
        </w:tc>
      </w:tr>
      <w:tr>
        <w:tc>
          <w:tcPr/>
          <w:p>
            <w:pPr>
              <w:pStyle w:val="Compact"/>
              <w:jc w:val="left"/>
            </w:pPr>
            <m:oMath>
              <m:sSub>
                <m:e>
                  <m:r>
                    <m:t>d</m:t>
                  </m:r>
                </m:e>
                <m:sub>
                  <m:r>
                    <m:t>z</m:t>
                  </m:r>
                </m:sub>
              </m:sSub>
            </m:oMath>
            <w:r>
              <w:t xml:space="preserve"> </w:t>
            </w:r>
            <w:r>
              <w:t xml:space="preserve">- Difference score standard deviation</w:t>
            </w:r>
          </w:p>
        </w:tc>
        <w:tc>
          <w:tcPr/>
          <w:p>
            <w:pPr>
              <w:pStyle w:val="Compact"/>
              <w:jc w:val="left"/>
            </w:pPr>
            <w:r>
              <w:t xml:space="preserve">Uses the standard deviation of difference scores (also known as change scores) to standardize the within person mean difference (i.e., pre/post change).</w:t>
            </w:r>
          </w:p>
        </w:tc>
        <w:tc>
          <w:tcPr/>
          <w:p>
            <w:pPr>
              <w:pStyle w:val="Compact"/>
              <w:jc w:val="center"/>
            </w:pPr>
            <w:hyperlink w:anchor="sec-repeated-measures-dz">
              <w:r>
                <w:rPr>
                  <w:rStyle w:val="Hyperlink"/>
                </w:rPr>
                <w:t xml:space="preserve">Section 8.4.1</w:t>
              </w:r>
            </w:hyperlink>
          </w:p>
        </w:tc>
      </w:tr>
      <w:tr>
        <w:tc>
          <w:tcPr/>
          <w:p>
            <w:pPr>
              <w:pStyle w:val="Compact"/>
              <w:jc w:val="left"/>
            </w:pPr>
            <m:oMath>
              <m:sSub>
                <m:e>
                  <m:r>
                    <m:t>d</m:t>
                  </m:r>
                </m:e>
                <m:sub>
                  <m:r>
                    <m:t>r</m:t>
                  </m:r>
                  <m:r>
                    <m:t>m</m:t>
                  </m:r>
                </m:sub>
              </m:sSub>
            </m:oMath>
            <w:r>
              <w:t xml:space="preserve"> </w:t>
            </w:r>
            <w:r>
              <w:t xml:space="preserve">- Repeated measures</w:t>
            </w:r>
          </w:p>
        </w:tc>
        <w:tc>
          <w:tcPr/>
          <w:p>
            <w:pPr>
              <w:pStyle w:val="Compact"/>
              <w:jc w:val="left"/>
            </w:pPr>
            <w:r>
              <w:t xml:space="preserve">Uses the within-person standard deviation that utilizes a correction to</w:t>
            </w:r>
            <w:r>
              <w:t xml:space="preserve"> </w:t>
            </w:r>
            <m:oMath>
              <m:sSub>
                <m:e>
                  <m:r>
                    <m:t>d</m:t>
                  </m:r>
                </m:e>
                <m:sub>
                  <m:r>
                    <m:t>z</m:t>
                  </m:r>
                </m:sub>
              </m:sSub>
            </m:oMath>
            <w:r>
              <w:t xml:space="preserve"> </w:t>
            </w:r>
            <w:r>
              <w:t xml:space="preserve">to reduce the impact of the pre/post correlation on the effect size. Assumes homogeneity of variance between conditions.</w:t>
            </w:r>
          </w:p>
        </w:tc>
        <w:tc>
          <w:tcPr/>
          <w:p>
            <w:pPr>
              <w:pStyle w:val="Compact"/>
              <w:jc w:val="center"/>
            </w:pPr>
            <w:hyperlink w:anchor="sec-repeated-measures-drm">
              <w:r>
                <w:rPr>
                  <w:rStyle w:val="Hyperlink"/>
                </w:rPr>
                <w:t xml:space="preserve">Section 8.4.2</w:t>
              </w:r>
            </w:hyperlink>
          </w:p>
        </w:tc>
      </w:tr>
      <w:tr>
        <w:tc>
          <w:tcPr/>
          <w:p>
            <w:pPr>
              <w:pStyle w:val="Compact"/>
              <w:jc w:val="left"/>
            </w:pPr>
            <m:oMath>
              <m:sSub>
                <m:e>
                  <m:r>
                    <m:t>d</m:t>
                  </m:r>
                </m:e>
                <m:sub>
                  <m:r>
                    <m:t>a</m:t>
                  </m:r>
                  <m:r>
                    <m:t>v</m:t>
                  </m:r>
                </m:sub>
              </m:sSub>
            </m:oMath>
            <w:r>
              <w:t xml:space="preserve"> </w:t>
            </w:r>
            <w:r>
              <w:t xml:space="preserve">- Average variance</w:t>
            </w:r>
          </w:p>
        </w:tc>
        <w:tc>
          <w:tcPr/>
          <w:p>
            <w:pPr>
              <w:pStyle w:val="Compact"/>
              <w:jc w:val="left"/>
            </w:pPr>
            <w:r>
              <w:t xml:space="preserve">Uses the pooled variance between conditions (pre/post test). Does not use the correlation between conditions. Assumes homogeneity of variance between conditions.</w:t>
            </w:r>
          </w:p>
        </w:tc>
        <w:tc>
          <w:tcPr/>
          <w:p>
            <w:pPr>
              <w:pStyle w:val="Compact"/>
              <w:jc w:val="center"/>
            </w:pPr>
            <w:hyperlink w:anchor="sec-repeated-measures-dav">
              <w:r>
                <w:rPr>
                  <w:rStyle w:val="Hyperlink"/>
                </w:rPr>
                <w:t xml:space="preserve">Section 8.4.3</w:t>
              </w:r>
            </w:hyperlink>
          </w:p>
        </w:tc>
      </w:tr>
      <w:tr>
        <w:tc>
          <w:tcPr/>
          <w:p>
            <w:pPr>
              <w:pStyle w:val="Compact"/>
              <w:jc w:val="left"/>
            </w:pPr>
            <m:oMath>
              <m:sSub>
                <m:e>
                  <m:r>
                    <m:t>d</m:t>
                  </m:r>
                </m:e>
                <m:sub>
                  <m:r>
                    <m:t>b</m:t>
                  </m:r>
                </m:sub>
              </m:sSub>
            </m:oMath>
            <w:r>
              <w:t xml:space="preserve"> </w:t>
            </w:r>
            <w:r>
              <w:t xml:space="preserve">- Becker’s</w:t>
            </w:r>
            <w:r>
              <w:t xml:space="preserve"> </w:t>
            </w:r>
            <w:r>
              <w:rPr>
                <w:iCs/>
                <w:i/>
              </w:rPr>
              <w:t xml:space="preserve">d</w:t>
            </w:r>
          </w:p>
        </w:tc>
        <w:tc>
          <w:tcPr/>
          <w:p>
            <w:pPr>
              <w:pStyle w:val="Compact"/>
              <w:jc w:val="left"/>
            </w:pPr>
            <w:r>
              <w:t xml:space="preserve">Uses the pre-test standard deviation to standardize the pre/post mean difference. Does not assume homogeneity of variance between pre-test and post-test.</w:t>
            </w:r>
          </w:p>
        </w:tc>
        <w:tc>
          <w:tcPr/>
          <w:p>
            <w:pPr>
              <w:pStyle w:val="Compact"/>
              <w:jc w:val="center"/>
            </w:pPr>
            <w:hyperlink w:anchor="sec-becker">
              <w:r>
                <w:rPr>
                  <w:rStyle w:val="Hyperlink"/>
                </w:rPr>
                <w:t xml:space="preserve">Section 8.4.4</w:t>
              </w:r>
            </w:hyperlink>
          </w:p>
        </w:tc>
      </w:tr>
      <w:tr>
        <w:tc>
          <w:tcPr/>
          <w:p>
            <w:pPr>
              <w:pStyle w:val="Compact"/>
              <w:jc w:val="left"/>
            </w:pPr>
            <w:r>
              <w:rPr>
                <w:bCs/>
                <w:b/>
              </w:rPr>
              <w:t xml:space="preserve">Pre-Post-Control Design</w:t>
            </w:r>
          </w:p>
        </w:tc>
        <w:tc>
          <w:tcPr/>
          <w:p>
            <w:pPr>
              <w:pStyle w:val="Compact"/>
            </w:pPr>
          </w:p>
        </w:tc>
        <w:tc>
          <w:tcPr/>
          <w:p>
            <w:pPr>
              <w:pStyle w:val="Compact"/>
              <w:jc w:val="center"/>
            </w:pPr>
            <w:hyperlink w:anchor="sec-ppc">
              <w:r>
                <w:rPr>
                  <w:rStyle w:val="Hyperlink"/>
                </w:rPr>
                <w:t xml:space="preserve">Section 8.5</w:t>
              </w:r>
            </w:hyperlink>
          </w:p>
        </w:tc>
      </w:tr>
      <w:tr>
        <w:tc>
          <w:tcPr/>
          <w:p>
            <w:pPr>
              <w:pStyle w:val="Compact"/>
              <w:jc w:val="left"/>
            </w:pPr>
            <m:oMath>
              <m:sSub>
                <m:e>
                  <m:r>
                    <m:t>d</m:t>
                  </m:r>
                </m:e>
                <m:sub>
                  <m:r>
                    <m:t>P</m:t>
                  </m:r>
                  <m:r>
                    <m:t>P</m:t>
                  </m:r>
                  <m:r>
                    <m:t>C</m:t>
                  </m:r>
                  <m:r>
                    <m:t>1</m:t>
                  </m:r>
                </m:sub>
              </m:sSub>
            </m:oMath>
            <w:r>
              <w:t xml:space="preserve"> </w:t>
            </w:r>
            <w:r>
              <w:t xml:space="preserve">- Separate pre-test standard deviations</w:t>
            </w:r>
          </w:p>
        </w:tc>
        <w:tc>
          <w:tcPr/>
          <w:p>
            <w:pPr>
              <w:pStyle w:val="Compact"/>
              <w:jc w:val="left"/>
            </w:pPr>
            <w:r>
              <w:t xml:space="preserve">Defined as the difference between the Becker’s</w:t>
            </w:r>
            <w:r>
              <w:t xml:space="preserve"> </w:t>
            </w:r>
            <w:r>
              <w:rPr>
                <w:iCs/>
                <w:i/>
              </w:rPr>
              <w:t xml:space="preserve">d</w:t>
            </w:r>
            <w:r>
              <w:t xml:space="preserve"> </w:t>
            </w:r>
            <w:r>
              <w:t xml:space="preserve">between the treatment and control group. Particularly, standardizing the mean pre/post change by the pre-test of the respective group.</w:t>
            </w:r>
          </w:p>
        </w:tc>
        <w:tc>
          <w:tcPr/>
          <w:p>
            <w:pPr>
              <w:pStyle w:val="Compact"/>
              <w:jc w:val="center"/>
            </w:pPr>
            <w:hyperlink w:anchor="sec-ppc1">
              <w:r>
                <w:rPr>
                  <w:rStyle w:val="Hyperlink"/>
                </w:rPr>
                <w:t xml:space="preserve">Section 8.5.1</w:t>
              </w:r>
            </w:hyperlink>
          </w:p>
        </w:tc>
      </w:tr>
      <w:tr>
        <w:tc>
          <w:tcPr/>
          <w:p>
            <w:pPr>
              <w:pStyle w:val="Compact"/>
              <w:jc w:val="left"/>
            </w:pPr>
            <m:oMath>
              <m:sSub>
                <m:e>
                  <m:r>
                    <m:t>d</m:t>
                  </m:r>
                </m:e>
                <m:sub>
                  <m:r>
                    <m:t>P</m:t>
                  </m:r>
                  <m:r>
                    <m:t>P</m:t>
                  </m:r>
                  <m:r>
                    <m:t>C</m:t>
                  </m:r>
                  <m:r>
                    <m:t>2</m:t>
                  </m:r>
                </m:sub>
              </m:sSub>
            </m:oMath>
            <w:r>
              <w:t xml:space="preserve"> </w:t>
            </w:r>
            <w:r>
              <w:t xml:space="preserve">- Pooled pre-test standard deviation</w:t>
            </w:r>
          </w:p>
        </w:tc>
        <w:tc>
          <w:tcPr/>
          <w:p>
            <w:pPr>
              <w:pStyle w:val="Compact"/>
              <w:jc w:val="left"/>
            </w:pPr>
            <w:r>
              <w:t xml:space="preserve">Standardizes the difference in mean changes between treatment and control group. Assumes homogeneity of variance between the pre-test of the control and treatment condition.</w:t>
            </w:r>
          </w:p>
        </w:tc>
        <w:tc>
          <w:tcPr/>
          <w:p>
            <w:pPr>
              <w:pStyle w:val="Compact"/>
              <w:jc w:val="center"/>
            </w:pPr>
            <w:hyperlink w:anchor="sec-ppc2">
              <w:r>
                <w:rPr>
                  <w:rStyle w:val="Hyperlink"/>
                </w:rPr>
                <w:t xml:space="preserve">Section 8.5.2</w:t>
              </w:r>
            </w:hyperlink>
          </w:p>
        </w:tc>
      </w:tr>
      <w:tr>
        <w:tc>
          <w:tcPr/>
          <w:p>
            <w:pPr>
              <w:pStyle w:val="Compact"/>
              <w:jc w:val="left"/>
            </w:pPr>
            <m:oMath>
              <m:sSub>
                <m:e>
                  <m:r>
                    <m:t>d</m:t>
                  </m:r>
                </m:e>
                <m:sub>
                  <m:r>
                    <m:t>P</m:t>
                  </m:r>
                  <m:r>
                    <m:t>P</m:t>
                  </m:r>
                  <m:r>
                    <m:t>C</m:t>
                  </m:r>
                  <m:r>
                    <m:t>3</m:t>
                  </m:r>
                </m:sub>
              </m:sSub>
            </m:oMath>
            <w:r>
              <w:t xml:space="preserve"> </w:t>
            </w:r>
            <w:r>
              <w:t xml:space="preserve">- Pooled pre-test and post-test standard deviation</w:t>
            </w:r>
          </w:p>
        </w:tc>
        <w:tc>
          <w:tcPr/>
          <w:p>
            <w:pPr>
              <w:pStyle w:val="Compact"/>
              <w:jc w:val="left"/>
            </w:pPr>
            <w:r>
              <w:t xml:space="preserve">Pools the standard deviation between pre-test and post-test in treatment and control condition. Assumes homogeneity of variance between pre/post-test scores</w:t>
            </w:r>
            <w:r>
              <w:t xml:space="preserve"> </w:t>
            </w:r>
            <w:r>
              <w:rPr>
                <w:iCs/>
                <w:i/>
              </w:rPr>
              <w:t xml:space="preserve">and</w:t>
            </w:r>
            <w:r>
              <w:t xml:space="preserve"> </w:t>
            </w:r>
            <w:r>
              <w:t xml:space="preserve">treatment and control conditions. Confidence intervals are not easy to compute.</w:t>
            </w:r>
          </w:p>
        </w:tc>
        <w:tc>
          <w:tcPr/>
          <w:p>
            <w:pPr>
              <w:pStyle w:val="Compact"/>
              <w:jc w:val="center"/>
            </w:pPr>
            <w:hyperlink w:anchor="sec-ppc3">
              <w:r>
                <w:rPr>
                  <w:rStyle w:val="Hyperlink"/>
                </w:rPr>
                <w:t xml:space="preserve">Section 8.5.3</w:t>
              </w:r>
            </w:hyperlink>
          </w:p>
        </w:tc>
      </w:tr>
      <w:tr>
        <w:tc>
          <w:tcPr/>
          <w:p>
            <w:pPr>
              <w:pStyle w:val="Compact"/>
              <w:jc w:val="left"/>
            </w:pPr>
            <w:r>
              <w:rPr>
                <w:bCs/>
                <w:b/>
              </w:rPr>
              <w:t xml:space="preserve">Mean Ratios</w:t>
            </w:r>
          </w:p>
        </w:tc>
        <w:tc>
          <w:tcPr/>
          <w:p>
            <w:pPr>
              <w:pStyle w:val="Compact"/>
            </w:pPr>
          </w:p>
        </w:tc>
        <w:tc>
          <w:tcPr/>
          <w:p>
            <w:pPr>
              <w:pStyle w:val="Compact"/>
              <w:jc w:val="center"/>
            </w:pPr>
            <w:hyperlink w:anchor="sec-rr">
              <w:r>
                <w:rPr>
                  <w:rStyle w:val="Hyperlink"/>
                </w:rPr>
                <w:t xml:space="preserve">Section 8.7</w:t>
              </w:r>
            </w:hyperlink>
          </w:p>
        </w:tc>
      </w:tr>
      <w:tr>
        <w:tc>
          <w:tcPr/>
          <w:p>
            <w:pPr>
              <w:pStyle w:val="Compact"/>
              <w:jc w:val="left"/>
            </w:pPr>
            <m:oMath>
              <m:r>
                <m:t>l</m:t>
              </m:r>
              <m:r>
                <m:t>n</m:t>
              </m:r>
              <m:r>
                <m:t>R</m:t>
              </m:r>
              <m:sSub>
                <m:e>
                  <m:r>
                    <m:t>R</m:t>
                  </m:r>
                </m:e>
                <m:sub>
                  <m:r>
                    <m:rPr>
                      <m:nor/>
                      <m:sty m:val="p"/>
                    </m:rPr>
                    <m:t>ind</m:t>
                  </m:r>
                </m:sub>
              </m:sSub>
            </m:oMath>
            <w:r>
              <w:t xml:space="preserve"> </w:t>
            </w:r>
            <w:r>
              <w:t xml:space="preserve">- Response ratio between independent groups</w:t>
            </w:r>
          </w:p>
        </w:tc>
        <w:tc>
          <w:tcPr/>
          <w:p>
            <w:pPr>
              <w:pStyle w:val="Compact"/>
              <w:jc w:val="left"/>
            </w:pPr>
            <w:r>
              <w:t xml:space="preserve">The ratio between the means between two groups. Does not use the standard deviation in the effect size formula.</w:t>
            </w:r>
          </w:p>
        </w:tc>
        <w:tc>
          <w:tcPr/>
          <w:p>
            <w:pPr>
              <w:pStyle w:val="Compact"/>
              <w:jc w:val="center"/>
            </w:pPr>
            <w:hyperlink w:anchor="sec-rrind">
              <w:r>
                <w:rPr>
                  <w:rStyle w:val="Hyperlink"/>
                </w:rPr>
                <w:t xml:space="preserve">Section 8.7.1</w:t>
              </w:r>
            </w:hyperlink>
          </w:p>
        </w:tc>
      </w:tr>
      <w:tr>
        <w:tc>
          <w:tcPr/>
          <w:p>
            <w:pPr>
              <w:pStyle w:val="Compact"/>
              <w:jc w:val="left"/>
            </w:pPr>
            <m:oMath>
              <m:r>
                <m:t>l</m:t>
              </m:r>
              <m:r>
                <m:t>n</m:t>
              </m:r>
              <m:r>
                <m:t>R</m:t>
              </m:r>
              <m:sSub>
                <m:e>
                  <m:r>
                    <m:t>R</m:t>
                  </m:r>
                </m:e>
                <m:sub>
                  <m:r>
                    <m:rPr>
                      <m:nor/>
                      <m:sty m:val="p"/>
                    </m:rPr>
                    <m:t>dep</m:t>
                  </m:r>
                </m:sub>
              </m:sSub>
            </m:oMath>
            <w:r>
              <w:t xml:space="preserve"> </w:t>
            </w:r>
            <w:r>
              <w:t xml:space="preserve">- Response ratio between dependent groups</w:t>
            </w:r>
          </w:p>
        </w:tc>
        <w:tc>
          <w:tcPr/>
          <w:p>
            <w:pPr>
              <w:pStyle w:val="Compact"/>
              <w:jc w:val="left"/>
            </w:pPr>
            <w:r>
              <w:t xml:space="preserve">The ratio between the means between two groups. Does not use the standard deviation in the effect size formula.</w:t>
            </w:r>
          </w:p>
        </w:tc>
        <w:tc>
          <w:tcPr/>
          <w:p>
            <w:pPr>
              <w:pStyle w:val="Compact"/>
              <w:jc w:val="center"/>
            </w:pPr>
            <w:hyperlink w:anchor="sec-rrdep">
              <w:r>
                <w:rPr>
                  <w:rStyle w:val="Hyperlink"/>
                </w:rPr>
                <w:t xml:space="preserve">Section 8.7.2</w:t>
              </w:r>
            </w:hyperlink>
          </w:p>
        </w:tc>
      </w:tr>
    </w:tbl>
    <w:bookmarkEnd w:id="72"/>
    <w:bookmarkStart w:id="73" w:name="X18c3bda70a0f75577493b79ea35522380ed1127"/>
    <w:p>
      <w:pPr>
        <w:pStyle w:val="Heading2"/>
      </w:pPr>
      <w:r>
        <w:t xml:space="preserve">8.1 Reporting a t-test with effect size and CI</w:t>
      </w:r>
    </w:p>
    <w:p>
      <w:pPr>
        <w:pStyle w:val="FirstParagraph"/>
      </w:pPr>
      <w:r>
        <w:t xml:space="preserve">Whatever effect size and CI you choose to report, you can report it alongside the t-test statistics (i.e., t-value and the p value). For example,</w:t>
      </w:r>
    </w:p>
    <w:p>
      <w:pPr>
        <w:pStyle w:val="BlockText"/>
      </w:pPr>
      <w:r>
        <w:t xml:space="preserve">The treatment group had a significantly higher mean than the control group (</w:t>
      </w:r>
      <w:r>
        <w:rPr>
          <w:iCs/>
          <w:i/>
        </w:rPr>
        <w:t xml:space="preserve">t</w:t>
      </w:r>
      <w:r>
        <w:t xml:space="preserve"> </w:t>
      </w:r>
      <w:r>
        <w:t xml:space="preserve">= 2.76,</w:t>
      </w:r>
      <w:r>
        <w:t xml:space="preserve"> </w:t>
      </w:r>
      <w:r>
        <w:rPr>
          <w:iCs/>
          <w:i/>
        </w:rPr>
        <w:t xml:space="preserve">p</w:t>
      </w:r>
      <w:r>
        <w:t xml:space="preserve"> </w:t>
      </w:r>
      <w:r>
        <w:t xml:space="preserve">= .009,</w:t>
      </w:r>
      <w:r>
        <w:t xml:space="preserve"> </w:t>
      </w:r>
      <w:r>
        <w:rPr>
          <w:iCs/>
          <w:i/>
        </w:rPr>
        <w:t xml:space="preserve">n</w:t>
      </w:r>
      <w:r>
        <w:t xml:space="preserve"> </w:t>
      </w:r>
      <w:r>
        <w:t xml:space="preserve">= 35,</w:t>
      </w:r>
      <w:r>
        <w:t xml:space="preserve"> </w:t>
      </w:r>
      <w:r>
        <w:rPr>
          <w:iCs/>
          <w:i/>
        </w:rPr>
        <w:t xml:space="preserve">d</w:t>
      </w:r>
      <w:r>
        <w:t xml:space="preserve"> </w:t>
      </w:r>
      <w:r>
        <w:t xml:space="preserve">= 0.47 [0.11, 0.81]).</w:t>
      </w:r>
    </w:p>
    <w:bookmarkEnd w:id="73"/>
    <w:bookmarkStart w:id="74" w:name="sec-single-group"/>
    <w:p>
      <w:pPr>
        <w:pStyle w:val="Heading2"/>
      </w:pPr>
      <w:r>
        <w:t xml:space="preserve">8.2 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r>
        <w:t xml:space="preserve"> </w:t>
      </w:r>
      <w:r>
        <w:t xml:space="preserve">(equation 2.3.3, Cohen 1988)</w:t>
      </w:r>
      <w:r>
        <w:t xml:space="preserve">,</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r>
        <w:t xml:space="preserve"> </w:t>
      </w:r>
      <w:r>
        <w:t xml:space="preserve">(see documentation for Caldwell 2022)</w:t>
      </w:r>
      <w:r>
        <w:t xml:space="preserve">,</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s</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74"/>
    <w:bookmarkStart w:id="77" w:name="sec-two-ind-group"/>
    <w:p>
      <w:pPr>
        <w:pStyle w:val="Heading2"/>
      </w:pPr>
      <w:r>
        <w:t xml:space="preserve">8.3 Two Independent Groups Design</w:t>
      </w:r>
    </w:p>
    <w:bookmarkStart w:id="75" w:name="sec-two-ind-group-pooled"/>
    <w:p>
      <w:pPr>
        <w:pStyle w:val="Heading3"/>
      </w:pPr>
      <w:r>
        <w:t xml:space="preserve">8.3.1 Standardize by Pooled Standard Deviation (</w:t>
      </w:r>
      <m:oMath>
        <m:sSub>
          <m:e>
            <m:r>
              <m:t>d</m:t>
            </m:r>
          </m:e>
          <m:sub>
            <m:r>
              <m:t>p</m:t>
            </m:r>
          </m:sub>
        </m:sSub>
      </m:oMath>
      <w:r>
        <w:t xml:space="preserve">)</w:t>
      </w:r>
    </w:p>
    <w:p>
      <w:pPr>
        <w:pStyle w:val="FirstParagraph"/>
      </w:pPr>
      <w:r>
        <w:t xml:space="preserve">For a two group design (i.e., between-groups design), we want to compare the means of two groups (group 1 and group 2). The standardized mean difference between two groups can be calculated by</w:t>
      </w:r>
      <w:r>
        <w:t xml:space="preserve"> </w:t>
      </w:r>
      <w:r>
        <w:t xml:space="preserve">(equation 5.1, Glass, McGaw, and Smith 1981)</w:t>
      </w:r>
      <w:r>
        <w:t xml:space="preserve">,</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r>
        <w:t xml:space="preserve"> </w:t>
      </w:r>
      <w:r>
        <w:t xml:space="preserve">(pp. 108, Glass, McGaw, and Smith 1981)</w:t>
      </w:r>
      <w:r>
        <w:t xml:space="preserve">:</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r>
        <w:t xml:space="preserve"> </w:t>
      </w:r>
      <w:r>
        <w:t xml:space="preserve">(equation 5.3, Glass, McGaw, and Smith 1981)</w:t>
      </w:r>
      <w:r>
        <w:t xml:space="preserve">:</w:t>
      </w:r>
    </w:p>
    <w:p>
      <w:pPr>
        <w:pStyle w:val="BodyText"/>
      </w:pPr>
      <m:oMathPara>
        <m:oMathParaPr>
          <m:jc m:val="center"/>
        </m:oMathParaPr>
        <m:oMath>
          <m:r>
            <m:t>d</m:t>
          </m:r>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bookmarkEnd w:id="75"/>
    <w:bookmarkStart w:id="76" w:name="sec-two-ind-group-glass"/>
    <w:p>
      <w:pPr>
        <w:pStyle w:val="Heading3"/>
      </w:pPr>
      <w:r>
        <w:t xml:space="preserve">8.3.2 Standardize by Control Group Standard Deviation (</w:t>
      </w:r>
      <m:oMath>
        <m:sSub>
          <m:e>
            <m:r>
              <m:t>d</m:t>
            </m:r>
          </m:e>
          <m:sub>
            <m:r>
              <m:t>Δ</m:t>
            </m:r>
          </m:sub>
        </m:sSub>
      </m:oMath>
      <w:r>
        <w:t xml:space="preserve">)</w:t>
      </w:r>
    </w:p>
    <w:p>
      <w:pPr>
        <w:pStyle w:val="FirstParagraph"/>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76"/>
    <w:bookmarkEnd w:id="77"/>
    <w:bookmarkStart w:id="91" w:name="sec-repeated-measures"/>
    <w:p>
      <w:pPr>
        <w:pStyle w:val="Heading2"/>
      </w:pPr>
      <w:r>
        <w:t xml:space="preserve">8.4 Repeated Measures Designs</w:t>
      </w:r>
    </w:p>
    <w:p>
      <w:pPr>
        <w:pStyle w:val="FirstParagraph"/>
      </w:pPr>
      <w:r>
        <w:t xml:space="preserve">In a repeated-measures design, the same subjects (or items, etc.) are measured on two or more separate occasions, or in multiple conditions within a single session, and we want to know the mean difference between those occasions or conditions</w:t>
      </w:r>
      <w:r>
        <w:t xml:space="preserve"> </w:t>
      </w:r>
      <w:r>
        <w:t xml:space="preserve">(Baayen, Davidson, and Bates 2008; Barr et al. 2013)</w:t>
      </w:r>
      <w:r>
        <w:t xml:space="preserve">. An example of this would be in a pre/post comparison where subjects are tested before and after undergoing some treatment (see</w:t>
      </w:r>
      <w:r>
        <w:t xml:space="preserve"> </w:t>
      </w:r>
      <w:hyperlink w:anchor="fig-repeatedmeasures">
        <w:r>
          <w:rPr>
            <w:rStyle w:val="Hyperlink"/>
          </w:rPr>
          <w:t xml:space="preserve">Figure 8.1</w:t>
        </w:r>
      </w:hyperlink>
      <w:r>
        <w:t xml:space="preserve"> </w:t>
      </w:r>
      <w:r>
        <w:t xml:space="preserve">for a visualization). A standardized mean difference in a repeated-measures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1" w:name="fig-repeatedmeasures"/>
          <w:p>
            <w:pPr>
              <w:jc w:val="center"/>
            </w:pPr>
            <w:r>
              <w:drawing>
                <wp:inline>
                  <wp:extent cx="5334000" cy="4267200"/>
                  <wp:effectExtent b="0" l="0" r="0" t="0"/>
                  <wp:docPr descr="" title="" id="79" name="Picture"/>
                  <a:graphic>
                    <a:graphicData uri="http://schemas.openxmlformats.org/drawingml/2006/picture">
                      <pic:pic>
                        <pic:nvPicPr>
                          <pic:cNvPr descr="Standardized-Mean-Differences_files/figure-docx/fig-repeatedmeasure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8.1: Figure displaying simulated data of a repeated measures design, the x-axis shows the condition (e.g., pre-test and post-test) and y-axis is the scores. Lines indicate within person pre/post change.</w:t>
            </w:r>
          </w:p>
          <w:bookmarkEnd w:id="81"/>
        </w:tc>
      </w:tr>
    </w:tbl>
    <w:bookmarkStart w:id="82" w:name="sec-repeated-measures-dz"/>
    <w:p>
      <w:pPr>
        <w:pStyle w:val="Heading3"/>
      </w:pPr>
      <w:r>
        <w:t xml:space="preserve">8.4.1 Difference Score</w:t>
      </w:r>
      <w:r>
        <w:t xml:space="preserve"> </w:t>
      </w:r>
      <m:oMath>
        <m:r>
          <m:t>d</m:t>
        </m:r>
      </m:oMath>
      <w:r>
        <w:t xml:space="preserve"> </w:t>
      </w:r>
      <w:r>
        <w:t xml:space="preserve">(</w:t>
      </w:r>
      <m:oMath>
        <m:sSub>
          <m:e>
            <m:r>
              <m:t>d</m:t>
            </m:r>
          </m:e>
          <m:sub>
            <m:r>
              <m:t>z</m:t>
            </m:r>
          </m:sub>
        </m:sSub>
      </m:oMath>
      <w:r>
        <w:t xml:space="preserve">)</w:t>
      </w:r>
    </w:p>
    <w:p>
      <w:pPr>
        <w:pStyle w:val="FirstParagraph"/>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r>
        <w:t xml:space="preserve"> </w:t>
      </w:r>
      <w:r>
        <w:t xml:space="preserve">(equation 2.3.5, Cohen 1988)</w:t>
      </w:r>
      <w:r>
        <w:t xml:space="preserve">,</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r>
        <w:t xml:space="preserve"> </w:t>
      </w:r>
      <w:r>
        <w:t xml:space="preserve">(equation 2.3.6, Cohen 1988)</w:t>
      </w:r>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bookmarkEnd w:id="82"/>
    <w:bookmarkStart w:id="83" w:name="sec-repeated-measures-drm"/>
    <w:p>
      <w:pPr>
        <w:pStyle w:val="Heading3"/>
      </w:pPr>
      <w:r>
        <w:t xml:space="preserve">8.4.2 Repeated Measures</w:t>
      </w:r>
      <w:r>
        <w:t xml:space="preserve"> </w:t>
      </w:r>
      <m:oMath>
        <m:r>
          <m:t>d</m:t>
        </m:r>
      </m:oMath>
      <w:r>
        <w:t xml:space="preserve"> </w:t>
      </w:r>
      <w:r>
        <w:t xml:space="preserve">(</w:t>
      </w:r>
      <m:oMath>
        <m:sSub>
          <m:e>
            <m:r>
              <m:t>d</m:t>
            </m:r>
          </m:e>
          <m:sub>
            <m:r>
              <m:t>r</m:t>
            </m:r>
            <m:r>
              <m:t>m</m:t>
            </m:r>
          </m:sub>
        </m:sSub>
      </m:oMath>
      <w:r>
        <w:t xml:space="preserve">)</w:t>
      </w:r>
    </w:p>
    <w:p>
      <w:pPr>
        <w:pStyle w:val="FirstParagraph"/>
      </w:pPr>
      <w:r>
        <w:t xml:space="preserve">For a within-group design, we want to compare the means of scores obtained from condition 1 and condition 2. The repeated measures standardized mean difference between the two conditions can be calculated by</w:t>
      </w:r>
      <w:r>
        <w:t xml:space="preserve"> </w:t>
      </w:r>
      <w:r>
        <w:t xml:space="preserve">(equation 9, Lakens 2013)</w:t>
      </w:r>
      <w:r>
        <w:t xml:space="preserve">,</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t>w</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 the standard deviation of difference scores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 the difference score standardized mean difference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bookmarkEnd w:id="83"/>
    <w:bookmarkStart w:id="84" w:name="sec-repeated-measures-dav"/>
    <w:p>
      <w:pPr>
        <w:pStyle w:val="Heading3"/>
      </w:pPr>
      <w:r>
        <w:t xml:space="preserve">8.4.3 Average Variance</w:t>
      </w:r>
      <w:r>
        <w:t xml:space="preserve"> </w:t>
      </w:r>
      <m:oMath>
        <m:r>
          <m:t>d</m:t>
        </m:r>
      </m:oMath>
      <w:r>
        <w:t xml:space="preserve"> </w:t>
      </w:r>
      <w:r>
        <w:t xml:space="preserve">(</w:t>
      </w:r>
      <m:oMath>
        <m:sSub>
          <m:e>
            <m:r>
              <m:t>d</m:t>
            </m:r>
          </m:e>
          <m:sub>
            <m:r>
              <m:t>a</m:t>
            </m:r>
            <m:r>
              <m:t>v</m:t>
            </m:r>
          </m:sub>
        </m:sSub>
      </m:oMath>
      <w:r>
        <w:t xml:space="preserve">)</w:t>
      </w:r>
    </w:p>
    <w:p>
      <w:pPr>
        <w:pStyle w:val="FirstParagraph"/>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r>
        <w:t xml:space="preserve"> </w:t>
      </w:r>
      <w:r>
        <w:t xml:space="preserve">(see equation 5, Algina and Keselman 2003)</w:t>
      </w:r>
      <w:r>
        <w:t xml:space="preserve">:</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r>
        <w:t xml:space="preserve"> </w:t>
      </w:r>
      <w:r>
        <w:t xml:space="preserve">(equation 9, Algina and Keselman 2003)</w:t>
      </w:r>
      <w:r>
        <w:t xml:space="preserve">,</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d>
                    <m:dPr>
                      <m:begChr m:val="("/>
                      <m:endChr m:val=")"/>
                      <m:sepChr m:val=""/>
                      <m:grow/>
                    </m:dPr>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d>
                </m:num>
                <m:den>
                  <m:r>
                    <m:t>n</m:t>
                  </m:r>
                  <m:d>
                    <m:dPr>
                      <m:begChr m:val="("/>
                      <m:endChr m:val=")"/>
                      <m:sepChr m:val=""/>
                      <m:grow/>
                    </m:dPr>
                    <m:e>
                      <m:sSubSup>
                        <m:e>
                          <m:r>
                            <m:t>S</m:t>
                          </m:r>
                        </m:e>
                        <m:sub>
                          <m:r>
                            <m:t>1</m:t>
                          </m:r>
                        </m:sub>
                        <m:sup>
                          <m:r>
                            <m:t>2</m:t>
                          </m:r>
                        </m:sup>
                      </m:sSubSup>
                      <m:r>
                        <m:rPr>
                          <m:sty m:val="p"/>
                        </m:rPr>
                        <m:t>+</m:t>
                      </m:r>
                      <m:sSup>
                        <m:e>
                          <m:r>
                            <m:t>S</m:t>
                          </m:r>
                        </m:e>
                        <m:sup>
                          <m:r>
                            <m:t>2</m:t>
                          </m:r>
                        </m:sup>
                      </m:sSup>
                    </m:e>
                  </m:d>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bookmarkEnd w:id="84"/>
    <w:bookmarkStart w:id="85" w:name="sec-becker"/>
    <w:p>
      <w:pPr>
        <w:pStyle w:val="Heading3"/>
      </w:pPr>
      <w:r>
        <w:t xml:space="preserve">8.4.4 Becker’s</w:t>
      </w:r>
      <w:r>
        <w:t xml:space="preserve"> </w:t>
      </w:r>
      <m:oMath>
        <m:r>
          <m:t>d</m:t>
        </m:r>
      </m:oMath>
      <w:r>
        <w:t xml:space="preserve"> </w:t>
      </w:r>
      <w:r>
        <w:t xml:space="preserve">(</w:t>
      </w:r>
      <m:oMath>
        <m:sSub>
          <m:e>
            <m:r>
              <m:t>d</m:t>
            </m:r>
          </m:e>
          <m:sub>
            <m:r>
              <m:t>b</m:t>
            </m:r>
          </m:sub>
        </m:sSub>
      </m:oMath>
      <w:r>
        <w:t xml:space="preserve">)</w:t>
      </w:r>
    </w:p>
    <w:p>
      <w:pPr>
        <w:pStyle w:val="FirstParagraph"/>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useful. We can also obtain the standard error with</w:t>
      </w:r>
      <w:r>
        <w:t xml:space="preserve"> </w:t>
      </w:r>
      <w:r>
        <w:t xml:space="preserve">(equation 13, Becker 1988)</w:t>
      </w:r>
      <w:r>
        <w:t xml:space="preserve">,</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bookmarkEnd w:id="85"/>
    <w:bookmarkStart w:id="90" w:name="comparing-repeated-measures-d-values"/>
    <w:p>
      <w:pPr>
        <w:pStyle w:val="Heading3"/>
      </w:pPr>
      <w:r>
        <w:t xml:space="preserve">8.4.5 Comparing Repeated Measures</w:t>
      </w:r>
      <w:r>
        <w:t xml:space="preserve"> </w:t>
      </w:r>
      <m:oMath>
        <m:r>
          <m:t>d</m:t>
        </m:r>
      </m:oMath>
      <w:r>
        <w:t xml:space="preserve"> </w:t>
      </w:r>
      <w:r>
        <w:t xml:space="preserve">values</w:t>
      </w:r>
    </w:p>
    <w:p>
      <w:pPr>
        <w:pStyle w:val="FirstParagraph"/>
      </w:pPr>
      <w:hyperlink w:anchor="fig-correlation-comp">
        <w:r>
          <w:rPr>
            <w:rStyle w:val="Hyperlink"/>
          </w:rPr>
          <w:t xml:space="preserve">Figure 8.2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8.2</w:t>
        </w:r>
      </w:hyperlink>
      <w:r>
        <w:t xml:space="preserve">:</w:t>
      </w:r>
    </w:p>
    <w:p>
      <w:pPr>
        <w:numPr>
          <w:ilvl w:val="0"/>
          <w:numId w:val="1007"/>
        </w:numPr>
        <w:pStyle w:val="Compact"/>
      </w:pPr>
      <w:r>
        <w:t xml:space="preserve">High correlation:</w:t>
      </w:r>
    </w:p>
    <w:p>
      <w:pPr>
        <w:numPr>
          <w:ilvl w:val="1"/>
          <w:numId w:val="1008"/>
        </w:numPr>
        <w:pStyle w:val="Compact"/>
      </w:pPr>
      <m:oMath>
        <m:sSub>
          <m:e>
            <m:r>
              <m:t>d</m:t>
            </m:r>
          </m:e>
          <m:sub>
            <m:r>
              <m:t>z</m:t>
            </m:r>
          </m:sub>
        </m:sSub>
        <m:r>
          <m:rPr>
            <m:sty m:val="p"/>
          </m:rPr>
          <m:t>=</m:t>
        </m:r>
        <m:r>
          <m:t>1.24</m:t>
        </m:r>
      </m:oMath>
    </w:p>
    <w:p>
      <w:pPr>
        <w:numPr>
          <w:ilvl w:val="1"/>
          <w:numId w:val="1008"/>
        </w:numPr>
        <w:pStyle w:val="Compact"/>
      </w:pPr>
      <m:oMath>
        <m:sSub>
          <m:e>
            <m:r>
              <m:t>d</m:t>
            </m:r>
          </m:e>
          <m:sub>
            <m:r>
              <m:t>r</m:t>
            </m:r>
            <m:r>
              <m:t>m</m:t>
            </m:r>
          </m:sub>
        </m:sSub>
        <m:r>
          <m:rPr>
            <m:sty m:val="p"/>
          </m:rPr>
          <m:t>=</m:t>
        </m:r>
        <m:r>
          <m:t>0.39</m:t>
        </m:r>
      </m:oMath>
    </w:p>
    <w:p>
      <w:pPr>
        <w:numPr>
          <w:ilvl w:val="1"/>
          <w:numId w:val="1008"/>
        </w:numPr>
        <w:pStyle w:val="Compact"/>
      </w:pPr>
      <m:oMath>
        <m:sSub>
          <m:e>
            <m:r>
              <m:t>d</m:t>
            </m:r>
          </m:e>
          <m:sub>
            <m:r>
              <m:t>a</m:t>
            </m:r>
            <m:r>
              <m:t>v</m:t>
            </m:r>
          </m:sub>
        </m:sSub>
        <m:r>
          <m:rPr>
            <m:sty m:val="p"/>
          </m:rPr>
          <m:t>=</m:t>
        </m:r>
        <m:r>
          <m:t>0.43</m:t>
        </m:r>
      </m:oMath>
    </w:p>
    <w:p>
      <w:pPr>
        <w:numPr>
          <w:ilvl w:val="1"/>
          <w:numId w:val="1008"/>
        </w:numPr>
        <w:pStyle w:val="Compact"/>
      </w:pPr>
      <m:oMath>
        <m:sSub>
          <m:e>
            <m:r>
              <m:t>d</m:t>
            </m:r>
          </m:e>
          <m:sub>
            <m:r>
              <m:t>b</m:t>
            </m:r>
          </m:sub>
        </m:sSub>
        <m:r>
          <m:rPr>
            <m:sty m:val="p"/>
          </m:rPr>
          <m:t>=</m:t>
        </m:r>
        <m:r>
          <m:t>0.40</m:t>
        </m:r>
      </m:oMath>
    </w:p>
    <w:p>
      <w:pPr>
        <w:numPr>
          <w:ilvl w:val="0"/>
          <w:numId w:val="1007"/>
        </w:numPr>
        <w:pStyle w:val="Compact"/>
      </w:pPr>
      <w:r>
        <w:t xml:space="preserve">Low correlation:</w:t>
      </w:r>
    </w:p>
    <w:p>
      <w:pPr>
        <w:numPr>
          <w:ilvl w:val="1"/>
          <w:numId w:val="1009"/>
        </w:numPr>
        <w:pStyle w:val="Compact"/>
      </w:pPr>
      <m:oMath>
        <m:sSub>
          <m:e>
            <m:r>
              <m:t>d</m:t>
            </m:r>
          </m:e>
          <m:sub>
            <m:r>
              <m:t>z</m:t>
            </m:r>
          </m:sub>
        </m:sSub>
        <m:r>
          <m:rPr>
            <m:sty m:val="p"/>
          </m:rPr>
          <m:t>=</m:t>
        </m:r>
        <m:r>
          <m:t>0.31</m:t>
        </m:r>
      </m:oMath>
    </w:p>
    <w:p>
      <w:pPr>
        <w:numPr>
          <w:ilvl w:val="1"/>
          <w:numId w:val="1009"/>
        </w:numPr>
        <w:pStyle w:val="Compact"/>
      </w:pPr>
      <m:oMath>
        <m:sSub>
          <m:e>
            <m:r>
              <m:t>d</m:t>
            </m:r>
          </m:e>
          <m:sub>
            <m:r>
              <m:t>r</m:t>
            </m:r>
            <m:r>
              <m:t>m</m:t>
            </m:r>
          </m:sub>
        </m:sSub>
        <m:r>
          <m:rPr>
            <m:sty m:val="p"/>
          </m:rPr>
          <m:t>=</m:t>
        </m:r>
        <m:r>
          <m:t>0.43</m:t>
        </m:r>
      </m:oMath>
    </w:p>
    <w:p>
      <w:pPr>
        <w:numPr>
          <w:ilvl w:val="1"/>
          <w:numId w:val="1009"/>
        </w:numPr>
        <w:pStyle w:val="Compact"/>
      </w:pPr>
      <m:oMath>
        <m:sSub>
          <m:e>
            <m:r>
              <m:t>d</m:t>
            </m:r>
          </m:e>
          <m:sub>
            <m:r>
              <m:t>a</m:t>
            </m:r>
            <m:r>
              <m:t>v</m:t>
            </m:r>
          </m:sub>
        </m:sSub>
        <m:r>
          <m:rPr>
            <m:sty m:val="p"/>
          </m:rPr>
          <m:t>=</m:t>
        </m:r>
        <m:r>
          <m:t>0.43</m:t>
        </m:r>
      </m:oMath>
    </w:p>
    <w:p>
      <w:pPr>
        <w:numPr>
          <w:ilvl w:val="1"/>
          <w:numId w:val="1009"/>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89" w:name="fig-correlation-comp"/>
          <w:p>
            <w:pPr>
              <w:jc w:val="center"/>
            </w:pPr>
            <w:r>
              <w:drawing>
                <wp:inline>
                  <wp:extent cx="5334000" cy="4267200"/>
                  <wp:effectExtent b="0" l="0" r="0" t="0"/>
                  <wp:docPr descr="" title="" id="87" name="Picture"/>
                  <a:graphic>
                    <a:graphicData uri="http://schemas.openxmlformats.org/drawingml/2006/picture">
                      <pic:pic>
                        <pic:nvPicPr>
                          <pic:cNvPr descr="Standardized-Mean-Differences_files/figure-docx/fig-correlation-comp-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8.2: Figure displaying simulated data of a repeated measures design, the x-axis shows the condition (e.g., pre-test and post-test) and y-axis is the scores. Left panel shows a high pre/post correlation (</w:t>
            </w:r>
            <m:oMath>
              <m:r>
                <m:t>r</m:t>
              </m:r>
            </m:oMath>
            <w:r>
              <w:t xml:space="preserve"> </w:t>
            </w:r>
            <w:r>
              <w:t xml:space="preserve">= .95) and right panel shows a low correlation condition (</w:t>
            </w:r>
            <m:oMath>
              <m:r>
                <m:t>r</m:t>
              </m:r>
            </m:oMath>
            <w:r>
              <w:t xml:space="preserve"> </w:t>
            </w:r>
            <w:r>
              <w:t xml:space="preserve">= .05). Lines indicate within person pre/post change.</w:t>
            </w:r>
          </w:p>
          <w:bookmarkEnd w:id="89"/>
        </w:tc>
      </w:tr>
    </w:tbl>
    <w:bookmarkEnd w:id="90"/>
    <w:bookmarkEnd w:id="91"/>
    <w:bookmarkStart w:id="100" w:name="sec-ppc"/>
    <w:p>
      <w:pPr>
        <w:pStyle w:val="Heading2"/>
      </w:pPr>
      <w:r>
        <w:t xml:space="preserve">8.5 Pretest-Posttest-Control Group Designs</w:t>
      </w:r>
    </w:p>
    <w:p>
      <w:pPr>
        <w:pStyle w:val="FirstParagraph"/>
      </w:pPr>
      <w:r>
        <w:t xml:space="preserve">In many areas of research both between and within group factors are incorporated. For example, in research involving the examination of the effects of an intervention often a sample is randomised into two seperate groups (intervention and control) and then they are measured on the outcome of interest both before (pretest) and after (posttest) the intervention/control period. In these types of 2x2 (group x time) study designs it is usually the difference between the standardised mean change for the intervention/treatment (</w:t>
      </w:r>
      <m:oMath>
        <m:r>
          <m:t>T</m:t>
        </m:r>
      </m:oMath>
      <w:r>
        <w:t xml:space="preserve">) and control (</w:t>
      </w:r>
      <m:oMath>
        <m:r>
          <m:t>C</m:t>
        </m:r>
      </m:oMath>
      <w:r>
        <w:t xml:space="preserve">) groups that is of interest. For a visualization of a pretest-posttest-control group design see</w:t>
      </w:r>
      <w:r>
        <w:t xml:space="preserve"> </w:t>
      </w:r>
      <w:hyperlink w:anchor="fig-ppc">
        <w:r>
          <w:rPr>
            <w:rStyle w:val="Hyperlink"/>
          </w:rPr>
          <w:t xml:space="preserve">Figure 8.3</w:t>
        </w:r>
      </w:hyperlink>
      <w:r>
        <w:t xml:space="preserve">.</w:t>
      </w:r>
    </w:p>
    <w:p>
      <w:pPr>
        <w:pStyle w:val="BodyText"/>
      </w:pPr>
      <w:r>
        <w:t xml:space="preserve">Morris (2008)</w:t>
      </w:r>
      <w:r>
        <w:t xml:space="preserve"> </w:t>
      </w:r>
      <w:r>
        <w:t xml:space="preserve">details three effect sizes for this pretest-posttest-control (PPC).</w:t>
      </w:r>
    </w:p>
    <w:tbl>
      <w:tblPr>
        <w:tblStyle w:val="Table"/>
        <w:tblW w:type="pct" w:w="5000"/>
        <w:tblLook w:firstRow="0" w:lastRow="0" w:firstColumn="0" w:lastColumn="0" w:noHBand="0" w:noVBand="0" w:val="0000"/>
        <w:jc w:val="start"/>
      </w:tblPr>
      <w:tblGrid>
        <w:gridCol w:w="7920"/>
      </w:tblGrid>
      <w:tr>
        <w:tc>
          <w:tcPr/>
          <w:bookmarkStart w:id="95" w:name="fig-ppc"/>
          <w:p>
            <w:pPr>
              <w:jc w:val="center"/>
            </w:pPr>
            <w:r>
              <w:drawing>
                <wp:inline>
                  <wp:extent cx="5334000" cy="4267200"/>
                  <wp:effectExtent b="0" l="0" r="0" t="0"/>
                  <wp:docPr descr="" title="" id="93" name="Picture"/>
                  <a:graphic>
                    <a:graphicData uri="http://schemas.openxmlformats.org/drawingml/2006/picture">
                      <pic:pic>
                        <pic:nvPicPr>
                          <pic:cNvPr descr="Standardized-Mean-Differences_files/figure-docx/fig-ppc-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8.3: Illustration of a pre-post control design. Left panel shows the pre-post difference in the control group and right panel shows the pre-post difference in the intervention/treatment group. Lines indicate within person pre/post change.</w:t>
            </w:r>
          </w:p>
          <w:bookmarkEnd w:id="95"/>
        </w:tc>
      </w:tr>
    </w:tbl>
    <w:bookmarkStart w:id="96" w:name="sec-ppc1"/>
    <w:p>
      <w:pPr>
        <w:pStyle w:val="Heading3"/>
      </w:pPr>
      <w:r>
        <w:t xml:space="preserve">8.5.1 PPC1 - separate pre-test standard deviations</w:t>
      </w:r>
    </w:p>
    <w:p>
      <w:pPr>
        <w:pStyle w:val="FirstParagraph"/>
      </w:pPr>
      <w:r>
        <w:t xml:space="preserve">The separate pre-test (i.e., baseline) standard deviations are used to standardize the pre/post mean difference in the intervention group and the control group respectively</w:t>
      </w:r>
      <w:r>
        <w:t xml:space="preserve"> </w:t>
      </w:r>
      <w:r>
        <w:t xml:space="preserve">(see equation 4, Morris 2008)</w:t>
      </w:r>
      <w:r>
        <w:t xml:space="preserve">,</w:t>
      </w:r>
    </w:p>
    <w:p>
      <w:pPr>
        <w:pStyle w:val="BodyText"/>
      </w:pPr>
      <m:oMathPara>
        <m:oMathParaPr>
          <m:jc m:val="center"/>
        </m:oMathParaPr>
        <m:oMath>
          <m:sSub>
            <m:e>
              <m:r>
                <m:t>d</m:t>
              </m:r>
            </m:e>
            <m:sub>
              <m:r>
                <m:t>T</m:t>
              </m:r>
            </m:sub>
          </m:sSub>
          <m:r>
            <m:rPr>
              <m:sty m:val="p"/>
            </m:rPr>
            <m:t>=</m:t>
          </m:r>
          <m:f>
            <m:fPr>
              <m:type m:val="bar"/>
            </m:fPr>
            <m:num>
              <m:sSub>
                <m:e>
                  <m:r>
                    <m:t>M</m:t>
                  </m:r>
                </m:e>
                <m:sub>
                  <m:r>
                    <m:t>T</m:t>
                  </m:r>
                  <m:r>
                    <m:rPr>
                      <m:sty m:val="p"/>
                    </m:rPr>
                    <m:t>,</m:t>
                  </m:r>
                  <m:r>
                    <m:rPr>
                      <m:nor/>
                      <m:sty m:val="p"/>
                    </m:rPr>
                    <m:t>post</m:t>
                  </m:r>
                </m:sub>
              </m:sSub>
              <m:r>
                <m:rPr>
                  <m:sty m:val="p"/>
                </m:rPr>
                <m:t>−</m:t>
              </m:r>
              <m:sSub>
                <m:e>
                  <m:r>
                    <m:t>M</m:t>
                  </m:r>
                </m:e>
                <m:sub>
                  <m:r>
                    <m:t>T</m:t>
                  </m:r>
                  <m:r>
                    <m:rPr>
                      <m:sty m:val="p"/>
                    </m:rPr>
                    <m:t>,</m:t>
                  </m:r>
                  <m:r>
                    <m:rPr>
                      <m:nor/>
                      <m:sty m:val="p"/>
                    </m:rPr>
                    <m:t>pre</m:t>
                  </m:r>
                </m:sub>
              </m:sSub>
            </m:num>
            <m:den>
              <m:sSub>
                <m:e>
                  <m:r>
                    <m:t>S</m:t>
                  </m:r>
                </m:e>
                <m:sub>
                  <m:r>
                    <m:t>T</m:t>
                  </m:r>
                  <m:r>
                    <m:rPr>
                      <m:sty m:val="p"/>
                    </m:rPr>
                    <m:t>,</m:t>
                  </m:r>
                  <m:r>
                    <m:rPr>
                      <m:nor/>
                      <m:sty m:val="p"/>
                    </m:rPr>
                    <m:t>pre</m:t>
                  </m:r>
                </m:sub>
              </m:sSub>
            </m:den>
          </m:f>
        </m:oMath>
      </m:oMathPara>
    </w:p>
    <w:p>
      <w:pPr>
        <w:pStyle w:val="FirstParagraph"/>
      </w:pPr>
      <m:oMathPara>
        <m:oMathParaPr>
          <m:jc m:val="center"/>
        </m:oMathParaPr>
        <m:oMath>
          <m:sSub>
            <m:e>
              <m:r>
                <m:t>d</m:t>
              </m:r>
            </m:e>
            <m:sub>
              <m:r>
                <m:t>C</m:t>
              </m:r>
            </m:sub>
          </m:sSub>
          <m:r>
            <m:rPr>
              <m:sty m:val="p"/>
            </m:rPr>
            <m:t>=</m:t>
          </m:r>
          <m:f>
            <m:fPr>
              <m:type m:val="bar"/>
            </m:fPr>
            <m:num>
              <m:sSub>
                <m:e>
                  <m:r>
                    <m:t>M</m:t>
                  </m:r>
                </m:e>
                <m:sub>
                  <m:r>
                    <m:t>C</m:t>
                  </m:r>
                  <m:r>
                    <m:rPr>
                      <m:sty m:val="p"/>
                    </m:rPr>
                    <m:t>,</m:t>
                  </m:r>
                  <m:r>
                    <m:rPr>
                      <m:nor/>
                      <m:sty m:val="p"/>
                    </m:rPr>
                    <m:t>post</m:t>
                  </m:r>
                </m:sub>
              </m:sSub>
              <m:r>
                <m:rPr>
                  <m:sty m:val="p"/>
                </m:rPr>
                <m:t>−</m:t>
              </m:r>
              <m:sSub>
                <m:e>
                  <m:r>
                    <m:t>M</m:t>
                  </m:r>
                </m:e>
                <m:sub>
                  <m:r>
                    <m:t>C</m:t>
                  </m:r>
                  <m:r>
                    <m:rPr>
                      <m:sty m:val="p"/>
                    </m:rPr>
                    <m:t>,</m:t>
                  </m:r>
                  <m:r>
                    <m:rPr>
                      <m:nor/>
                      <m:sty m:val="p"/>
                    </m:rPr>
                    <m:t>pre</m:t>
                  </m:r>
                </m:sub>
              </m:sSub>
            </m:num>
            <m:den>
              <m:sSub>
                <m:e>
                  <m:r>
                    <m:t>S</m:t>
                  </m:r>
                </m:e>
                <m:sub>
                  <m:r>
                    <m:t>C</m:t>
                  </m:r>
                  <m:r>
                    <m:rPr>
                      <m:sty m:val="p"/>
                    </m:rPr>
                    <m:t>,</m:t>
                  </m:r>
                  <m:r>
                    <m:rPr>
                      <m:nor/>
                      <m:sty m:val="p"/>
                    </m:rPr>
                    <m:t>pre</m:t>
                  </m:r>
                </m:sub>
              </m:sSub>
            </m:den>
          </m:f>
        </m:oMath>
      </m:oMathPara>
    </w:p>
    <w:p>
      <w:pPr>
        <w:pStyle w:val="FirstParagraph"/>
      </w:pPr>
      <w:r>
        <w:t xml:space="preserve">Note that these effect sizes are identical to the Becker’s</w:t>
      </w:r>
      <w:r>
        <w:t xml:space="preserve"> </w:t>
      </w:r>
      <m:oMath>
        <m:r>
          <m:t>d</m:t>
        </m:r>
      </m:oMath>
      <w:r>
        <w:t xml:space="preserve"> </w:t>
      </w:r>
      <w:r>
        <w:t xml:space="preserve">formulation of the SMD (see</w:t>
      </w:r>
      <w:r>
        <w:t xml:space="preserve"> </w:t>
      </w:r>
      <w:hyperlink w:anchor="sec-becker">
        <w:r>
          <w:rPr>
            <w:rStyle w:val="Hyperlink"/>
          </w:rPr>
          <w:t xml:space="preserve">Section 8.4.4</w:t>
        </w:r>
      </w:hyperlink>
      <w:r>
        <w:t xml:space="preserve">). Therefore the pretest-posttest-control group effect size is simply the difference between the intervention and control pre/post SMD</w:t>
      </w:r>
      <w:r>
        <w:t xml:space="preserve"> </w:t>
      </w:r>
      <w:r>
        <w:t xml:space="preserve">(equation 15, Becker 1988)</w:t>
      </w:r>
      <w:r>
        <w:t xml:space="preserve">,</w:t>
      </w:r>
    </w:p>
    <w:p>
      <w:pPr>
        <w:pStyle w:val="BodyText"/>
      </w:pPr>
      <m:oMathPara>
        <m:oMathParaPr>
          <m:jc m:val="center"/>
        </m:oMathParaPr>
        <m:oMath>
          <m:sSub>
            <m:e>
              <m:r>
                <m:t>d</m:t>
              </m:r>
            </m:e>
            <m:sub>
              <m:r>
                <m:t>P</m:t>
              </m:r>
              <m:r>
                <m:t>P</m:t>
              </m:r>
              <m:r>
                <m:t>C</m:t>
              </m:r>
              <m:r>
                <m:t>1</m:t>
              </m:r>
            </m:sub>
          </m:sSub>
          <m:r>
            <m:rPr>
              <m:sty m:val="p"/>
            </m:rPr>
            <m:t>=</m:t>
          </m:r>
          <m:sSub>
            <m:e>
              <m:r>
                <m:t>d</m:t>
              </m:r>
            </m:e>
            <m:sub>
              <m:r>
                <m:t>T</m:t>
              </m:r>
            </m:sub>
          </m:sSub>
          <m:r>
            <m:rPr>
              <m:sty m:val="p"/>
            </m:rPr>
            <m:t>−</m:t>
          </m:r>
          <m:sSub>
            <m:e>
              <m:r>
                <m:t>d</m:t>
              </m:r>
            </m:e>
            <m:sub>
              <m:r>
                <m:t>C</m:t>
              </m:r>
            </m:sub>
          </m:sSub>
        </m:oMath>
      </m:oMathPara>
    </w:p>
    <w:p>
      <w:pPr>
        <w:pStyle w:val="FirstParagraph"/>
      </w:pPr>
      <w:r>
        <w:t xml:space="preserve">The asymptotic standard error of</w:t>
      </w:r>
      <w:r>
        <w:t xml:space="preserve"> </w:t>
      </w:r>
      <m:oMath>
        <m:sSub>
          <m:e>
            <m:r>
              <m:t>d</m:t>
            </m:r>
          </m:e>
          <m:sub>
            <m:r>
              <m:t>P</m:t>
            </m:r>
            <m:r>
              <m:t>P</m:t>
            </m:r>
            <m:r>
              <m:t>C</m:t>
            </m:r>
            <m:r>
              <m:t>2</m:t>
            </m:r>
          </m:sub>
        </m:sSub>
      </m:oMath>
      <w:r>
        <w:t xml:space="preserve"> </w:t>
      </w:r>
      <w:r>
        <w:t xml:space="preserve">was first derived by</w:t>
      </w:r>
      <w:r>
        <w:t xml:space="preserve"> </w:t>
      </w:r>
      <w:r>
        <w:t xml:space="preserve">Becker (1988)</w:t>
      </w:r>
      <w:r>
        <w:t xml:space="preserve"> </w:t>
      </w:r>
      <w:r>
        <w:t xml:space="preserve">and can be expressed as the square root of the sum of the sampling variances</w:t>
      </w:r>
      <w:r>
        <w:t xml:space="preserve"> </w:t>
      </w:r>
      <w:r>
        <w:t xml:space="preserve">(equation 16, Becker 1988)</w:t>
      </w:r>
    </w:p>
    <w:p>
      <w:pPr>
        <w:pStyle w:val="BodyText"/>
      </w:pPr>
      <m:oMathPara>
        <m:oMathParaPr>
          <m:jc m:val="center"/>
        </m:oMathParaPr>
        <m:oMath>
          <m:r>
            <m:t>S</m:t>
          </m:r>
          <m:sSub>
            <m:e>
              <m:r>
                <m:t>E</m:t>
              </m:r>
            </m:e>
            <m:sub>
              <m:sSub>
                <m:e>
                  <m:r>
                    <m:t>d</m:t>
                  </m:r>
                </m:e>
                <m:sub>
                  <m:r>
                    <m:t>P</m:t>
                  </m:r>
                  <m:r>
                    <m:t>P</m:t>
                  </m:r>
                  <m:r>
                    <m:t>C</m:t>
                  </m:r>
                  <m:r>
                    <m:t>1</m:t>
                  </m:r>
                </m:sub>
              </m:sSub>
            </m:sub>
          </m:sSub>
          <m:r>
            <m:rPr>
              <m:sty m:val="p"/>
            </m:rPr>
            <m:t>=</m:t>
          </m:r>
          <m:rad>
            <m:radPr>
              <m:degHide m:val="1"/>
            </m:radPr>
            <m:deg/>
            <m:e>
              <m:d>
                <m:dPr>
                  <m:begChr m:val="["/>
                  <m:endChr m:val="]"/>
                  <m:sepChr m:val=""/>
                  <m:grow/>
                </m:dPr>
                <m:e>
                  <m:f>
                    <m:fPr>
                      <m:type m:val="bar"/>
                    </m:fPr>
                    <m:num>
                      <m:r>
                        <m:t>2</m:t>
                      </m:r>
                      <m:d>
                        <m:dPr>
                          <m:begChr m:val="("/>
                          <m:endChr m:val=")"/>
                          <m:sepChr m:val=""/>
                          <m:grow/>
                        </m:dPr>
                        <m:e>
                          <m:r>
                            <m:t>1</m:t>
                          </m:r>
                          <m:r>
                            <m:rPr>
                              <m:sty m:val="p"/>
                            </m:rPr>
                            <m:t>−</m:t>
                          </m:r>
                          <m:sSub>
                            <m:e>
                              <m:r>
                                <m:t>r</m:t>
                              </m:r>
                            </m:e>
                            <m:sub>
                              <m:r>
                                <m:t>T</m:t>
                              </m:r>
                            </m:sub>
                          </m:sSub>
                        </m:e>
                      </m:d>
                    </m:num>
                    <m:den>
                      <m:sSub>
                        <m:e>
                          <m:r>
                            <m:t>n</m:t>
                          </m:r>
                        </m:e>
                        <m:sub>
                          <m:r>
                            <m:t>T</m:t>
                          </m:r>
                        </m:sub>
                      </m:sSub>
                    </m:den>
                  </m:f>
                  <m:r>
                    <m:rPr>
                      <m:sty m:val="p"/>
                    </m:rPr>
                    <m:t>+</m:t>
                  </m:r>
                  <m:f>
                    <m:fPr>
                      <m:type m:val="bar"/>
                    </m:fPr>
                    <m:num>
                      <m:sSub>
                        <m:e>
                          <m:r>
                            <m:t>d</m:t>
                          </m:r>
                        </m:e>
                        <m:sub>
                          <m:r>
                            <m:t>T</m:t>
                          </m:r>
                        </m:sub>
                      </m:sSub>
                    </m:num>
                    <m:den>
                      <m:r>
                        <m:t>2</m:t>
                      </m:r>
                      <m:sSub>
                        <m:e>
                          <m:r>
                            <m:t>n</m:t>
                          </m:r>
                        </m:e>
                        <m:sub>
                          <m:r>
                            <m:t>T</m:t>
                          </m:r>
                        </m:sub>
                      </m:sSub>
                    </m:den>
                  </m:f>
                </m:e>
              </m:d>
              <m:r>
                <m:rPr>
                  <m:sty m:val="p"/>
                </m:rPr>
                <m:t>+</m:t>
              </m:r>
              <m:d>
                <m:dPr>
                  <m:begChr m:val="["/>
                  <m:endChr m:val="]"/>
                  <m:sepChr m:val=""/>
                  <m:grow/>
                </m:dPr>
                <m:e>
                  <m:f>
                    <m:fPr>
                      <m:type m:val="bar"/>
                    </m:fPr>
                    <m:num>
                      <m:r>
                        <m:t>2</m:t>
                      </m:r>
                      <m:d>
                        <m:dPr>
                          <m:begChr m:val="("/>
                          <m:endChr m:val=")"/>
                          <m:sepChr m:val=""/>
                          <m:grow/>
                        </m:dPr>
                        <m:e>
                          <m:r>
                            <m:t>1</m:t>
                          </m:r>
                          <m:r>
                            <m:rPr>
                              <m:sty m:val="p"/>
                            </m:rPr>
                            <m:t>−</m:t>
                          </m:r>
                          <m:sSub>
                            <m:e>
                              <m:r>
                                <m:t>r</m:t>
                              </m:r>
                            </m:e>
                            <m:sub>
                              <m:r>
                                <m:t>C</m:t>
                              </m:r>
                            </m:sub>
                          </m:sSub>
                        </m:e>
                      </m:d>
                    </m:num>
                    <m:den>
                      <m:sSub>
                        <m:e>
                          <m:r>
                            <m:t>n</m:t>
                          </m:r>
                        </m:e>
                        <m:sub>
                          <m:r>
                            <m:t>C</m:t>
                          </m:r>
                        </m:sub>
                      </m:sSub>
                    </m:den>
                  </m:f>
                  <m:r>
                    <m:rPr>
                      <m:sty m:val="p"/>
                    </m:rPr>
                    <m:t>+</m:t>
                  </m:r>
                  <m:f>
                    <m:fPr>
                      <m:type m:val="bar"/>
                    </m:fPr>
                    <m:num>
                      <m:sSub>
                        <m:e>
                          <m:r>
                            <m:t>d</m:t>
                          </m:r>
                        </m:e>
                        <m:sub>
                          <m:r>
                            <m:t>C</m:t>
                          </m:r>
                        </m:sub>
                      </m:sSub>
                    </m:num>
                    <m:den>
                      <m:r>
                        <m:t>2</m:t>
                      </m:r>
                      <m:sSub>
                        <m:e>
                          <m:r>
                            <m:t>n</m:t>
                          </m:r>
                        </m:e>
                        <m:sub>
                          <m:r>
                            <m:t>C</m:t>
                          </m:r>
                        </m:sub>
                      </m:sSub>
                    </m:den>
                  </m:f>
                </m:e>
              </m:d>
            </m:e>
          </m:rad>
        </m:oMath>
      </m:oMathPara>
    </w:p>
    <w:p>
      <w:pPr>
        <w:pStyle w:val="FirstParagraph"/>
      </w:pPr>
      <w:r>
        <w:t xml:space="preserve">We can calculate</w:t>
      </w:r>
      <w:r>
        <w:t xml:space="preserve"> </w:t>
      </w:r>
      <m:oMath>
        <m:sSub>
          <m:e>
            <m:r>
              <m:t>d</m:t>
            </m:r>
          </m:e>
          <m:sub>
            <m:r>
              <m:t>P</m:t>
            </m:r>
            <m:r>
              <m:t>P</m:t>
            </m:r>
            <m:r>
              <m:t>C</m:t>
            </m:r>
            <m:r>
              <m:t>1</m:t>
            </m:r>
          </m:sub>
        </m:sSub>
      </m:oMath>
      <w:r>
        <w:t xml:space="preserve"> </w:t>
      </w:r>
      <w:r>
        <w:t xml:space="preserve">and it’s confidence intervals using base R:</w:t>
      </w:r>
    </w:p>
    <w:p>
      <w:pPr>
        <w:pStyle w:val="SourceCode"/>
      </w:pPr>
      <w:r>
        <w:rPr>
          <w:rStyle w:val="CommentTok"/>
        </w:rPr>
        <w:t xml:space="preserve"># Example:</w:t>
      </w:r>
      <w:r>
        <w:br/>
      </w:r>
      <w:r>
        <w:br/>
      </w:r>
      <w:r>
        <w:rPr>
          <w:rStyle w:val="CommentTok"/>
        </w:rPr>
        <w:t xml:space="preserve"># Control Group (N = 90)</w:t>
      </w:r>
      <w:r>
        <w:br/>
      </w:r>
      <w:r>
        <w:rPr>
          <w:rStyle w:val="DocumentationTok"/>
        </w:rPr>
        <w:t xml:space="preserve">## Pre-test Mean = 20, SD = 6</w:t>
      </w:r>
      <w:r>
        <w:br/>
      </w:r>
      <w:r>
        <w:rPr>
          <w:rStyle w:val="DocumentationTok"/>
        </w:rPr>
        <w:t xml:space="preserve">## Post-test Mean = 25, SD = 7</w:t>
      </w:r>
      <w:r>
        <w:br/>
      </w:r>
      <w:r>
        <w:rPr>
          <w:rStyle w:val="DocumentationTok"/>
        </w:rPr>
        <w:t xml:space="preserve">## Pre/post correlation = .50</w:t>
      </w:r>
      <w:r>
        <w:br/>
      </w:r>
      <w:r>
        <w:rPr>
          <w:rStyle w:val="NormalTok"/>
        </w:rPr>
        <w:t xml:space="preserve">M_Cpre </w:t>
      </w:r>
      <w:r>
        <w:rPr>
          <w:rStyle w:val="OtherTok"/>
        </w:rPr>
        <w:t xml:space="preserve">&lt;-</w:t>
      </w:r>
      <w:r>
        <w:rPr>
          <w:rStyle w:val="NormalTok"/>
        </w:rPr>
        <w:t xml:space="preserve"> </w:t>
      </w:r>
      <w:r>
        <w:rPr>
          <w:rStyle w:val="DecValTok"/>
        </w:rPr>
        <w:t xml:space="preserve">20</w:t>
      </w:r>
      <w:r>
        <w:br/>
      </w:r>
      <w:r>
        <w:rPr>
          <w:rStyle w:val="NormalTok"/>
        </w:rPr>
        <w:t xml:space="preserve">M_Cpost </w:t>
      </w:r>
      <w:r>
        <w:rPr>
          <w:rStyle w:val="OtherTok"/>
        </w:rPr>
        <w:t xml:space="preserve">&lt;-</w:t>
      </w:r>
      <w:r>
        <w:rPr>
          <w:rStyle w:val="NormalTok"/>
        </w:rPr>
        <w:t xml:space="preserve"> </w:t>
      </w:r>
      <w:r>
        <w:rPr>
          <w:rStyle w:val="DecValTok"/>
        </w:rPr>
        <w:t xml:space="preserve">25</w:t>
      </w:r>
      <w:r>
        <w:br/>
      </w:r>
      <w:r>
        <w:rPr>
          <w:rStyle w:val="NormalTok"/>
        </w:rPr>
        <w:t xml:space="preserve">SD_Cpre </w:t>
      </w:r>
      <w:r>
        <w:rPr>
          <w:rStyle w:val="OtherTok"/>
        </w:rPr>
        <w:t xml:space="preserve">&lt;-</w:t>
      </w:r>
      <w:r>
        <w:rPr>
          <w:rStyle w:val="NormalTok"/>
        </w:rPr>
        <w:t xml:space="preserve"> </w:t>
      </w:r>
      <w:r>
        <w:rPr>
          <w:rStyle w:val="DecValTok"/>
        </w:rPr>
        <w:t xml:space="preserve">6</w:t>
      </w:r>
      <w:r>
        <w:br/>
      </w:r>
      <w:r>
        <w:rPr>
          <w:rStyle w:val="NormalTok"/>
        </w:rPr>
        <w:t xml:space="preserve">SD_Cpost </w:t>
      </w:r>
      <w:r>
        <w:rPr>
          <w:rStyle w:val="OtherTok"/>
        </w:rPr>
        <w:t xml:space="preserve">&lt;-</w:t>
      </w:r>
      <w:r>
        <w:rPr>
          <w:rStyle w:val="NormalTok"/>
        </w:rPr>
        <w:t xml:space="preserve"> </w:t>
      </w:r>
      <w:r>
        <w:rPr>
          <w:rStyle w:val="DecValTok"/>
        </w:rPr>
        <w:t xml:space="preserve">7</w:t>
      </w:r>
      <w:r>
        <w:br/>
      </w:r>
      <w:r>
        <w:rPr>
          <w:rStyle w:val="NormalTok"/>
        </w:rPr>
        <w:t xml:space="preserve">rC </w:t>
      </w:r>
      <w:r>
        <w:rPr>
          <w:rStyle w:val="OtherTok"/>
        </w:rPr>
        <w:t xml:space="preserve">&lt;-</w:t>
      </w:r>
      <w:r>
        <w:rPr>
          <w:rStyle w:val="NormalTok"/>
        </w:rPr>
        <w:t xml:space="preserve"> .</w:t>
      </w:r>
      <w:r>
        <w:rPr>
          <w:rStyle w:val="DecValTok"/>
        </w:rPr>
        <w:t xml:space="preserve">50</w:t>
      </w:r>
      <w:r>
        <w:br/>
      </w:r>
      <w:r>
        <w:rPr>
          <w:rStyle w:val="NormalTok"/>
        </w:rPr>
        <w:t xml:space="preserve">nC </w:t>
      </w:r>
      <w:r>
        <w:rPr>
          <w:rStyle w:val="OtherTok"/>
        </w:rPr>
        <w:t xml:space="preserve">&lt;-</w:t>
      </w:r>
      <w:r>
        <w:rPr>
          <w:rStyle w:val="NormalTok"/>
        </w:rPr>
        <w:t xml:space="preserve"> </w:t>
      </w:r>
      <w:r>
        <w:rPr>
          <w:rStyle w:val="DecValTok"/>
        </w:rPr>
        <w:t xml:space="preserve">90</w:t>
      </w:r>
      <w:r>
        <w:br/>
      </w:r>
      <w:r>
        <w:br/>
      </w:r>
      <w:r>
        <w:rPr>
          <w:rStyle w:val="CommentTok"/>
        </w:rPr>
        <w:t xml:space="preserve"># Intervention Group (N = 90)</w:t>
      </w:r>
      <w:r>
        <w:br/>
      </w:r>
      <w:r>
        <w:rPr>
          <w:rStyle w:val="DocumentationTok"/>
        </w:rPr>
        <w:t xml:space="preserve">## Pre-test Mean = 20, SD = 5</w:t>
      </w:r>
      <w:r>
        <w:br/>
      </w:r>
      <w:r>
        <w:rPr>
          <w:rStyle w:val="DocumentationTok"/>
        </w:rPr>
        <w:t xml:space="preserve">## Post-test Mean = 27, SD = 8</w:t>
      </w:r>
      <w:r>
        <w:br/>
      </w:r>
      <w:r>
        <w:rPr>
          <w:rStyle w:val="DocumentationTok"/>
        </w:rPr>
        <w:t xml:space="preserve">## Pre/post correlation = .50</w:t>
      </w:r>
      <w:r>
        <w:br/>
      </w:r>
      <w:r>
        <w:rPr>
          <w:rStyle w:val="NormalTok"/>
        </w:rPr>
        <w:t xml:space="preserve">M_Tpre </w:t>
      </w:r>
      <w:r>
        <w:rPr>
          <w:rStyle w:val="OtherTok"/>
        </w:rPr>
        <w:t xml:space="preserve">&lt;-</w:t>
      </w:r>
      <w:r>
        <w:rPr>
          <w:rStyle w:val="NormalTok"/>
        </w:rPr>
        <w:t xml:space="preserve"> </w:t>
      </w:r>
      <w:r>
        <w:rPr>
          <w:rStyle w:val="DecValTok"/>
        </w:rPr>
        <w:t xml:space="preserve">20</w:t>
      </w:r>
      <w:r>
        <w:br/>
      </w:r>
      <w:r>
        <w:rPr>
          <w:rStyle w:val="NormalTok"/>
        </w:rPr>
        <w:t xml:space="preserve">M_Tpost </w:t>
      </w:r>
      <w:r>
        <w:rPr>
          <w:rStyle w:val="OtherTok"/>
        </w:rPr>
        <w:t xml:space="preserve">&lt;-</w:t>
      </w:r>
      <w:r>
        <w:rPr>
          <w:rStyle w:val="NormalTok"/>
        </w:rPr>
        <w:t xml:space="preserve"> </w:t>
      </w:r>
      <w:r>
        <w:rPr>
          <w:rStyle w:val="DecValTok"/>
        </w:rPr>
        <w:t xml:space="preserve">27</w:t>
      </w:r>
      <w:r>
        <w:br/>
      </w:r>
      <w:r>
        <w:rPr>
          <w:rStyle w:val="NormalTok"/>
        </w:rPr>
        <w:t xml:space="preserve">SD_Tpre </w:t>
      </w:r>
      <w:r>
        <w:rPr>
          <w:rStyle w:val="OtherTok"/>
        </w:rPr>
        <w:t xml:space="preserve">&lt;-</w:t>
      </w:r>
      <w:r>
        <w:rPr>
          <w:rStyle w:val="NormalTok"/>
        </w:rPr>
        <w:t xml:space="preserve"> </w:t>
      </w:r>
      <w:r>
        <w:rPr>
          <w:rStyle w:val="DecValTok"/>
        </w:rPr>
        <w:t xml:space="preserve">5</w:t>
      </w:r>
      <w:r>
        <w:br/>
      </w:r>
      <w:r>
        <w:rPr>
          <w:rStyle w:val="NormalTok"/>
        </w:rPr>
        <w:t xml:space="preserve">SD_Tpost </w:t>
      </w:r>
      <w:r>
        <w:rPr>
          <w:rStyle w:val="OtherTok"/>
        </w:rPr>
        <w:t xml:space="preserve">&lt;-</w:t>
      </w:r>
      <w:r>
        <w:rPr>
          <w:rStyle w:val="NormalTok"/>
        </w:rPr>
        <w:t xml:space="preserve"> </w:t>
      </w:r>
      <w:r>
        <w:rPr>
          <w:rStyle w:val="DecValTok"/>
        </w:rPr>
        <w:t xml:space="preserve">8</w:t>
      </w:r>
      <w:r>
        <w:br/>
      </w:r>
      <w:r>
        <w:rPr>
          <w:rStyle w:val="NormalTok"/>
        </w:rPr>
        <w:t xml:space="preserve">rT </w:t>
      </w:r>
      <w:r>
        <w:rPr>
          <w:rStyle w:val="OtherTok"/>
        </w:rPr>
        <w:t xml:space="preserve">&lt;-</w:t>
      </w:r>
      <w:r>
        <w:rPr>
          <w:rStyle w:val="NormalTok"/>
        </w:rPr>
        <w:t xml:space="preserve"> .</w:t>
      </w:r>
      <w:r>
        <w:rPr>
          <w:rStyle w:val="DecValTok"/>
        </w:rPr>
        <w:t xml:space="preserve">50</w:t>
      </w:r>
      <w:r>
        <w:br/>
      </w:r>
      <w:r>
        <w:rPr>
          <w:rStyle w:val="NormalTok"/>
        </w:rPr>
        <w:t xml:space="preserve">nT </w:t>
      </w:r>
      <w:r>
        <w:rPr>
          <w:rStyle w:val="OtherTok"/>
        </w:rPr>
        <w:t xml:space="preserve">&lt;-</w:t>
      </w:r>
      <w:r>
        <w:rPr>
          <w:rStyle w:val="NormalTok"/>
        </w:rPr>
        <w:t xml:space="preserve"> </w:t>
      </w:r>
      <w:r>
        <w:rPr>
          <w:rStyle w:val="DecValTok"/>
        </w:rPr>
        <w:t xml:space="preserve">90</w:t>
      </w:r>
      <w:r>
        <w:br/>
      </w:r>
      <w:r>
        <w:br/>
      </w:r>
      <w:r>
        <w:rPr>
          <w:rStyle w:val="CommentTok"/>
        </w:rPr>
        <w:t xml:space="preserve"># calculate the observed standardized mean difference</w:t>
      </w:r>
      <w:r>
        <w:br/>
      </w:r>
      <w:r>
        <w:rPr>
          <w:rStyle w:val="NormalTok"/>
        </w:rPr>
        <w:t xml:space="preserve">dT </w:t>
      </w:r>
      <w:r>
        <w:rPr>
          <w:rStyle w:val="OtherTok"/>
        </w:rPr>
        <w:t xml:space="preserve">&lt;-</w:t>
      </w:r>
      <w:r>
        <w:rPr>
          <w:rStyle w:val="NormalTok"/>
        </w:rPr>
        <w:t xml:space="preserve"> (M_Tpost</w:t>
      </w:r>
      <w:r>
        <w:rPr>
          <w:rStyle w:val="SpecialCharTok"/>
        </w:rPr>
        <w:t xml:space="preserve">-</w:t>
      </w:r>
      <w:r>
        <w:rPr>
          <w:rStyle w:val="NormalTok"/>
        </w:rPr>
        <w:t xml:space="preserve"> M_Tpre) </w:t>
      </w:r>
      <w:r>
        <w:rPr>
          <w:rStyle w:val="SpecialCharTok"/>
        </w:rPr>
        <w:t xml:space="preserve">/</w:t>
      </w:r>
      <w:r>
        <w:rPr>
          <w:rStyle w:val="NormalTok"/>
        </w:rPr>
        <w:t xml:space="preserve"> SD_Tpre</w:t>
      </w:r>
      <w:r>
        <w:br/>
      </w:r>
      <w:r>
        <w:rPr>
          <w:rStyle w:val="NormalTok"/>
        </w:rPr>
        <w:t xml:space="preserve">dC </w:t>
      </w:r>
      <w:r>
        <w:rPr>
          <w:rStyle w:val="OtherTok"/>
        </w:rPr>
        <w:t xml:space="preserve">&lt;-</w:t>
      </w:r>
      <w:r>
        <w:rPr>
          <w:rStyle w:val="NormalTok"/>
        </w:rPr>
        <w:t xml:space="preserve"> (M_Cpost </w:t>
      </w:r>
      <w:r>
        <w:rPr>
          <w:rStyle w:val="SpecialCharTok"/>
        </w:rPr>
        <w:t xml:space="preserve">-</w:t>
      </w:r>
      <w:r>
        <w:rPr>
          <w:rStyle w:val="NormalTok"/>
        </w:rPr>
        <w:t xml:space="preserve"> M_Cpre) </w:t>
      </w:r>
      <w:r>
        <w:rPr>
          <w:rStyle w:val="SpecialCharTok"/>
        </w:rPr>
        <w:t xml:space="preserve">/</w:t>
      </w:r>
      <w:r>
        <w:rPr>
          <w:rStyle w:val="NormalTok"/>
        </w:rPr>
        <w:t xml:space="preserve"> SD_Cpre</w:t>
      </w:r>
      <w:r>
        <w:br/>
      </w:r>
      <w:r>
        <w:rPr>
          <w:rStyle w:val="NormalTok"/>
        </w:rPr>
        <w:t xml:space="preserve">dPPC1 </w:t>
      </w:r>
      <w:r>
        <w:rPr>
          <w:rStyle w:val="OtherTok"/>
        </w:rPr>
        <w:t xml:space="preserve">&lt;-</w:t>
      </w:r>
      <w:r>
        <w:rPr>
          <w:rStyle w:val="NormalTok"/>
        </w:rPr>
        <w:t xml:space="preserve"> dT </w:t>
      </w:r>
      <w:r>
        <w:rPr>
          <w:rStyle w:val="SpecialCharTok"/>
        </w:rPr>
        <w:t xml:space="preserve">-</w:t>
      </w:r>
      <w:r>
        <w:rPr>
          <w:rStyle w:val="NormalTok"/>
        </w:rPr>
        <w:t xml:space="preserve"> dC</w:t>
      </w:r>
      <w:r>
        <w:br/>
      </w:r>
      <w:r>
        <w:br/>
      </w:r>
      <w:r>
        <w:rPr>
          <w:rStyle w:val="CommentTok"/>
        </w:rPr>
        <w:t xml:space="preserve"># calculate the standard error</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rT)</w:t>
      </w:r>
      <w:r>
        <w:rPr>
          <w:rStyle w:val="SpecialCharTok"/>
        </w:rPr>
        <w:t xml:space="preserve">/</w:t>
      </w:r>
      <w:r>
        <w:rPr>
          <w:rStyle w:val="NormalTok"/>
        </w:rPr>
        <w:t xml:space="preserve">nT </w:t>
      </w:r>
      <w:r>
        <w:rPr>
          <w:rStyle w:val="SpecialCharTok"/>
        </w:rPr>
        <w:t xml:space="preserve">+</w:t>
      </w:r>
      <w:r>
        <w:rPr>
          <w:rStyle w:val="NormalTok"/>
        </w:rPr>
        <w:t xml:space="preserve"> dPPC1</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rC)</w:t>
      </w:r>
      <w:r>
        <w:rPr>
          <w:rStyle w:val="SpecialCharTok"/>
        </w:rPr>
        <w:t xml:space="preserve">/</w:t>
      </w:r>
      <w:r>
        <w:rPr>
          <w:rStyle w:val="NormalTok"/>
        </w:rPr>
        <w:t xml:space="preserve">nC </w:t>
      </w:r>
      <w:r>
        <w:rPr>
          <w:rStyle w:val="SpecialCharTok"/>
        </w:rPr>
        <w:t xml:space="preserve">+</w:t>
      </w:r>
      <w:r>
        <w:rPr>
          <w:rStyle w:val="NormalTok"/>
        </w:rPr>
        <w:t xml:space="preserve"> dPPC1</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nC) )</w:t>
      </w:r>
      <w:r>
        <w:br/>
      </w:r>
      <w:r>
        <w:br/>
      </w:r>
      <w:r>
        <w:rPr>
          <w:rStyle w:val="CommentTok"/>
        </w:rPr>
        <w:t xml:space="preserve"># print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MOTE</w:t>
      </w:r>
      <w:r>
        <w:rPr>
          <w:rStyle w:val="SpecialCharTok"/>
        </w:rPr>
        <w:t xml:space="preserve">::</w:t>
      </w:r>
      <w:r>
        <w:rPr>
          <w:rStyle w:val="FunctionTok"/>
        </w:rPr>
        <w:t xml:space="preserve">apa</w:t>
      </w:r>
      <w:r>
        <w:rPr>
          <w:rStyle w:val="NormalTok"/>
        </w:rPr>
        <w:t xml:space="preserve">(dPPC1),</w:t>
      </w:r>
      <w:r>
        <w:br/>
      </w:r>
      <w:r>
        <w:rPr>
          <w:rStyle w:val="NormalTok"/>
        </w:rPr>
        <w:t xml:space="preserve">           </w:t>
      </w:r>
      <w:r>
        <w:rPr>
          <w:rStyle w:val="AttributeTok"/>
        </w:rPr>
        <w:t xml:space="preserve">dlow =</w:t>
      </w:r>
      <w:r>
        <w:rPr>
          <w:rStyle w:val="NormalTok"/>
        </w:rPr>
        <w:t xml:space="preserve"> MOTE</w:t>
      </w:r>
      <w:r>
        <w:rPr>
          <w:rStyle w:val="SpecialCharTok"/>
        </w:rPr>
        <w:t xml:space="preserve">::</w:t>
      </w:r>
      <w:r>
        <w:rPr>
          <w:rStyle w:val="FunctionTok"/>
        </w:rPr>
        <w:t xml:space="preserve">apa</w:t>
      </w:r>
      <w:r>
        <w:rPr>
          <w:rStyle w:val="NormalTok"/>
        </w:rPr>
        <w:t xml:space="preserve">(dPPC1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MOTE</w:t>
      </w:r>
      <w:r>
        <w:rPr>
          <w:rStyle w:val="SpecialCharTok"/>
        </w:rPr>
        <w:t xml:space="preserve">::</w:t>
      </w:r>
      <w:r>
        <w:rPr>
          <w:rStyle w:val="FunctionTok"/>
        </w:rPr>
        <w:t xml:space="preserve">apa</w:t>
      </w:r>
      <w:r>
        <w:rPr>
          <w:rStyle w:val="NormalTok"/>
        </w:rPr>
        <w:t xml:space="preserve">(dPPC1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1 0.567 0.252 0.881</w:t>
      </w:r>
    </w:p>
    <w:p>
      <w:pPr>
        <w:pStyle w:val="FirstParagraph"/>
      </w:pPr>
      <w:r>
        <w:t xml:space="preserve">The output shows a pre-post intervention effect of</w:t>
      </w:r>
      <w:r>
        <w:t xml:space="preserve"> </w:t>
      </w:r>
      <m:oMath>
        <m:sSub>
          <m:e>
            <m:r>
              <m:t>d</m:t>
            </m:r>
          </m:e>
          <m:sub>
            <m:r>
              <m:t>P</m:t>
            </m:r>
            <m:r>
              <m:t>P</m:t>
            </m:r>
            <m:r>
              <m:t>C</m:t>
            </m:r>
            <m:r>
              <m:t>1</m:t>
            </m:r>
          </m:sub>
        </m:sSub>
      </m:oMath>
      <w:r>
        <w:t xml:space="preserve"> </w:t>
      </w:r>
      <w:r>
        <w:t xml:space="preserve">= 0.57 [0.25, 0.88].</w:t>
      </w:r>
    </w:p>
    <w:bookmarkEnd w:id="96"/>
    <w:bookmarkStart w:id="97" w:name="sec-ppc2"/>
    <w:p>
      <w:pPr>
        <w:pStyle w:val="Heading3"/>
      </w:pPr>
      <w:r>
        <w:t xml:space="preserve">8.5.2 PPC2 - pooled pre-test standard deviations</w:t>
      </w:r>
    </w:p>
    <w:p>
      <w:pPr>
        <w:pStyle w:val="FirstParagraph"/>
      </w:pPr>
      <w:r>
        <w:t xml:space="preserve">The pooled pre-test (i.e., baseline) standard deviations can be used to standardized the difference in pre/post change between intervention and control groups such that</w:t>
      </w:r>
      <w:r>
        <w:t xml:space="preserve"> </w:t>
      </w:r>
      <w:r>
        <w:t xml:space="preserve">(equation 8, Morris 2008)</w:t>
      </w:r>
      <w:r>
        <w:t xml:space="preserve">,</w:t>
      </w:r>
    </w:p>
    <w:p>
      <w:pPr>
        <w:pStyle w:val="BodyText"/>
      </w:pPr>
      <m:oMathPara>
        <m:oMathParaPr>
          <m:jc m:val="center"/>
        </m:oMathParaPr>
        <m:oMath>
          <m:sSub>
            <m:e>
              <m:r>
                <m:t>d</m:t>
              </m:r>
            </m:e>
            <m:sub>
              <m:r>
                <m:t>P</m:t>
              </m:r>
              <m:r>
                <m:t>P</m:t>
              </m:r>
              <m:r>
                <m:t>C</m:t>
              </m:r>
              <m:r>
                <m:t>2</m:t>
              </m:r>
            </m:sub>
          </m:sSub>
          <m:r>
            <m:rPr>
              <m:sty m:val="p"/>
            </m:rPr>
            <m:t>=</m:t>
          </m:r>
          <m:f>
            <m:fPr>
              <m:type m:val="bar"/>
            </m:fPr>
            <m:num>
              <m:d>
                <m:dPr>
                  <m:begChr m:val="("/>
                  <m:endChr m:val=")"/>
                  <m:sepChr m:val=""/>
                  <m:grow/>
                </m:dPr>
                <m:e>
                  <m:sSub>
                    <m:e>
                      <m:r>
                        <m:t>M</m:t>
                      </m:r>
                    </m:e>
                    <m:sub>
                      <m:r>
                        <m:t>T</m:t>
                      </m:r>
                      <m:r>
                        <m:rPr>
                          <m:sty m:val="p"/>
                        </m:rPr>
                        <m:t>,</m:t>
                      </m:r>
                      <m:r>
                        <m:rPr>
                          <m:nor/>
                          <m:sty m:val="p"/>
                        </m:rPr>
                        <m:t>post</m:t>
                      </m:r>
                    </m:sub>
                  </m:sSub>
                  <m:r>
                    <m:rPr>
                      <m:sty m:val="p"/>
                    </m:rPr>
                    <m:t>−</m:t>
                  </m:r>
                  <m:sSub>
                    <m:e>
                      <m:r>
                        <m:t>M</m:t>
                      </m:r>
                    </m:e>
                    <m:sub>
                      <m:r>
                        <m:t>T</m:t>
                      </m:r>
                      <m:r>
                        <m:rPr>
                          <m:sty m:val="p"/>
                        </m:rPr>
                        <m:t>,</m:t>
                      </m:r>
                      <m:r>
                        <m:rPr>
                          <m:nor/>
                          <m:sty m:val="p"/>
                        </m:rPr>
                        <m:t>pre</m:t>
                      </m:r>
                    </m:sub>
                  </m:sSub>
                </m:e>
              </m:d>
              <m:r>
                <m:rPr>
                  <m:sty m:val="p"/>
                </m:rPr>
                <m:t>−</m:t>
              </m:r>
              <m:d>
                <m:dPr>
                  <m:begChr m:val="("/>
                  <m:endChr m:val=")"/>
                  <m:sepChr m:val=""/>
                  <m:grow/>
                </m:dPr>
                <m:e>
                  <m:sSub>
                    <m:e>
                      <m:r>
                        <m:t>M</m:t>
                      </m:r>
                    </m:e>
                    <m:sub>
                      <m:r>
                        <m:t>C</m:t>
                      </m:r>
                      <m:r>
                        <m:rPr>
                          <m:sty m:val="p"/>
                        </m:rPr>
                        <m:t>,</m:t>
                      </m:r>
                      <m:r>
                        <m:rPr>
                          <m:nor/>
                          <m:sty m:val="p"/>
                        </m:rPr>
                        <m:t>post</m:t>
                      </m:r>
                    </m:sub>
                  </m:sSub>
                  <m:r>
                    <m:rPr>
                      <m:sty m:val="p"/>
                    </m:rPr>
                    <m:t>−</m:t>
                  </m:r>
                  <m:sSub>
                    <m:e>
                      <m:r>
                        <m:t>M</m:t>
                      </m:r>
                    </m:e>
                    <m:sub>
                      <m:r>
                        <m:t>C</m:t>
                      </m:r>
                      <m:r>
                        <m:rPr>
                          <m:sty m:val="p"/>
                        </m:rPr>
                        <m:t>,</m:t>
                      </m:r>
                      <m:r>
                        <m:rPr>
                          <m:nor/>
                          <m:sty m:val="p"/>
                        </m:rPr>
                        <m:t>pre</m:t>
                      </m:r>
                    </m:sub>
                  </m:sSub>
                </m:e>
              </m:d>
            </m:num>
            <m:den>
              <m:sSub>
                <m:e>
                  <m:r>
                    <m:t>S</m:t>
                  </m:r>
                </m:e>
                <m:sub>
                  <m:r>
                    <m:t>p</m:t>
                  </m:r>
                  <m:r>
                    <m:rPr>
                      <m:sty m:val="p"/>
                    </m:rPr>
                    <m:t>,</m:t>
                  </m:r>
                  <m:r>
                    <m:rPr>
                      <m:nor/>
                      <m:sty m:val="p"/>
                    </m:rPr>
                    <m:t>pre</m:t>
                  </m:r>
                </m:sub>
              </m:sSub>
            </m:den>
          </m:f>
        </m:oMath>
      </m:oMathPara>
    </w:p>
    <w:p>
      <w:pPr>
        <w:pStyle w:val="FirstParagraph"/>
      </w:pPr>
      <w:r>
        <w:t xml:space="preserve">where</w:t>
      </w:r>
    </w:p>
    <w:p>
      <w:pPr>
        <w:pStyle w:val="BodyText"/>
      </w:pPr>
      <m:oMathPara>
        <m:oMathParaPr>
          <m:jc m:val="center"/>
        </m:oMathParaPr>
        <m:oMath>
          <m:sSub>
            <m:e>
              <m:r>
                <m:t>S</m:t>
              </m:r>
            </m:e>
            <m:sub>
              <m:r>
                <m:t>p</m:t>
              </m:r>
              <m:r>
                <m:rPr>
                  <m:sty m:val="p"/>
                </m:rPr>
                <m:t>,</m:t>
              </m:r>
              <m:r>
                <m:rPr>
                  <m:nor/>
                  <m:sty m:val="p"/>
                </m:rPr>
                <m:t>pre</m:t>
              </m:r>
            </m:sub>
          </m:sSub>
          <m:r>
            <m:rPr>
              <m:sty m:val="p"/>
            </m:rPr>
            <m:t>=</m:t>
          </m:r>
          <m:rad>
            <m:radPr>
              <m:degHide m:val="1"/>
            </m:radPr>
            <m:deg/>
            <m:e>
              <m:f>
                <m:fPr>
                  <m:type m:val="bar"/>
                </m:fPr>
                <m:num>
                  <m:d>
                    <m:dPr>
                      <m:begChr m:val="("/>
                      <m:endChr m:val=")"/>
                      <m:sepChr m:val=""/>
                      <m:grow/>
                    </m:dPr>
                    <m:e>
                      <m:sSub>
                        <m:e>
                          <m:r>
                            <m:t>n</m:t>
                          </m:r>
                        </m:e>
                        <m:sub>
                          <m:r>
                            <m:t>T</m:t>
                          </m:r>
                        </m:sub>
                      </m:sSub>
                      <m:r>
                        <m:rPr>
                          <m:sty m:val="p"/>
                        </m:rPr>
                        <m:t>−</m:t>
                      </m:r>
                      <m:r>
                        <m:t>1</m:t>
                      </m:r>
                    </m:e>
                  </m:d>
                  <m:sSubSup>
                    <m:e>
                      <m:r>
                        <m:t>S</m:t>
                      </m:r>
                    </m:e>
                    <m:sub>
                      <m:r>
                        <m:t>T</m:t>
                      </m:r>
                      <m:r>
                        <m:rPr>
                          <m:sty m:val="p"/>
                        </m:rPr>
                        <m:t>,</m:t>
                      </m:r>
                      <m:r>
                        <m:rPr>
                          <m:nor/>
                          <m:sty m:val="p"/>
                        </m:rPr>
                        <m:t>pre</m:t>
                      </m:r>
                    </m:sub>
                    <m:sup>
                      <m:r>
                        <m:t>2</m:t>
                      </m:r>
                    </m:sup>
                  </m:sSubSup>
                  <m:r>
                    <m:rPr>
                      <m:sty m:val="p"/>
                    </m:rPr>
                    <m:t>+</m:t>
                  </m:r>
                  <m:d>
                    <m:dPr>
                      <m:begChr m:val="("/>
                      <m:endChr m:val=")"/>
                      <m:sepChr m:val=""/>
                      <m:grow/>
                    </m:dPr>
                    <m:e>
                      <m:sSub>
                        <m:e>
                          <m:r>
                            <m:t>n</m:t>
                          </m:r>
                        </m:e>
                        <m:sub>
                          <m:r>
                            <m:t>C</m:t>
                          </m:r>
                        </m:sub>
                      </m:sSub>
                      <m:r>
                        <m:rPr>
                          <m:sty m:val="p"/>
                        </m:rPr>
                        <m:t>−</m:t>
                      </m:r>
                      <m:r>
                        <m:t>1</m:t>
                      </m:r>
                    </m:e>
                  </m:d>
                  <m:sSubSup>
                    <m:e>
                      <m:r>
                        <m:t>S</m:t>
                      </m:r>
                    </m:e>
                    <m:sub>
                      <m:r>
                        <m:t>C</m:t>
                      </m:r>
                      <m:r>
                        <m:rPr>
                          <m:sty m:val="p"/>
                        </m:rPr>
                        <m:t>,</m:t>
                      </m:r>
                      <m:r>
                        <m:rPr>
                          <m:nor/>
                          <m:sty m:val="p"/>
                        </m:rPr>
                        <m:t>post</m:t>
                      </m:r>
                    </m:sub>
                    <m:sup>
                      <m:r>
                        <m:t>2</m:t>
                      </m:r>
                    </m:sup>
                  </m:sSubSup>
                </m:num>
                <m:den>
                  <m:sSub>
                    <m:e>
                      <m:r>
                        <m:t>n</m:t>
                      </m:r>
                    </m:e>
                    <m:sub>
                      <m:r>
                        <m:t>T</m:t>
                      </m:r>
                    </m:sub>
                  </m:sSub>
                  <m:r>
                    <m:rPr>
                      <m:sty m:val="p"/>
                    </m:rPr>
                    <m:t>+</m:t>
                  </m:r>
                  <m:sSub>
                    <m:e>
                      <m:r>
                        <m:t>n</m:t>
                      </m:r>
                    </m:e>
                    <m:sub>
                      <m:r>
                        <m:t>C</m:t>
                      </m:r>
                    </m:sub>
                  </m:sSub>
                  <m:r>
                    <m:rPr>
                      <m:sty m:val="p"/>
                    </m:rPr>
                    <m:t>−</m:t>
                  </m:r>
                  <m:r>
                    <m:t>2</m:t>
                  </m:r>
                </m:den>
              </m:f>
            </m:e>
          </m:rad>
          <m:r>
            <m:rPr>
              <m:sty m:val="p"/>
            </m:rPr>
            <m:t>.</m:t>
          </m:r>
        </m:oMath>
      </m:oMathPara>
    </w:p>
    <w:p>
      <w:pPr>
        <w:pStyle w:val="FirstParagraph"/>
      </w:pPr>
      <w:r>
        <w:t xml:space="preserve">The distribution of</w:t>
      </w:r>
      <w:r>
        <w:t xml:space="preserve"> </w:t>
      </w:r>
      <m:oMath>
        <m:sSub>
          <m:e>
            <m:r>
              <m:t>d</m:t>
            </m:r>
          </m:e>
          <m:sub>
            <m:r>
              <m:t>P</m:t>
            </m:r>
            <m:r>
              <m:t>P</m:t>
            </m:r>
            <m:r>
              <m:t>C</m:t>
            </m:r>
            <m:r>
              <m:t>2</m:t>
            </m:r>
          </m:sub>
        </m:sSub>
      </m:oMath>
      <w:r>
        <w:t xml:space="preserve"> </w:t>
      </w:r>
      <w:r>
        <w:t xml:space="preserve">was described by</w:t>
      </w:r>
      <w:r>
        <w:t xml:space="preserve"> </w:t>
      </w:r>
      <w:r>
        <w:t xml:space="preserve">Morris (2008)</w:t>
      </w:r>
      <w:r>
        <w:t xml:space="preserve"> </w:t>
      </w:r>
      <w:r>
        <w:t xml:space="preserve">and can be expressed as</w:t>
      </w:r>
      <w:r>
        <w:t xml:space="preserve"> </w:t>
      </w:r>
      <w:r>
        <w:t xml:space="preserve">(adapted from equation 16, Morris 2008)</w:t>
      </w:r>
      <w:r>
        <w:t xml:space="preserve">,</w:t>
      </w:r>
    </w:p>
    <w:p>
      <w:pPr>
        <w:pStyle w:val="BodyText"/>
      </w:pPr>
      <w:r>
        <w:t xml:space="preserve">$$
\small{SE_{d_{PPC2}} = \sqrt{2\left(1-\frac{n_T r_T + n_C r_C}{n_T + n_C}\right)\left(\frac{n_T + n_C}{n_T n_C}\right)\left[1 + \frac{d^2_{PPC2}}{2\left(1-\frac{n_T r_T + n_C r_C}{n_T + n_C}\right)\left(\frac{n_T + n_C}{n_T n_C}\right)}\right] - d^2_{PPC2}}}
$$</w:t>
      </w:r>
    </w:p>
    <w:p>
      <w:pPr>
        <w:pStyle w:val="FirstParagraph"/>
      </w:pPr>
      <w:r>
        <w:t xml:space="preserve">Note the original equation shown in the paper by</w:t>
      </w:r>
      <w:r>
        <w:t xml:space="preserve"> </w:t>
      </w:r>
      <w:r>
        <w:t xml:space="preserve">Morris (2008)</w:t>
      </w:r>
      <w:r>
        <w:t xml:space="preserve"> </w:t>
      </w:r>
      <w:r>
        <w:t xml:space="preserve">uses the population pre/post correlation</w:t>
      </w:r>
      <w:r>
        <w:t xml:space="preserve"> </w:t>
      </w:r>
      <m:oMath>
        <m:r>
          <m:t>ρ</m:t>
        </m:r>
      </m:oMath>
      <w:r>
        <w:t xml:space="preserve">, however in the equation above we replace</w:t>
      </w:r>
      <w:r>
        <w:t xml:space="preserve"> </w:t>
      </w:r>
      <m:oMath>
        <m:r>
          <m:t>ρ</m:t>
        </m:r>
      </m:oMath>
      <w:r>
        <w:t xml:space="preserve"> </w:t>
      </w:r>
      <w:r>
        <w:t xml:space="preserve">with the sample size weighted average of the Pearson correlation computed in the treatment group and the control group (i.e.,</w:t>
      </w:r>
      <w:r>
        <w:t xml:space="preserve"> </w:t>
      </w:r>
      <m:oMath>
        <m:r>
          <m:t>ρ</m:t>
        </m:r>
        <m:r>
          <m:rPr>
            <m:sty m:val="p"/>
          </m:rPr>
          <m:t>≈</m:t>
        </m:r>
        <m:f>
          <m:fPr>
            <m:type m:val="bar"/>
          </m:fPr>
          <m:num>
            <m:sSub>
              <m:e>
                <m:r>
                  <m:t>n</m:t>
                </m:r>
              </m:e>
              <m:sub>
                <m:r>
                  <m:t>T</m:t>
                </m:r>
              </m:sub>
            </m:sSub>
            <m:sSub>
              <m:e>
                <m:r>
                  <m:t>r</m:t>
                </m:r>
              </m:e>
              <m:sub>
                <m:r>
                  <m:t>T</m:t>
                </m:r>
              </m:sub>
            </m:sSub>
            <m:r>
              <m:rPr>
                <m:sty m:val="p"/>
              </m:rPr>
              <m:t>+</m:t>
            </m:r>
            <m:sSub>
              <m:e>
                <m:r>
                  <m:t>n</m:t>
                </m:r>
              </m:e>
              <m:sub>
                <m:r>
                  <m:t>C</m:t>
                </m:r>
              </m:sub>
            </m:sSub>
            <m:sSub>
              <m:e>
                <m:r>
                  <m:t>r</m:t>
                </m:r>
              </m:e>
              <m:sub>
                <m:r>
                  <m:t>C</m:t>
                </m:r>
              </m:sub>
            </m:sSub>
          </m:num>
          <m:den>
            <m:sSub>
              <m:e>
                <m:r>
                  <m:t>n</m:t>
                </m:r>
              </m:e>
              <m:sub>
                <m:r>
                  <m:t>T</m:t>
                </m:r>
              </m:sub>
            </m:sSub>
            <m:r>
              <m:rPr>
                <m:sty m:val="p"/>
              </m:rPr>
              <m:t>+</m:t>
            </m:r>
            <m:sSub>
              <m:e>
                <m:r>
                  <m:t>n</m:t>
                </m:r>
              </m:e>
              <m:sub>
                <m:r>
                  <m:t>C</m:t>
                </m:r>
              </m:sub>
            </m:sSub>
          </m:den>
        </m:f>
      </m:oMath>
      <w:r>
        <w:t xml:space="preserve">).</w:t>
      </w:r>
    </w:p>
    <w:p>
      <w:pPr>
        <w:pStyle w:val="BodyText"/>
      </w:pPr>
      <w:r>
        <w:t xml:space="preserve">We can use base R to obtain</w:t>
      </w:r>
      <w:r>
        <w:t xml:space="preserve"> </w:t>
      </w:r>
      <m:oMath>
        <m:sSub>
          <m:e>
            <m:r>
              <m:t>d</m:t>
            </m:r>
          </m:e>
          <m:sub>
            <m:r>
              <m:t>P</m:t>
            </m:r>
            <m:r>
              <m:t>P</m:t>
            </m:r>
            <m:r>
              <m:t>C</m:t>
            </m:r>
            <m:r>
              <m:t>2</m:t>
            </m:r>
          </m:sub>
        </m:sSub>
      </m:oMath>
      <w:r>
        <w:t xml:space="preserve"> </w:t>
      </w:r>
      <w:r>
        <w:t xml:space="preserve">and confidence intervals:</w:t>
      </w:r>
    </w:p>
    <w:p>
      <w:pPr>
        <w:pStyle w:val="SourceCode"/>
      </w:pPr>
      <w:r>
        <w:rPr>
          <w:rStyle w:val="CommentTok"/>
        </w:rPr>
        <w:t xml:space="preserve"># Example:</w:t>
      </w:r>
      <w:r>
        <w:br/>
      </w:r>
      <w:r>
        <w:br/>
      </w:r>
      <w:r>
        <w:rPr>
          <w:rStyle w:val="CommentTok"/>
        </w:rPr>
        <w:t xml:space="preserve"># Control Group (N = 90)</w:t>
      </w:r>
      <w:r>
        <w:br/>
      </w:r>
      <w:r>
        <w:rPr>
          <w:rStyle w:val="DocumentationTok"/>
        </w:rPr>
        <w:t xml:space="preserve">## Pre-test Mean = 20, SD = 6</w:t>
      </w:r>
      <w:r>
        <w:br/>
      </w:r>
      <w:r>
        <w:rPr>
          <w:rStyle w:val="DocumentationTok"/>
        </w:rPr>
        <w:t xml:space="preserve">## Post-test Mean = 25, SD = 7</w:t>
      </w:r>
      <w:r>
        <w:br/>
      </w:r>
      <w:r>
        <w:rPr>
          <w:rStyle w:val="DocumentationTok"/>
        </w:rPr>
        <w:t xml:space="preserve">## Pre/post correlation = .50</w:t>
      </w:r>
      <w:r>
        <w:br/>
      </w:r>
      <w:r>
        <w:rPr>
          <w:rStyle w:val="NormalTok"/>
        </w:rPr>
        <w:t xml:space="preserve">M_Cpre </w:t>
      </w:r>
      <w:r>
        <w:rPr>
          <w:rStyle w:val="OtherTok"/>
        </w:rPr>
        <w:t xml:space="preserve">&lt;-</w:t>
      </w:r>
      <w:r>
        <w:rPr>
          <w:rStyle w:val="NormalTok"/>
        </w:rPr>
        <w:t xml:space="preserve"> </w:t>
      </w:r>
      <w:r>
        <w:rPr>
          <w:rStyle w:val="DecValTok"/>
        </w:rPr>
        <w:t xml:space="preserve">20</w:t>
      </w:r>
      <w:r>
        <w:br/>
      </w:r>
      <w:r>
        <w:rPr>
          <w:rStyle w:val="NormalTok"/>
        </w:rPr>
        <w:t xml:space="preserve">M_Cpost </w:t>
      </w:r>
      <w:r>
        <w:rPr>
          <w:rStyle w:val="OtherTok"/>
        </w:rPr>
        <w:t xml:space="preserve">&lt;-</w:t>
      </w:r>
      <w:r>
        <w:rPr>
          <w:rStyle w:val="NormalTok"/>
        </w:rPr>
        <w:t xml:space="preserve"> </w:t>
      </w:r>
      <w:r>
        <w:rPr>
          <w:rStyle w:val="DecValTok"/>
        </w:rPr>
        <w:t xml:space="preserve">25</w:t>
      </w:r>
      <w:r>
        <w:br/>
      </w:r>
      <w:r>
        <w:rPr>
          <w:rStyle w:val="NormalTok"/>
        </w:rPr>
        <w:t xml:space="preserve">SD_Cpre </w:t>
      </w:r>
      <w:r>
        <w:rPr>
          <w:rStyle w:val="OtherTok"/>
        </w:rPr>
        <w:t xml:space="preserve">&lt;-</w:t>
      </w:r>
      <w:r>
        <w:rPr>
          <w:rStyle w:val="NormalTok"/>
        </w:rPr>
        <w:t xml:space="preserve"> </w:t>
      </w:r>
      <w:r>
        <w:rPr>
          <w:rStyle w:val="DecValTok"/>
        </w:rPr>
        <w:t xml:space="preserve">6</w:t>
      </w:r>
      <w:r>
        <w:br/>
      </w:r>
      <w:r>
        <w:rPr>
          <w:rStyle w:val="NormalTok"/>
        </w:rPr>
        <w:t xml:space="preserve">SD_Cpost </w:t>
      </w:r>
      <w:r>
        <w:rPr>
          <w:rStyle w:val="OtherTok"/>
        </w:rPr>
        <w:t xml:space="preserve">&lt;-</w:t>
      </w:r>
      <w:r>
        <w:rPr>
          <w:rStyle w:val="NormalTok"/>
        </w:rPr>
        <w:t xml:space="preserve"> </w:t>
      </w:r>
      <w:r>
        <w:rPr>
          <w:rStyle w:val="DecValTok"/>
        </w:rPr>
        <w:t xml:space="preserve">7</w:t>
      </w:r>
      <w:r>
        <w:br/>
      </w:r>
      <w:r>
        <w:rPr>
          <w:rStyle w:val="NormalTok"/>
        </w:rPr>
        <w:t xml:space="preserve">rC </w:t>
      </w:r>
      <w:r>
        <w:rPr>
          <w:rStyle w:val="OtherTok"/>
        </w:rPr>
        <w:t xml:space="preserve">&lt;-</w:t>
      </w:r>
      <w:r>
        <w:rPr>
          <w:rStyle w:val="NormalTok"/>
        </w:rPr>
        <w:t xml:space="preserve"> .</w:t>
      </w:r>
      <w:r>
        <w:rPr>
          <w:rStyle w:val="DecValTok"/>
        </w:rPr>
        <w:t xml:space="preserve">50</w:t>
      </w:r>
      <w:r>
        <w:br/>
      </w:r>
      <w:r>
        <w:rPr>
          <w:rStyle w:val="NormalTok"/>
        </w:rPr>
        <w:t xml:space="preserve">nC </w:t>
      </w:r>
      <w:r>
        <w:rPr>
          <w:rStyle w:val="OtherTok"/>
        </w:rPr>
        <w:t xml:space="preserve">&lt;-</w:t>
      </w:r>
      <w:r>
        <w:rPr>
          <w:rStyle w:val="NormalTok"/>
        </w:rPr>
        <w:t xml:space="preserve"> </w:t>
      </w:r>
      <w:r>
        <w:rPr>
          <w:rStyle w:val="DecValTok"/>
        </w:rPr>
        <w:t xml:space="preserve">90</w:t>
      </w:r>
      <w:r>
        <w:br/>
      </w:r>
      <w:r>
        <w:br/>
      </w:r>
      <w:r>
        <w:rPr>
          <w:rStyle w:val="CommentTok"/>
        </w:rPr>
        <w:t xml:space="preserve"># Intervention Group (N = 90)</w:t>
      </w:r>
      <w:r>
        <w:br/>
      </w:r>
      <w:r>
        <w:rPr>
          <w:rStyle w:val="DocumentationTok"/>
        </w:rPr>
        <w:t xml:space="preserve">## Pre-test Mean = 20, SD = 5</w:t>
      </w:r>
      <w:r>
        <w:br/>
      </w:r>
      <w:r>
        <w:rPr>
          <w:rStyle w:val="DocumentationTok"/>
        </w:rPr>
        <w:t xml:space="preserve">## Post-test Mean = 27, SD = 8</w:t>
      </w:r>
      <w:r>
        <w:br/>
      </w:r>
      <w:r>
        <w:rPr>
          <w:rStyle w:val="DocumentationTok"/>
        </w:rPr>
        <w:t xml:space="preserve">## Pre/post correlation = .50</w:t>
      </w:r>
      <w:r>
        <w:br/>
      </w:r>
      <w:r>
        <w:rPr>
          <w:rStyle w:val="NormalTok"/>
        </w:rPr>
        <w:t xml:space="preserve">M_Tpre </w:t>
      </w:r>
      <w:r>
        <w:rPr>
          <w:rStyle w:val="OtherTok"/>
        </w:rPr>
        <w:t xml:space="preserve">&lt;-</w:t>
      </w:r>
      <w:r>
        <w:rPr>
          <w:rStyle w:val="NormalTok"/>
        </w:rPr>
        <w:t xml:space="preserve"> </w:t>
      </w:r>
      <w:r>
        <w:rPr>
          <w:rStyle w:val="DecValTok"/>
        </w:rPr>
        <w:t xml:space="preserve">20</w:t>
      </w:r>
      <w:r>
        <w:br/>
      </w:r>
      <w:r>
        <w:rPr>
          <w:rStyle w:val="NormalTok"/>
        </w:rPr>
        <w:t xml:space="preserve">M_Tpost </w:t>
      </w:r>
      <w:r>
        <w:rPr>
          <w:rStyle w:val="OtherTok"/>
        </w:rPr>
        <w:t xml:space="preserve">&lt;-</w:t>
      </w:r>
      <w:r>
        <w:rPr>
          <w:rStyle w:val="NormalTok"/>
        </w:rPr>
        <w:t xml:space="preserve"> </w:t>
      </w:r>
      <w:r>
        <w:rPr>
          <w:rStyle w:val="DecValTok"/>
        </w:rPr>
        <w:t xml:space="preserve">27</w:t>
      </w:r>
      <w:r>
        <w:br/>
      </w:r>
      <w:r>
        <w:rPr>
          <w:rStyle w:val="NormalTok"/>
        </w:rPr>
        <w:t xml:space="preserve">SD_Tpre </w:t>
      </w:r>
      <w:r>
        <w:rPr>
          <w:rStyle w:val="OtherTok"/>
        </w:rPr>
        <w:t xml:space="preserve">&lt;-</w:t>
      </w:r>
      <w:r>
        <w:rPr>
          <w:rStyle w:val="NormalTok"/>
        </w:rPr>
        <w:t xml:space="preserve"> </w:t>
      </w:r>
      <w:r>
        <w:rPr>
          <w:rStyle w:val="DecValTok"/>
        </w:rPr>
        <w:t xml:space="preserve">5</w:t>
      </w:r>
      <w:r>
        <w:br/>
      </w:r>
      <w:r>
        <w:rPr>
          <w:rStyle w:val="NormalTok"/>
        </w:rPr>
        <w:t xml:space="preserve">SD_Tpost </w:t>
      </w:r>
      <w:r>
        <w:rPr>
          <w:rStyle w:val="OtherTok"/>
        </w:rPr>
        <w:t xml:space="preserve">&lt;-</w:t>
      </w:r>
      <w:r>
        <w:rPr>
          <w:rStyle w:val="NormalTok"/>
        </w:rPr>
        <w:t xml:space="preserve"> </w:t>
      </w:r>
      <w:r>
        <w:rPr>
          <w:rStyle w:val="DecValTok"/>
        </w:rPr>
        <w:t xml:space="preserve">8</w:t>
      </w:r>
      <w:r>
        <w:br/>
      </w:r>
      <w:r>
        <w:rPr>
          <w:rStyle w:val="NormalTok"/>
        </w:rPr>
        <w:t xml:space="preserve">rT </w:t>
      </w:r>
      <w:r>
        <w:rPr>
          <w:rStyle w:val="OtherTok"/>
        </w:rPr>
        <w:t xml:space="preserve">&lt;-</w:t>
      </w:r>
      <w:r>
        <w:rPr>
          <w:rStyle w:val="NormalTok"/>
        </w:rPr>
        <w:t xml:space="preserve"> .</w:t>
      </w:r>
      <w:r>
        <w:rPr>
          <w:rStyle w:val="DecValTok"/>
        </w:rPr>
        <w:t xml:space="preserve">50</w:t>
      </w:r>
      <w:r>
        <w:br/>
      </w:r>
      <w:r>
        <w:rPr>
          <w:rStyle w:val="NormalTok"/>
        </w:rPr>
        <w:t xml:space="preserve">nT </w:t>
      </w:r>
      <w:r>
        <w:rPr>
          <w:rStyle w:val="OtherTok"/>
        </w:rPr>
        <w:t xml:space="preserve">&lt;-</w:t>
      </w:r>
      <w:r>
        <w:rPr>
          <w:rStyle w:val="NormalTok"/>
        </w:rPr>
        <w:t xml:space="preserve"> </w:t>
      </w:r>
      <w:r>
        <w:rPr>
          <w:rStyle w:val="DecValTok"/>
        </w:rPr>
        <w:t xml:space="preserve">90</w:t>
      </w:r>
      <w:r>
        <w:br/>
      </w:r>
      <w:r>
        <w:br/>
      </w:r>
      <w:r>
        <w:rPr>
          <w:rStyle w:val="CommentTok"/>
        </w:rPr>
        <w:t xml:space="preserve"># calculate the observed standardized mean difference</w:t>
      </w:r>
      <w:r>
        <w:br/>
      </w:r>
      <w:r>
        <w:rPr>
          <w:rStyle w:val="NormalTok"/>
        </w:rPr>
        <w:t xml:space="preserve">dPPC2 </w:t>
      </w:r>
      <w:r>
        <w:rPr>
          <w:rStyle w:val="OtherTok"/>
        </w:rPr>
        <w:t xml:space="preserve">&lt;-</w:t>
      </w:r>
      <w:r>
        <w:rPr>
          <w:rStyle w:val="NormalTok"/>
        </w:rPr>
        <w:t xml:space="preserve"> ((M_Tpost</w:t>
      </w:r>
      <w:r>
        <w:rPr>
          <w:rStyle w:val="SpecialCharTok"/>
        </w:rPr>
        <w:t xml:space="preserve">-</w:t>
      </w:r>
      <w:r>
        <w:rPr>
          <w:rStyle w:val="NormalTok"/>
        </w:rPr>
        <w:t xml:space="preserve"> M_Tpre) </w:t>
      </w:r>
      <w:r>
        <w:rPr>
          <w:rStyle w:val="SpecialCharTok"/>
        </w:rPr>
        <w:t xml:space="preserve">-</w:t>
      </w:r>
      <w:r>
        <w:rPr>
          <w:rStyle w:val="NormalTok"/>
        </w:rPr>
        <w:t xml:space="preserve"> (M_Cpost </w:t>
      </w:r>
      <w:r>
        <w:rPr>
          <w:rStyle w:val="SpecialCharTok"/>
        </w:rPr>
        <w:t xml:space="preserve">-</w:t>
      </w:r>
      <w:r>
        <w:rPr>
          <w:rStyle w:val="NormalTok"/>
        </w:rPr>
        <w:t xml:space="preserve"> M_Cpre)) </w:t>
      </w:r>
      <w:r>
        <w:rPr>
          <w:rStyle w:val="SpecialCharTok"/>
        </w:rPr>
        <w:t xml:space="preserve">/</w:t>
      </w:r>
      <w:r>
        <w:rPr>
          <w:rStyle w:val="NormalTok"/>
        </w:rPr>
        <w:t xml:space="preserve"> </w:t>
      </w:r>
      <w:r>
        <w:rPr>
          <w:rStyle w:val="FunctionTok"/>
        </w:rPr>
        <w:t xml:space="preserve">sqrt</w:t>
      </w:r>
      <w:r>
        <w:rPr>
          <w:rStyle w:val="NormalTok"/>
        </w:rPr>
        <w:t xml:space="preserve">( ( (nT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(SD_Tpre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(SD_Cpre</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(nT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calculate the standard error</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 (nT</w:t>
      </w:r>
      <w:r>
        <w:rPr>
          <w:rStyle w:val="SpecialCharTok"/>
        </w:rPr>
        <w:t xml:space="preserve">*</w:t>
      </w:r>
      <w:r>
        <w:rPr>
          <w:rStyle w:val="NormalTok"/>
        </w:rPr>
        <w:t xml:space="preserve">rT</w:t>
      </w:r>
      <w:r>
        <w:rPr>
          <w:rStyle w:val="SpecialCharTok"/>
        </w:rPr>
        <w:t xml:space="preserve">+</w:t>
      </w:r>
      <w:r>
        <w:rPr>
          <w:rStyle w:val="NormalTok"/>
        </w:rPr>
        <w:t xml:space="preserve">nC</w:t>
      </w:r>
      <w:r>
        <w:rPr>
          <w:rStyle w:val="SpecialCharTok"/>
        </w:rPr>
        <w:t xml:space="preserve">*</w:t>
      </w:r>
      <w:r>
        <w:rPr>
          <w:rStyle w:val="NormalTok"/>
        </w:rPr>
        <w:t xml:space="preserve">rC)</w:t>
      </w:r>
      <w:r>
        <w:rPr>
          <w:rStyle w:val="SpecialCharTok"/>
        </w:rPr>
        <w:t xml:space="preserve">/</w:t>
      </w:r>
      <w:r>
        <w:rPr>
          <w:rStyle w:val="NormalTok"/>
        </w:rPr>
        <w:t xml:space="preserve">(nT </w:t>
      </w:r>
      <w:r>
        <w:rPr>
          <w:rStyle w:val="SpecialCharTok"/>
        </w:rPr>
        <w:t xml:space="preserve">+</w:t>
      </w:r>
      <w:r>
        <w:rPr>
          <w:rStyle w:val="NormalTok"/>
        </w:rPr>
        <w:t xml:space="preserve"> nC))) </w:t>
      </w:r>
      <w:r>
        <w:rPr>
          <w:rStyle w:val="SpecialCharTok"/>
        </w:rPr>
        <w:t xml:space="preserve">*</w:t>
      </w:r>
      <w:r>
        <w:rPr>
          <w:rStyle w:val="NormalTok"/>
        </w:rPr>
        <w:t xml:space="preserve"> ((nT</w:t>
      </w:r>
      <w:r>
        <w:rPr>
          <w:rStyle w:val="SpecialCharTok"/>
        </w:rPr>
        <w:t xml:space="preserve">+</w:t>
      </w:r>
      <w:r>
        <w:rPr>
          <w:rStyle w:val="NormalTok"/>
        </w:rPr>
        <w:t xml:space="preserve">nC)</w:t>
      </w:r>
      <w:r>
        <w:rPr>
          <w:rStyle w:val="SpecialCharTok"/>
        </w:rPr>
        <w:t xml:space="preserve">/</w:t>
      </w:r>
      <w:r>
        <w:rPr>
          <w:rStyle w:val="NormalTok"/>
        </w:rPr>
        <w:t xml:space="preserve">(nT</w:t>
      </w:r>
      <w:r>
        <w:rPr>
          <w:rStyle w:val="SpecialCharTok"/>
        </w:rPr>
        <w:t xml:space="preserve">*</w:t>
      </w:r>
      <w:r>
        <w:rPr>
          <w:rStyle w:val="NormalTok"/>
        </w:rPr>
        <w:t xml:space="preserve">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(dPPC2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((nT</w:t>
      </w:r>
      <w:r>
        <w:rPr>
          <w:rStyle w:val="SpecialCharTok"/>
        </w:rPr>
        <w:t xml:space="preserve">*</w:t>
      </w:r>
      <w:r>
        <w:rPr>
          <w:rStyle w:val="NormalTok"/>
        </w:rPr>
        <w:t xml:space="preserve">rT</w:t>
      </w:r>
      <w:r>
        <w:rPr>
          <w:rStyle w:val="SpecialCharTok"/>
        </w:rPr>
        <w:t xml:space="preserve">+</w:t>
      </w:r>
      <w:r>
        <w:rPr>
          <w:rStyle w:val="NormalTok"/>
        </w:rPr>
        <w:t xml:space="preserve">nC</w:t>
      </w:r>
      <w:r>
        <w:rPr>
          <w:rStyle w:val="SpecialCharTok"/>
        </w:rPr>
        <w:t xml:space="preserve">*</w:t>
      </w:r>
      <w:r>
        <w:rPr>
          <w:rStyle w:val="NormalTok"/>
        </w:rPr>
        <w:t xml:space="preserve">rC)</w:t>
      </w:r>
      <w:r>
        <w:rPr>
          <w:rStyle w:val="SpecialCharTok"/>
        </w:rPr>
        <w:t xml:space="preserve">/</w:t>
      </w:r>
      <w:r>
        <w:rPr>
          <w:rStyle w:val="NormalTok"/>
        </w:rPr>
        <w:t xml:space="preserve">(nT</w:t>
      </w:r>
      <w:r>
        <w:rPr>
          <w:rStyle w:val="SpecialCharTok"/>
        </w:rPr>
        <w:t xml:space="preserve">+</w:t>
      </w:r>
      <w:r>
        <w:rPr>
          <w:rStyle w:val="NormalTok"/>
        </w:rPr>
        <w:t xml:space="preserve">nC))) </w:t>
      </w:r>
      <w:r>
        <w:rPr>
          <w:rStyle w:val="SpecialCharTok"/>
        </w:rPr>
        <w:t xml:space="preserve">*</w:t>
      </w:r>
      <w:r>
        <w:rPr>
          <w:rStyle w:val="NormalTok"/>
        </w:rPr>
        <w:t xml:space="preserve"> ((nT</w:t>
      </w:r>
      <w:r>
        <w:rPr>
          <w:rStyle w:val="SpecialCharTok"/>
        </w:rPr>
        <w:t xml:space="preserve">+</w:t>
      </w:r>
      <w:r>
        <w:rPr>
          <w:rStyle w:val="NormalTok"/>
        </w:rPr>
        <w:t xml:space="preserve">nC)</w:t>
      </w:r>
      <w:r>
        <w:rPr>
          <w:rStyle w:val="SpecialCharTok"/>
        </w:rPr>
        <w:t xml:space="preserve">/</w:t>
      </w:r>
      <w:r>
        <w:rPr>
          <w:rStyle w:val="NormalTok"/>
        </w:rPr>
        <w:t xml:space="preserve">(nT</w:t>
      </w:r>
      <w:r>
        <w:rPr>
          <w:rStyle w:val="SpecialCharTok"/>
        </w:rPr>
        <w:t xml:space="preserve">*</w:t>
      </w:r>
      <w:r>
        <w:rPr>
          <w:rStyle w:val="NormalTok"/>
        </w:rPr>
        <w:t xml:space="preserve">nC)))))) </w:t>
      </w:r>
      <w:r>
        <w:rPr>
          <w:rStyle w:val="SpecialCharTok"/>
        </w:rPr>
        <w:t xml:space="preserve">-</w:t>
      </w:r>
      <w:r>
        <w:rPr>
          <w:rStyle w:val="NormalTok"/>
        </w:rPr>
        <w:t xml:space="preserve"> dPPC2</w:t>
      </w:r>
      <w:r>
        <w:br/>
      </w:r>
      <w:r>
        <w:br/>
      </w:r>
      <w:r>
        <w:rPr>
          <w:rStyle w:val="CommentTok"/>
        </w:rPr>
        <w:t xml:space="preserve"># print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MOTE</w:t>
      </w:r>
      <w:r>
        <w:rPr>
          <w:rStyle w:val="SpecialCharTok"/>
        </w:rPr>
        <w:t xml:space="preserve">::</w:t>
      </w:r>
      <w:r>
        <w:rPr>
          <w:rStyle w:val="FunctionTok"/>
        </w:rPr>
        <w:t xml:space="preserve">apa</w:t>
      </w:r>
      <w:r>
        <w:rPr>
          <w:rStyle w:val="NormalTok"/>
        </w:rPr>
        <w:t xml:space="preserve">(dPPC2),</w:t>
      </w:r>
      <w:r>
        <w:br/>
      </w:r>
      <w:r>
        <w:rPr>
          <w:rStyle w:val="NormalTok"/>
        </w:rPr>
        <w:t xml:space="preserve">           </w:t>
      </w:r>
      <w:r>
        <w:rPr>
          <w:rStyle w:val="AttributeTok"/>
        </w:rPr>
        <w:t xml:space="preserve">dlow =</w:t>
      </w:r>
      <w:r>
        <w:rPr>
          <w:rStyle w:val="NormalTok"/>
        </w:rPr>
        <w:t xml:space="preserve"> MOTE</w:t>
      </w:r>
      <w:r>
        <w:rPr>
          <w:rStyle w:val="SpecialCharTok"/>
        </w:rPr>
        <w:t xml:space="preserve">::</w:t>
      </w:r>
      <w:r>
        <w:rPr>
          <w:rStyle w:val="FunctionTok"/>
        </w:rPr>
        <w:t xml:space="preserve">apa</w:t>
      </w:r>
      <w:r>
        <w:rPr>
          <w:rStyle w:val="NormalTok"/>
        </w:rPr>
        <w:t xml:space="preserve">(dPPC2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MOTE</w:t>
      </w:r>
      <w:r>
        <w:rPr>
          <w:rStyle w:val="SpecialCharTok"/>
        </w:rPr>
        <w:t xml:space="preserve">::</w:t>
      </w:r>
      <w:r>
        <w:rPr>
          <w:rStyle w:val="FunctionTok"/>
        </w:rPr>
        <w:t xml:space="preserve">apa</w:t>
      </w:r>
      <w:r>
        <w:rPr>
          <w:rStyle w:val="NormalTok"/>
        </w:rPr>
        <w:t xml:space="preserve">(dPPC2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1 0.362 0.304 0.420</w:t>
      </w:r>
    </w:p>
    <w:p>
      <w:pPr>
        <w:pStyle w:val="FirstParagraph"/>
      </w:pPr>
      <w:r>
        <w:t xml:space="preserve">The output shows a pre-post intervention effect of</w:t>
      </w:r>
      <w:r>
        <w:t xml:space="preserve"> </w:t>
      </w:r>
      <m:oMath>
        <m:sSub>
          <m:e>
            <m:r>
              <m:t>d</m:t>
            </m:r>
          </m:e>
          <m:sub>
            <m:r>
              <m:t>P</m:t>
            </m:r>
            <m:r>
              <m:t>P</m:t>
            </m:r>
            <m:r>
              <m:t>C</m:t>
            </m:r>
            <m:r>
              <m:t>2</m:t>
            </m:r>
          </m:sub>
        </m:sSub>
      </m:oMath>
      <w:r>
        <w:t xml:space="preserve"> </w:t>
      </w:r>
      <w:r>
        <w:t xml:space="preserve">= 0.36 [0.30, 0.42].</w:t>
      </w:r>
    </w:p>
    <w:bookmarkEnd w:id="97"/>
    <w:bookmarkStart w:id="99" w:name="sec-ppc3"/>
    <w:p>
      <w:pPr>
        <w:pStyle w:val="Heading3"/>
      </w:pPr>
      <w:r>
        <w:t xml:space="preserve">8.5.3 PPC3 - pooled pre- and post-test</w:t>
      </w:r>
    </w:p>
    <w:p>
      <w:pPr>
        <w:pStyle w:val="FirstParagraph"/>
      </w:pPr>
      <w:r>
        <w:t xml:space="preserve">The two previous effect sizes only use the pretest standard deviation. But if we are happy to assume that pretest and posttest variances are homogenous</w:t>
      </w:r>
      <w:r>
        <w:rPr>
          <w:rStyle w:val="FootnoteReference"/>
        </w:rPr>
        <w:footnoteReference w:id="98"/>
      </w:r>
      <w:r>
        <w:t xml:space="preserve"> </w:t>
      </w:r>
      <w:r>
        <w:t xml:space="preserve">the pooled pre-test and post-test standard deviations can be used to standardized the difference in pre/post change between intervention and control groups such that</w:t>
      </w:r>
      <w:r>
        <w:t xml:space="preserve"> </w:t>
      </w:r>
      <w:r>
        <w:t xml:space="preserve">(equation 8, Morris 2008)</w:t>
      </w:r>
      <w:r>
        <w:t xml:space="preserve">,</w:t>
      </w:r>
    </w:p>
    <w:p>
      <w:pPr>
        <w:pStyle w:val="BodyText"/>
      </w:pPr>
      <m:oMathPara>
        <m:oMathParaPr>
          <m:jc m:val="center"/>
        </m:oMathParaPr>
        <m:oMath>
          <m:sSub>
            <m:e>
              <m:r>
                <m:t>d</m:t>
              </m:r>
            </m:e>
            <m:sub>
              <m:r>
                <m:t>P</m:t>
              </m:r>
              <m:r>
                <m:t>P</m:t>
              </m:r>
              <m:r>
                <m:t>C</m:t>
              </m:r>
              <m:r>
                <m:t>3</m:t>
              </m:r>
            </m:sub>
          </m:sSub>
          <m:r>
            <m:rPr>
              <m:sty m:val="p"/>
            </m:rPr>
            <m:t>=</m:t>
          </m:r>
          <m:f>
            <m:fPr>
              <m:type m:val="bar"/>
            </m:fPr>
            <m:num>
              <m:d>
                <m:dPr>
                  <m:begChr m:val="("/>
                  <m:endChr m:val=")"/>
                  <m:sepChr m:val=""/>
                  <m:grow/>
                </m:dPr>
                <m:e>
                  <m:sSub>
                    <m:e>
                      <m:r>
                        <m:t>M</m:t>
                      </m:r>
                    </m:e>
                    <m:sub>
                      <m:r>
                        <m:t>T</m:t>
                      </m:r>
                      <m:r>
                        <m:rPr>
                          <m:sty m:val="p"/>
                        </m:rPr>
                        <m:t>,</m:t>
                      </m:r>
                      <m:r>
                        <m:rPr>
                          <m:nor/>
                          <m:sty m:val="p"/>
                        </m:rPr>
                        <m:t>post</m:t>
                      </m:r>
                    </m:sub>
                  </m:sSub>
                  <m:r>
                    <m:rPr>
                      <m:sty m:val="p"/>
                    </m:rPr>
                    <m:t>−</m:t>
                  </m:r>
                  <m:sSub>
                    <m:e>
                      <m:r>
                        <m:t>M</m:t>
                      </m:r>
                    </m:e>
                    <m:sub>
                      <m:r>
                        <m:t>T</m:t>
                      </m:r>
                      <m:r>
                        <m:rPr>
                          <m:sty m:val="p"/>
                        </m:rPr>
                        <m:t>,</m:t>
                      </m:r>
                      <m:r>
                        <m:rPr>
                          <m:nor/>
                          <m:sty m:val="p"/>
                        </m:rPr>
                        <m:t>pre</m:t>
                      </m:r>
                    </m:sub>
                  </m:sSub>
                </m:e>
              </m:d>
              <m:r>
                <m:rPr>
                  <m:sty m:val="p"/>
                </m:rPr>
                <m:t>−</m:t>
              </m:r>
              <m:d>
                <m:dPr>
                  <m:begChr m:val="("/>
                  <m:endChr m:val=")"/>
                  <m:sepChr m:val=""/>
                  <m:grow/>
                </m:dPr>
                <m:e>
                  <m:sSub>
                    <m:e>
                      <m:r>
                        <m:t>M</m:t>
                      </m:r>
                    </m:e>
                    <m:sub>
                      <m:r>
                        <m:t>C</m:t>
                      </m:r>
                      <m:r>
                        <m:rPr>
                          <m:sty m:val="p"/>
                        </m:rPr>
                        <m:t>,</m:t>
                      </m:r>
                      <m:r>
                        <m:rPr>
                          <m:nor/>
                          <m:sty m:val="p"/>
                        </m:rPr>
                        <m:t>post</m:t>
                      </m:r>
                    </m:sub>
                  </m:sSub>
                  <m:r>
                    <m:rPr>
                      <m:sty m:val="p"/>
                    </m:rPr>
                    <m:t>−</m:t>
                  </m:r>
                  <m:sSub>
                    <m:e>
                      <m:r>
                        <m:t>M</m:t>
                      </m:r>
                    </m:e>
                    <m:sub>
                      <m:r>
                        <m:t>C</m:t>
                      </m:r>
                      <m:r>
                        <m:rPr>
                          <m:sty m:val="p"/>
                        </m:rPr>
                        <m:t>,</m:t>
                      </m:r>
                      <m:r>
                        <m:rPr>
                          <m:nor/>
                          <m:sty m:val="p"/>
                        </m:rPr>
                        <m:t>pre</m:t>
                      </m:r>
                    </m:sub>
                  </m:sSub>
                </m:e>
              </m:d>
            </m:num>
            <m:den>
              <m:sSub>
                <m:e>
                  <m:r>
                    <m:t>S</m:t>
                  </m:r>
                </m:e>
                <m:sub>
                  <m:r>
                    <m:t>p</m:t>
                  </m:r>
                  <m:r>
                    <m:rPr>
                      <m:sty m:val="p"/>
                    </m:rPr>
                    <m:t>,</m:t>
                  </m:r>
                  <m:r>
                    <m:rPr>
                      <m:nor/>
                      <m:sty m:val="p"/>
                    </m:rPr>
                    <m:t>pre-post</m:t>
                  </m:r>
                </m:sub>
              </m:sSub>
            </m:den>
          </m:f>
          <m:r>
            <m:rPr>
              <m:sty m:val="p"/>
            </m:rPr>
            <m:t>,</m:t>
          </m:r>
        </m:oMath>
      </m:oMathPara>
    </w:p>
    <w:p>
      <w:pPr>
        <w:pStyle w:val="FirstParagraph"/>
      </w:pPr>
      <w:r>
        <w:t xml:space="preserve">where,</w:t>
      </w:r>
    </w:p>
    <w:p>
      <w:pPr>
        <w:pStyle w:val="BodyText"/>
      </w:pPr>
      <m:oMathPara>
        <m:oMathParaPr>
          <m:jc m:val="center"/>
        </m:oMathParaPr>
        <m:oMath>
          <m:sSub>
            <m:e>
              <m:r>
                <m:t>S</m:t>
              </m:r>
            </m:e>
            <m:sub>
              <m:r>
                <m:t>p</m:t>
              </m:r>
              <m:r>
                <m:rPr>
                  <m:sty m:val="p"/>
                </m:rPr>
                <m:t>,</m:t>
              </m:r>
              <m:r>
                <m:rPr>
                  <m:nor/>
                  <m:sty m:val="p"/>
                </m:rPr>
                <m:t>pre-post</m:t>
              </m:r>
            </m:sub>
          </m:sSub>
          <m:r>
            <m:rPr>
              <m:sty m:val="p"/>
            </m:rPr>
            <m:t>=</m:t>
          </m:r>
          <m:rad>
            <m:radPr>
              <m:degHide m:val="1"/>
            </m:radPr>
            <m:deg/>
            <m:e>
              <m:f>
                <m:fPr>
                  <m:type m:val="bar"/>
                </m:fPr>
                <m:num>
                  <m:d>
                    <m:dPr>
                      <m:begChr m:val="("/>
                      <m:endChr m:val=")"/>
                      <m:sepChr m:val=""/>
                      <m:grow/>
                    </m:dPr>
                    <m:e>
                      <m:sSub>
                        <m:e>
                          <m:r>
                            <m:t>n</m:t>
                          </m:r>
                        </m:e>
                        <m:sub>
                          <m:r>
                            <m:t>T</m:t>
                          </m:r>
                        </m:sub>
                      </m:sSub>
                      <m:r>
                        <m:rPr>
                          <m:sty m:val="p"/>
                        </m:rPr>
                        <m:t>−</m:t>
                      </m:r>
                      <m:r>
                        <m:t>1</m:t>
                      </m:r>
                    </m:e>
                  </m:d>
                  <m:d>
                    <m:dPr>
                      <m:begChr m:val="("/>
                      <m:endChr m:val=")"/>
                      <m:sepChr m:val=""/>
                      <m:grow/>
                    </m:dPr>
                    <m:e>
                      <m:sSubSup>
                        <m:e>
                          <m:r>
                            <m:t>S</m:t>
                          </m:r>
                        </m:e>
                        <m:sub>
                          <m:r>
                            <m:t>T</m:t>
                          </m:r>
                          <m:r>
                            <m:rPr>
                              <m:sty m:val="p"/>
                            </m:rPr>
                            <m:t>,</m:t>
                          </m:r>
                          <m:r>
                            <m:rPr>
                              <m:nor/>
                              <m:sty m:val="p"/>
                            </m:rPr>
                            <m:t>pre</m:t>
                          </m:r>
                        </m:sub>
                        <m:sup>
                          <m:r>
                            <m:t>2</m:t>
                          </m:r>
                        </m:sup>
                      </m:sSubSup>
                      <m:r>
                        <m:rPr>
                          <m:sty m:val="p"/>
                        </m:rPr>
                        <m:t>+</m:t>
                      </m:r>
                      <m:sSubSup>
                        <m:e>
                          <m:r>
                            <m:t>S</m:t>
                          </m:r>
                        </m:e>
                        <m:sub>
                          <m:r>
                            <m:t>T</m:t>
                          </m:r>
                          <m:r>
                            <m:rPr>
                              <m:sty m:val="p"/>
                            </m:rPr>
                            <m:t>,</m:t>
                          </m:r>
                          <m:r>
                            <m:rPr>
                              <m:nor/>
                              <m:sty m:val="p"/>
                            </m:rPr>
                            <m:t>post</m:t>
                          </m:r>
                        </m:sub>
                        <m:sup>
                          <m:r>
                            <m:t>2</m:t>
                          </m:r>
                        </m:sup>
                      </m:sSubSup>
                    </m:e>
                  </m:d>
                  <m:r>
                    <m:rPr>
                      <m:sty m:val="p"/>
                    </m:rPr>
                    <m:t>+</m:t>
                  </m:r>
                  <m:d>
                    <m:dPr>
                      <m:begChr m:val="("/>
                      <m:endChr m:val=")"/>
                      <m:sepChr m:val=""/>
                      <m:grow/>
                    </m:dPr>
                    <m:e>
                      <m:sSub>
                        <m:e>
                          <m:r>
                            <m:t>n</m:t>
                          </m:r>
                        </m:e>
                        <m:sub>
                          <m:r>
                            <m:t>C</m:t>
                          </m:r>
                        </m:sub>
                      </m:sSub>
                      <m:r>
                        <m:rPr>
                          <m:sty m:val="p"/>
                        </m:rPr>
                        <m:t>−</m:t>
                      </m:r>
                      <m:r>
                        <m:t>1</m:t>
                      </m:r>
                    </m:e>
                  </m:d>
                  <m:d>
                    <m:dPr>
                      <m:begChr m:val="("/>
                      <m:endChr m:val=")"/>
                      <m:sepChr m:val=""/>
                      <m:grow/>
                    </m:dPr>
                    <m:e>
                      <m:sSubSup>
                        <m:e>
                          <m:r>
                            <m:t>S</m:t>
                          </m:r>
                        </m:e>
                        <m:sub>
                          <m:r>
                            <m:t>C</m:t>
                          </m:r>
                          <m:r>
                            <m:rPr>
                              <m:sty m:val="p"/>
                            </m:rPr>
                            <m:t>,</m:t>
                          </m:r>
                          <m:r>
                            <m:rPr>
                              <m:nor/>
                              <m:sty m:val="p"/>
                            </m:rPr>
                            <m:t>pre</m:t>
                          </m:r>
                        </m:sub>
                        <m:sup>
                          <m:r>
                            <m:t>2</m:t>
                          </m:r>
                        </m:sup>
                      </m:sSubSup>
                      <m:r>
                        <m:rPr>
                          <m:sty m:val="p"/>
                        </m:rPr>
                        <m:t>+</m:t>
                      </m:r>
                      <m:sSubSup>
                        <m:e>
                          <m:r>
                            <m:t>S</m:t>
                          </m:r>
                        </m:e>
                        <m:sub>
                          <m:r>
                            <m:t>C</m:t>
                          </m:r>
                          <m:r>
                            <m:rPr>
                              <m:sty m:val="p"/>
                            </m:rPr>
                            <m:t>,</m:t>
                          </m:r>
                          <m:r>
                            <m:rPr>
                              <m:nor/>
                              <m:sty m:val="p"/>
                            </m:rPr>
                            <m:t>post</m:t>
                          </m:r>
                        </m:sub>
                        <m:sup>
                          <m:r>
                            <m:t>2</m:t>
                          </m:r>
                        </m:sup>
                      </m:sSubSup>
                    </m:e>
                  </m:d>
                </m:num>
                <m:den>
                  <m:sSub>
                    <m:e>
                      <m:r>
                        <m:t>n</m:t>
                      </m:r>
                    </m:e>
                    <m:sub>
                      <m:r>
                        <m:t>T</m:t>
                      </m:r>
                    </m:sub>
                  </m:sSub>
                  <m:r>
                    <m:rPr>
                      <m:sty m:val="p"/>
                    </m:rPr>
                    <m:t>+</m:t>
                  </m:r>
                  <m:sSub>
                    <m:e>
                      <m:r>
                        <m:t>n</m:t>
                      </m:r>
                    </m:e>
                    <m:sub>
                      <m:r>
                        <m:t>C</m:t>
                      </m:r>
                    </m:sub>
                  </m:sSub>
                  <m:r>
                    <m:rPr>
                      <m:sty m:val="p"/>
                    </m:rPr>
                    <m:t>−</m:t>
                  </m:r>
                  <m:r>
                    <m:t>2</m:t>
                  </m:r>
                </m:den>
              </m:f>
            </m:e>
          </m:rad>
          <m:r>
            <m:rPr>
              <m:sty m:val="p"/>
            </m:rPr>
            <m:t>.</m:t>
          </m:r>
        </m:oMath>
      </m:oMathPara>
    </w:p>
    <w:p>
      <w:pPr>
        <w:pStyle w:val="FirstParagraph"/>
      </w:pPr>
      <w:r>
        <w:t xml:space="preserve">The standard error for</w:t>
      </w:r>
      <w:r>
        <w:t xml:space="preserve"> </w:t>
      </w:r>
      <m:oMath>
        <m:sSub>
          <m:e>
            <m:r>
              <m:t>d</m:t>
            </m:r>
          </m:e>
          <m:sub>
            <m:r>
              <m:t>P</m:t>
            </m:r>
            <m:r>
              <m:t>P</m:t>
            </m:r>
            <m:r>
              <m:t>C</m:t>
            </m:r>
            <m:r>
              <m:t>2</m:t>
            </m:r>
          </m:sub>
        </m:sSub>
      </m:oMath>
      <w:r>
        <w:t xml:space="preserve"> </w:t>
      </w:r>
      <w:r>
        <w:t xml:space="preserve">is currently unknown. An option to estimate this standard error is to use a non-parametric or parametric bootstrap by repeatedly sampling the raw data, or if the raw data is not available resample simulated data. We can do this in base R by simulating pre/post data using the</w:t>
      </w:r>
      <w:r>
        <w:t xml:space="preserve"> </w:t>
      </w:r>
      <w:r>
        <w:rPr>
          <w:rStyle w:val="VerbatimChar"/>
        </w:rPr>
        <w:t xml:space="preserve">mvrnorm()</w:t>
      </w:r>
      <w:r>
        <w:t xml:space="preserve"> </w:t>
      </w:r>
      <w:r>
        <w:t xml:space="preserve">function from the</w:t>
      </w:r>
      <w:r>
        <w:t xml:space="preserve"> </w:t>
      </w:r>
      <w:r>
        <w:rPr>
          <w:rStyle w:val="VerbatimChar"/>
        </w:rPr>
        <w:t xml:space="preserve">MASS</w:t>
      </w:r>
      <w:r>
        <w:t xml:space="preserve"> </w:t>
      </w:r>
      <w:r>
        <w:t xml:space="preserve">package</w:t>
      </w:r>
      <w:r>
        <w:t xml:space="preserve"> </w:t>
      </w:r>
      <w:r>
        <w:t xml:space="preserve">(Venables and Ripley 2002)</w:t>
      </w:r>
      <w:r>
        <w:t xml:space="preserve">:</w:t>
      </w:r>
    </w:p>
    <w:p>
      <w:pPr>
        <w:pStyle w:val="SourceCode"/>
      </w:pPr>
      <w:r>
        <w:rPr>
          <w:rStyle w:val="CommentTok"/>
        </w:rPr>
        <w:t xml:space="preserve"># Install the package below if not done so already</w:t>
      </w:r>
      <w:r>
        <w:br/>
      </w:r>
      <w:r>
        <w:rPr>
          <w:rStyle w:val="CommentTok"/>
        </w:rPr>
        <w:t xml:space="preserve"># install.packages(MASS)</w:t>
      </w:r>
      <w:r>
        <w:br/>
      </w:r>
      <w:r>
        <w:br/>
      </w:r>
      <w:r>
        <w:rPr>
          <w:rStyle w:val="CommentTok"/>
        </w:rPr>
        <w:t xml:space="preserve"># Example:</w:t>
      </w:r>
      <w:r>
        <w:br/>
      </w:r>
      <w:r>
        <w:br/>
      </w:r>
      <w:r>
        <w:rPr>
          <w:rStyle w:val="CommentTok"/>
        </w:rPr>
        <w:t xml:space="preserve"># Control Group (N = 90)</w:t>
      </w:r>
      <w:r>
        <w:br/>
      </w:r>
      <w:r>
        <w:rPr>
          <w:rStyle w:val="DocumentationTok"/>
        </w:rPr>
        <w:t xml:space="preserve">## Pre-test Mean = 20, SD = 6</w:t>
      </w:r>
      <w:r>
        <w:br/>
      </w:r>
      <w:r>
        <w:rPr>
          <w:rStyle w:val="DocumentationTok"/>
        </w:rPr>
        <w:t xml:space="preserve">## Post-test Mean = 25, SD = 7</w:t>
      </w:r>
      <w:r>
        <w:br/>
      </w:r>
      <w:r>
        <w:rPr>
          <w:rStyle w:val="DocumentationTok"/>
        </w:rPr>
        <w:t xml:space="preserve">## Pre/post correlation = .50</w:t>
      </w:r>
      <w:r>
        <w:br/>
      </w:r>
      <w:r>
        <w:rPr>
          <w:rStyle w:val="NormalTok"/>
        </w:rPr>
        <w:t xml:space="preserve">M_Cpre </w:t>
      </w:r>
      <w:r>
        <w:rPr>
          <w:rStyle w:val="OtherTok"/>
        </w:rPr>
        <w:t xml:space="preserve">&lt;-</w:t>
      </w:r>
      <w:r>
        <w:rPr>
          <w:rStyle w:val="NormalTok"/>
        </w:rPr>
        <w:t xml:space="preserve"> </w:t>
      </w:r>
      <w:r>
        <w:rPr>
          <w:rStyle w:val="DecValTok"/>
        </w:rPr>
        <w:t xml:space="preserve">20</w:t>
      </w:r>
      <w:r>
        <w:br/>
      </w:r>
      <w:r>
        <w:rPr>
          <w:rStyle w:val="NormalTok"/>
        </w:rPr>
        <w:t xml:space="preserve">M_Cpost </w:t>
      </w:r>
      <w:r>
        <w:rPr>
          <w:rStyle w:val="OtherTok"/>
        </w:rPr>
        <w:t xml:space="preserve">&lt;-</w:t>
      </w:r>
      <w:r>
        <w:rPr>
          <w:rStyle w:val="NormalTok"/>
        </w:rPr>
        <w:t xml:space="preserve"> </w:t>
      </w:r>
      <w:r>
        <w:rPr>
          <w:rStyle w:val="DecValTok"/>
        </w:rPr>
        <w:t xml:space="preserve">25</w:t>
      </w:r>
      <w:r>
        <w:br/>
      </w:r>
      <w:r>
        <w:rPr>
          <w:rStyle w:val="NormalTok"/>
        </w:rPr>
        <w:t xml:space="preserve">SD_Cpre </w:t>
      </w:r>
      <w:r>
        <w:rPr>
          <w:rStyle w:val="OtherTok"/>
        </w:rPr>
        <w:t xml:space="preserve">&lt;-</w:t>
      </w:r>
      <w:r>
        <w:rPr>
          <w:rStyle w:val="NormalTok"/>
        </w:rPr>
        <w:t xml:space="preserve"> </w:t>
      </w:r>
      <w:r>
        <w:rPr>
          <w:rStyle w:val="DecValTok"/>
        </w:rPr>
        <w:t xml:space="preserve">6</w:t>
      </w:r>
      <w:r>
        <w:br/>
      </w:r>
      <w:r>
        <w:rPr>
          <w:rStyle w:val="NormalTok"/>
        </w:rPr>
        <w:t xml:space="preserve">SD_Cpost </w:t>
      </w:r>
      <w:r>
        <w:rPr>
          <w:rStyle w:val="OtherTok"/>
        </w:rPr>
        <w:t xml:space="preserve">&lt;-</w:t>
      </w:r>
      <w:r>
        <w:rPr>
          <w:rStyle w:val="NormalTok"/>
        </w:rPr>
        <w:t xml:space="preserve"> </w:t>
      </w:r>
      <w:r>
        <w:rPr>
          <w:rStyle w:val="DecValTok"/>
        </w:rPr>
        <w:t xml:space="preserve">7</w:t>
      </w:r>
      <w:r>
        <w:br/>
      </w:r>
      <w:r>
        <w:rPr>
          <w:rStyle w:val="NormalTok"/>
        </w:rPr>
        <w:t xml:space="preserve">rC </w:t>
      </w:r>
      <w:r>
        <w:rPr>
          <w:rStyle w:val="OtherTok"/>
        </w:rPr>
        <w:t xml:space="preserve">&lt;-</w:t>
      </w:r>
      <w:r>
        <w:rPr>
          <w:rStyle w:val="NormalTok"/>
        </w:rPr>
        <w:t xml:space="preserve"> .</w:t>
      </w:r>
      <w:r>
        <w:rPr>
          <w:rStyle w:val="DecValTok"/>
        </w:rPr>
        <w:t xml:space="preserve">50</w:t>
      </w:r>
      <w:r>
        <w:br/>
      </w:r>
      <w:r>
        <w:rPr>
          <w:rStyle w:val="NormalTok"/>
        </w:rPr>
        <w:t xml:space="preserve">nC </w:t>
      </w:r>
      <w:r>
        <w:rPr>
          <w:rStyle w:val="OtherTok"/>
        </w:rPr>
        <w:t xml:space="preserve">&lt;-</w:t>
      </w:r>
      <w:r>
        <w:rPr>
          <w:rStyle w:val="NormalTok"/>
        </w:rPr>
        <w:t xml:space="preserve"> </w:t>
      </w:r>
      <w:r>
        <w:rPr>
          <w:rStyle w:val="DecValTok"/>
        </w:rPr>
        <w:t xml:space="preserve">90</w:t>
      </w:r>
      <w:r>
        <w:br/>
      </w:r>
      <w:r>
        <w:br/>
      </w:r>
      <w:r>
        <w:rPr>
          <w:rStyle w:val="CommentTok"/>
        </w:rPr>
        <w:t xml:space="preserve"># Intervention Group (N = 90)</w:t>
      </w:r>
      <w:r>
        <w:br/>
      </w:r>
      <w:r>
        <w:rPr>
          <w:rStyle w:val="DocumentationTok"/>
        </w:rPr>
        <w:t xml:space="preserve">## Pre-test Mean = 20, SD = 5</w:t>
      </w:r>
      <w:r>
        <w:br/>
      </w:r>
      <w:r>
        <w:rPr>
          <w:rStyle w:val="DocumentationTok"/>
        </w:rPr>
        <w:t xml:space="preserve">## Post-test Mean = 27, SD = 8</w:t>
      </w:r>
      <w:r>
        <w:br/>
      </w:r>
      <w:r>
        <w:rPr>
          <w:rStyle w:val="DocumentationTok"/>
        </w:rPr>
        <w:t xml:space="preserve">## Pre/post correlation = .50</w:t>
      </w:r>
      <w:r>
        <w:br/>
      </w:r>
      <w:r>
        <w:rPr>
          <w:rStyle w:val="NormalTok"/>
        </w:rPr>
        <w:t xml:space="preserve">M_Tpre </w:t>
      </w:r>
      <w:r>
        <w:rPr>
          <w:rStyle w:val="OtherTok"/>
        </w:rPr>
        <w:t xml:space="preserve">&lt;-</w:t>
      </w:r>
      <w:r>
        <w:rPr>
          <w:rStyle w:val="NormalTok"/>
        </w:rPr>
        <w:t xml:space="preserve"> </w:t>
      </w:r>
      <w:r>
        <w:rPr>
          <w:rStyle w:val="DecValTok"/>
        </w:rPr>
        <w:t xml:space="preserve">20</w:t>
      </w:r>
      <w:r>
        <w:br/>
      </w:r>
      <w:r>
        <w:rPr>
          <w:rStyle w:val="NormalTok"/>
        </w:rPr>
        <w:t xml:space="preserve">M_Tpost </w:t>
      </w:r>
      <w:r>
        <w:rPr>
          <w:rStyle w:val="OtherTok"/>
        </w:rPr>
        <w:t xml:space="preserve">&lt;-</w:t>
      </w:r>
      <w:r>
        <w:rPr>
          <w:rStyle w:val="NormalTok"/>
        </w:rPr>
        <w:t xml:space="preserve"> </w:t>
      </w:r>
      <w:r>
        <w:rPr>
          <w:rStyle w:val="DecValTok"/>
        </w:rPr>
        <w:t xml:space="preserve">27</w:t>
      </w:r>
      <w:r>
        <w:br/>
      </w:r>
      <w:r>
        <w:rPr>
          <w:rStyle w:val="NormalTok"/>
        </w:rPr>
        <w:t xml:space="preserve">SD_Tpre </w:t>
      </w:r>
      <w:r>
        <w:rPr>
          <w:rStyle w:val="OtherTok"/>
        </w:rPr>
        <w:t xml:space="preserve">&lt;-</w:t>
      </w:r>
      <w:r>
        <w:rPr>
          <w:rStyle w:val="NormalTok"/>
        </w:rPr>
        <w:t xml:space="preserve"> </w:t>
      </w:r>
      <w:r>
        <w:rPr>
          <w:rStyle w:val="DecValTok"/>
        </w:rPr>
        <w:t xml:space="preserve">5</w:t>
      </w:r>
      <w:r>
        <w:br/>
      </w:r>
      <w:r>
        <w:rPr>
          <w:rStyle w:val="NormalTok"/>
        </w:rPr>
        <w:t xml:space="preserve">SD_Tpost </w:t>
      </w:r>
      <w:r>
        <w:rPr>
          <w:rStyle w:val="OtherTok"/>
        </w:rPr>
        <w:t xml:space="preserve">&lt;-</w:t>
      </w:r>
      <w:r>
        <w:rPr>
          <w:rStyle w:val="NormalTok"/>
        </w:rPr>
        <w:t xml:space="preserve"> </w:t>
      </w:r>
      <w:r>
        <w:rPr>
          <w:rStyle w:val="DecValTok"/>
        </w:rPr>
        <w:t xml:space="preserve">8</w:t>
      </w:r>
      <w:r>
        <w:br/>
      </w:r>
      <w:r>
        <w:rPr>
          <w:rStyle w:val="NormalTok"/>
        </w:rPr>
        <w:t xml:space="preserve">rT </w:t>
      </w:r>
      <w:r>
        <w:rPr>
          <w:rStyle w:val="OtherTok"/>
        </w:rPr>
        <w:t xml:space="preserve">&lt;-</w:t>
      </w:r>
      <w:r>
        <w:rPr>
          <w:rStyle w:val="NormalTok"/>
        </w:rPr>
        <w:t xml:space="preserve"> .</w:t>
      </w:r>
      <w:r>
        <w:rPr>
          <w:rStyle w:val="DecValTok"/>
        </w:rPr>
        <w:t xml:space="preserve">50</w:t>
      </w:r>
      <w:r>
        <w:br/>
      </w:r>
      <w:r>
        <w:rPr>
          <w:rStyle w:val="NormalTok"/>
        </w:rPr>
        <w:t xml:space="preserve">nT </w:t>
      </w:r>
      <w:r>
        <w:rPr>
          <w:rStyle w:val="OtherTok"/>
        </w:rPr>
        <w:t xml:space="preserve">&lt;-</w:t>
      </w:r>
      <w:r>
        <w:rPr>
          <w:rStyle w:val="NormalTok"/>
        </w:rPr>
        <w:t xml:space="preserve"> </w:t>
      </w:r>
      <w:r>
        <w:rPr>
          <w:rStyle w:val="DecValTok"/>
        </w:rPr>
        <w:t xml:space="preserve">90</w:t>
      </w:r>
      <w:r>
        <w:br/>
      </w:r>
      <w:r>
        <w:br/>
      </w:r>
      <w:r>
        <w:rPr>
          <w:rStyle w:val="CommentTok"/>
        </w:rPr>
        <w:t xml:space="preserve"># simulate data</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reproducibility</w:t>
      </w:r>
      <w:r>
        <w:br/>
      </w:r>
      <w:r>
        <w:rPr>
          <w:rStyle w:val="NormalTok"/>
        </w:rPr>
        <w:t xml:space="preserve">boot_dPPC3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 simulate control group pre-post data</w:t>
      </w:r>
      <w:r>
        <w:br/>
      </w:r>
      <w:r>
        <w:rPr>
          <w:rStyle w:val="NormalTok"/>
        </w:rPr>
        <w:t xml:space="preserve">  data_C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w:t>
      </w:r>
      <w:r>
        <w:rPr>
          <w:rStyle w:val="AttributeTok"/>
        </w:rPr>
        <w:t xml:space="preserve">n =</w:t>
      </w:r>
      <w:r>
        <w:rPr>
          <w:rStyle w:val="NormalTok"/>
        </w:rPr>
        <w:t xml:space="preserve"> nC,</w:t>
      </w:r>
      <w:r>
        <w:br/>
      </w:r>
      <w:r>
        <w:rPr>
          <w:rStyle w:val="NormalTok"/>
        </w:rPr>
        <w:t xml:space="preserve">                          </w:t>
      </w:r>
      <w:r>
        <w:rPr>
          <w:rStyle w:val="CommentTok"/>
        </w:rPr>
        <w:t xml:space="preserve"># input observed means</w:t>
      </w:r>
      <w:r>
        <w:br/>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(M_Cpre,M_Cpost),</w:t>
      </w:r>
      <w:r>
        <w:br/>
      </w:r>
      <w:r>
        <w:rPr>
          <w:rStyle w:val="NormalTok"/>
        </w:rPr>
        <w:t xml:space="preserve">                          </w:t>
      </w:r>
      <w:r>
        <w:rPr>
          <w:rStyle w:val="CommentTok"/>
        </w:rPr>
        <w:t xml:space="preserve"># input observed covariance matrix</w:t>
      </w:r>
      <w:r>
        <w:br/>
      </w:r>
      <w:r>
        <w:rPr>
          <w:rStyle w:val="NormalTok"/>
        </w:rPr>
        <w:t xml:space="preserve">                          </w:t>
      </w:r>
      <w:r>
        <w:rPr>
          <w:rStyle w:val="AttributeTok"/>
        </w:rPr>
        <w:t xml:space="preserve">Sigma =</w:t>
      </w:r>
      <w:r>
        <w:rPr>
          <w:rStyle w:val="NormalTok"/>
        </w:rPr>
        <w:t xml:space="preserve"> </w:t>
      </w:r>
      <w:r>
        <w:rPr>
          <w:rStyle w:val="FunctionTok"/>
        </w:rPr>
        <w:t xml:space="preserve">data.frame</w:t>
      </w:r>
      <w:r>
        <w:rPr>
          <w:rStyle w:val="NormalTok"/>
        </w:rPr>
        <w:t xml:space="preserve">(</w:t>
      </w:r>
      <w:r>
        <w:rPr>
          <w:rStyle w:val="AttributeTok"/>
        </w:rPr>
        <w:t xml:space="preserve">pre =</w:t>
      </w:r>
      <w:r>
        <w:rPr>
          <w:rStyle w:val="NormalTok"/>
        </w:rPr>
        <w:t xml:space="preserve"> </w:t>
      </w:r>
      <w:r>
        <w:rPr>
          <w:rStyle w:val="FunctionTok"/>
        </w:rPr>
        <w:t xml:space="preserve">c</w:t>
      </w:r>
      <w:r>
        <w:rPr>
          <w:rStyle w:val="NormalTok"/>
        </w:rPr>
        <w:t xml:space="preserve">(SD_Cpre</w:t>
      </w:r>
      <w:r>
        <w:rPr>
          <w:rStyle w:val="SpecialCharTok"/>
        </w:rPr>
        <w:t xml:space="preserve">^</w:t>
      </w:r>
      <w:r>
        <w:rPr>
          <w:rStyle w:val="DecValTok"/>
        </w:rPr>
        <w:t xml:space="preserve">2</w:t>
      </w:r>
      <w:r>
        <w:rPr>
          <w:rStyle w:val="NormalTok"/>
        </w:rPr>
        <w:t xml:space="preserve">, rC</w:t>
      </w:r>
      <w:r>
        <w:rPr>
          <w:rStyle w:val="SpecialCharTok"/>
        </w:rPr>
        <w:t xml:space="preserve">*</w:t>
      </w:r>
      <w:r>
        <w:rPr>
          <w:rStyle w:val="NormalTok"/>
        </w:rPr>
        <w:t xml:space="preserve">SD_Cpre</w:t>
      </w:r>
      <w:r>
        <w:rPr>
          <w:rStyle w:val="SpecialCharTok"/>
        </w:rPr>
        <w:t xml:space="preserve">*</w:t>
      </w:r>
      <w:r>
        <w:rPr>
          <w:rStyle w:val="NormalTok"/>
        </w:rPr>
        <w:t xml:space="preserve">SD_Cpost), </w:t>
      </w:r>
      <w:r>
        <w:br/>
      </w:r>
      <w:r>
        <w:rPr>
          <w:rStyle w:val="NormalTok"/>
        </w:rPr>
        <w:t xml:space="preserve">                                             </w:t>
      </w:r>
      <w:r>
        <w:rPr>
          <w:rStyle w:val="AttributeTok"/>
        </w:rPr>
        <w:t xml:space="preserve">post =</w:t>
      </w:r>
      <w:r>
        <w:rPr>
          <w:rStyle w:val="NormalTok"/>
        </w:rPr>
        <w:t xml:space="preserve"> </w:t>
      </w:r>
      <w:r>
        <w:rPr>
          <w:rStyle w:val="FunctionTok"/>
        </w:rPr>
        <w:t xml:space="preserve">c</w:t>
      </w:r>
      <w:r>
        <w:rPr>
          <w:rStyle w:val="NormalTok"/>
        </w:rPr>
        <w:t xml:space="preserve">(rC</w:t>
      </w:r>
      <w:r>
        <w:rPr>
          <w:rStyle w:val="SpecialCharTok"/>
        </w:rPr>
        <w:t xml:space="preserve">*</w:t>
      </w:r>
      <w:r>
        <w:rPr>
          <w:rStyle w:val="NormalTok"/>
        </w:rPr>
        <w:t xml:space="preserve">SD_Cpre</w:t>
      </w:r>
      <w:r>
        <w:rPr>
          <w:rStyle w:val="SpecialCharTok"/>
        </w:rPr>
        <w:t xml:space="preserve">*</w:t>
      </w:r>
      <w:r>
        <w:rPr>
          <w:rStyle w:val="NormalTok"/>
        </w:rPr>
        <w:t xml:space="preserve">SD_Cpost,SD_Cpost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simulate intervention group pre-post data</w:t>
      </w:r>
      <w:r>
        <w:br/>
      </w:r>
      <w:r>
        <w:rPr>
          <w:rStyle w:val="NormalTok"/>
        </w:rPr>
        <w:t xml:space="preserve">  data_T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w:t>
      </w:r>
      <w:r>
        <w:rPr>
          <w:rStyle w:val="AttributeTok"/>
        </w:rPr>
        <w:t xml:space="preserve">n =</w:t>
      </w:r>
      <w:r>
        <w:rPr>
          <w:rStyle w:val="NormalTok"/>
        </w:rPr>
        <w:t xml:space="preserve"> nT,</w:t>
      </w:r>
      <w:r>
        <w:br/>
      </w:r>
      <w:r>
        <w:rPr>
          <w:rStyle w:val="NormalTok"/>
        </w:rPr>
        <w:t xml:space="preserve">                          </w:t>
      </w:r>
      <w:r>
        <w:rPr>
          <w:rStyle w:val="CommentTok"/>
        </w:rPr>
        <w:t xml:space="preserve"># input observed means</w:t>
      </w:r>
      <w:r>
        <w:br/>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(M_Tpre,M_Tpost),</w:t>
      </w:r>
      <w:r>
        <w:br/>
      </w:r>
      <w:r>
        <w:rPr>
          <w:rStyle w:val="NormalTok"/>
        </w:rPr>
        <w:t xml:space="preserve">                          </w:t>
      </w:r>
      <w:r>
        <w:rPr>
          <w:rStyle w:val="CommentTok"/>
        </w:rPr>
        <w:t xml:space="preserve"># input observed covariance matrix</w:t>
      </w:r>
      <w:r>
        <w:br/>
      </w:r>
      <w:r>
        <w:rPr>
          <w:rStyle w:val="NormalTok"/>
        </w:rPr>
        <w:t xml:space="preserve">                          </w:t>
      </w:r>
      <w:r>
        <w:rPr>
          <w:rStyle w:val="AttributeTok"/>
        </w:rPr>
        <w:t xml:space="preserve">Sigma =</w:t>
      </w:r>
      <w:r>
        <w:rPr>
          <w:rStyle w:val="NormalTok"/>
        </w:rPr>
        <w:t xml:space="preserve"> </w:t>
      </w:r>
      <w:r>
        <w:rPr>
          <w:rStyle w:val="FunctionTok"/>
        </w:rPr>
        <w:t xml:space="preserve">data.frame</w:t>
      </w:r>
      <w:r>
        <w:rPr>
          <w:rStyle w:val="NormalTok"/>
        </w:rPr>
        <w:t xml:space="preserve">(</w:t>
      </w:r>
      <w:r>
        <w:rPr>
          <w:rStyle w:val="AttributeTok"/>
        </w:rPr>
        <w:t xml:space="preserve">pre =</w:t>
      </w:r>
      <w:r>
        <w:rPr>
          <w:rStyle w:val="NormalTok"/>
        </w:rPr>
        <w:t xml:space="preserve"> </w:t>
      </w:r>
      <w:r>
        <w:rPr>
          <w:rStyle w:val="FunctionTok"/>
        </w:rPr>
        <w:t xml:space="preserve">c</w:t>
      </w:r>
      <w:r>
        <w:rPr>
          <w:rStyle w:val="NormalTok"/>
        </w:rPr>
        <w:t xml:space="preserve">(SD_Tpre</w:t>
      </w:r>
      <w:r>
        <w:rPr>
          <w:rStyle w:val="SpecialCharTok"/>
        </w:rPr>
        <w:t xml:space="preserve">^</w:t>
      </w:r>
      <w:r>
        <w:rPr>
          <w:rStyle w:val="DecValTok"/>
        </w:rPr>
        <w:t xml:space="preserve">2</w:t>
      </w:r>
      <w:r>
        <w:rPr>
          <w:rStyle w:val="NormalTok"/>
        </w:rPr>
        <w:t xml:space="preserve">, rT</w:t>
      </w:r>
      <w:r>
        <w:rPr>
          <w:rStyle w:val="SpecialCharTok"/>
        </w:rPr>
        <w:t xml:space="preserve">*</w:t>
      </w:r>
      <w:r>
        <w:rPr>
          <w:rStyle w:val="NormalTok"/>
        </w:rPr>
        <w:t xml:space="preserve">SD_Tpre</w:t>
      </w:r>
      <w:r>
        <w:rPr>
          <w:rStyle w:val="SpecialCharTok"/>
        </w:rPr>
        <w:t xml:space="preserve">*</w:t>
      </w:r>
      <w:r>
        <w:rPr>
          <w:rStyle w:val="NormalTok"/>
        </w:rPr>
        <w:t xml:space="preserve">SD_Tpost), </w:t>
      </w:r>
      <w:r>
        <w:br/>
      </w:r>
      <w:r>
        <w:rPr>
          <w:rStyle w:val="NormalTok"/>
        </w:rPr>
        <w:t xml:space="preserve">                                             </w:t>
      </w:r>
      <w:r>
        <w:rPr>
          <w:rStyle w:val="AttributeTok"/>
        </w:rPr>
        <w:t xml:space="preserve">post =</w:t>
      </w:r>
      <w:r>
        <w:rPr>
          <w:rStyle w:val="NormalTok"/>
        </w:rPr>
        <w:t xml:space="preserve"> </w:t>
      </w:r>
      <w:r>
        <w:rPr>
          <w:rStyle w:val="FunctionTok"/>
        </w:rPr>
        <w:t xml:space="preserve">c</w:t>
      </w:r>
      <w:r>
        <w:rPr>
          <w:rStyle w:val="NormalTok"/>
        </w:rPr>
        <w:t xml:space="preserve">(rT</w:t>
      </w:r>
      <w:r>
        <w:rPr>
          <w:rStyle w:val="SpecialCharTok"/>
        </w:rPr>
        <w:t xml:space="preserve">*</w:t>
      </w:r>
      <w:r>
        <w:rPr>
          <w:rStyle w:val="NormalTok"/>
        </w:rPr>
        <w:t xml:space="preserve">SD_Tpre</w:t>
      </w:r>
      <w:r>
        <w:rPr>
          <w:rStyle w:val="SpecialCharTok"/>
        </w:rPr>
        <w:t xml:space="preserve">*</w:t>
      </w:r>
      <w:r>
        <w:rPr>
          <w:rStyle w:val="NormalTok"/>
        </w:rPr>
        <w:t xml:space="preserve">SD_Tpost,SD_Tpost</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calculate the mean difference in pre/post change (the numerator)</w:t>
      </w:r>
      <w:r>
        <w:br/>
      </w:r>
      <w:r>
        <w:rPr>
          <w:rStyle w:val="NormalTok"/>
        </w:rPr>
        <w:t xml:space="preserve">  MeanDiff </w:t>
      </w:r>
      <w:r>
        <w:rPr>
          <w:rStyle w:val="OtherTok"/>
        </w:rPr>
        <w:t xml:space="preserve">&lt;-</w:t>
      </w:r>
      <w:r>
        <w:rPr>
          <w:rStyle w:val="NormalTok"/>
        </w:rPr>
        <w:t xml:space="preserve"> (</w:t>
      </w:r>
      <w:r>
        <w:rPr>
          <w:rStyle w:val="FunctionTok"/>
        </w:rPr>
        <w:t xml:space="preserve">mean</w:t>
      </w:r>
      <w:r>
        <w:rPr>
          <w:rStyle w:val="NormalTok"/>
        </w:rPr>
        <w:t xml:space="preserve">(data_T[,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(data_T[,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(data_C[,</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(data_C[,</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the pooled pre-post standard deviation (the denominator)</w:t>
      </w:r>
      <w:r>
        <w:br/>
      </w:r>
      <w:r>
        <w:rPr>
          <w:rStyle w:val="NormalTok"/>
        </w:rPr>
        <w:t xml:space="preserve">  S_Pprepost </w:t>
      </w:r>
      <w:r>
        <w:rPr>
          <w:rStyle w:val="OtherTok"/>
        </w:rPr>
        <w:t xml:space="preserve">&lt;-</w:t>
      </w:r>
      <w:r>
        <w:rPr>
          <w:rStyle w:val="NormalTok"/>
        </w:rPr>
        <w:t xml:space="preserve">  </w:t>
      </w:r>
      <w:r>
        <w:rPr>
          <w:rStyle w:val="FunctionTok"/>
        </w:rPr>
        <w:t xml:space="preserve">sqrt</w:t>
      </w:r>
      <w:r>
        <w:rPr>
          <w:rStyle w:val="NormalTok"/>
        </w:rPr>
        <w:t xml:space="preserve">( ( (nT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(data_T[,</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(data_T[,</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(data_C[,</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(data_C[,</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(nT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br/>
      </w:r>
      <w:r>
        <w:rPr>
          <w:rStyle w:val="NormalTok"/>
        </w:rPr>
        <w:t xml:space="preserve">  </w:t>
      </w:r>
      <w:r>
        <w:rPr>
          <w:rStyle w:val="CommentTok"/>
        </w:rPr>
        <w:t xml:space="preserve"># calculate the standardized mean difference for each bootstrap iteration</w:t>
      </w:r>
      <w:r>
        <w:br/>
      </w:r>
      <w:r>
        <w:rPr>
          <w:rStyle w:val="NormalTok"/>
        </w:rPr>
        <w:t xml:space="preserve">  boot_dPPC3[i] </w:t>
      </w:r>
      <w:r>
        <w:rPr>
          <w:rStyle w:val="OtherTok"/>
        </w:rPr>
        <w:t xml:space="preserve">&lt;-</w:t>
      </w:r>
      <w:r>
        <w:rPr>
          <w:rStyle w:val="NormalTok"/>
        </w:rPr>
        <w:t xml:space="preserve"> MeanDiff </w:t>
      </w:r>
      <w:r>
        <w:rPr>
          <w:rStyle w:val="SpecialCharTok"/>
        </w:rPr>
        <w:t xml:space="preserve">/</w:t>
      </w:r>
      <w:r>
        <w:rPr>
          <w:rStyle w:val="NormalTok"/>
        </w:rPr>
        <w:t xml:space="preserve"> S_Pprepost</w:t>
      </w:r>
      <w:r>
        <w:br/>
      </w:r>
      <w:r>
        <w:rPr>
          <w:rStyle w:val="NormalTok"/>
        </w:rPr>
        <w:t xml:space="preserve">}</w:t>
      </w:r>
      <w:r>
        <w:br/>
      </w:r>
      <w:r>
        <w:br/>
      </w:r>
      <w:r>
        <w:rPr>
          <w:rStyle w:val="CommentTok"/>
        </w:rPr>
        <w:t xml:space="preserve"># calculate bootstrapped standard error</w:t>
      </w:r>
      <w:r>
        <w:br/>
      </w:r>
      <w:r>
        <w:rPr>
          <w:rStyle w:val="NormalTok"/>
        </w:rPr>
        <w:t xml:space="preserve">SE </w:t>
      </w:r>
      <w:r>
        <w:rPr>
          <w:rStyle w:val="OtherTok"/>
        </w:rPr>
        <w:t xml:space="preserve">&lt;-</w:t>
      </w:r>
      <w:r>
        <w:rPr>
          <w:rStyle w:val="NormalTok"/>
        </w:rPr>
        <w:t xml:space="preserve"> </w:t>
      </w:r>
      <w:r>
        <w:rPr>
          <w:rStyle w:val="FunctionTok"/>
        </w:rPr>
        <w:t xml:space="preserve">sd</w:t>
      </w:r>
      <w:r>
        <w:rPr>
          <w:rStyle w:val="NormalTok"/>
        </w:rPr>
        <w:t xml:space="preserve">(boot_dPPC3)</w:t>
      </w:r>
      <w:r>
        <w:br/>
      </w:r>
      <w:r>
        <w:br/>
      </w:r>
      <w:r>
        <w:rPr>
          <w:rStyle w:val="CommentTok"/>
        </w:rPr>
        <w:t xml:space="preserve"># calculate the observed standardized mean difference</w:t>
      </w:r>
      <w:r>
        <w:br/>
      </w:r>
      <w:r>
        <w:rPr>
          <w:rStyle w:val="NormalTok"/>
        </w:rPr>
        <w:t xml:space="preserve">dPPC3 </w:t>
      </w:r>
      <w:r>
        <w:rPr>
          <w:rStyle w:val="OtherTok"/>
        </w:rPr>
        <w:t xml:space="preserve">&lt;-</w:t>
      </w:r>
      <w:r>
        <w:rPr>
          <w:rStyle w:val="NormalTok"/>
        </w:rPr>
        <w:t xml:space="preserve"> ((M_Tpost</w:t>
      </w:r>
      <w:r>
        <w:rPr>
          <w:rStyle w:val="SpecialCharTok"/>
        </w:rPr>
        <w:t xml:space="preserve">-</w:t>
      </w:r>
      <w:r>
        <w:rPr>
          <w:rStyle w:val="NormalTok"/>
        </w:rPr>
        <w:t xml:space="preserve"> M_Tpre) </w:t>
      </w:r>
      <w:r>
        <w:rPr>
          <w:rStyle w:val="SpecialCharTok"/>
        </w:rPr>
        <w:t xml:space="preserve">-</w:t>
      </w:r>
      <w:r>
        <w:rPr>
          <w:rStyle w:val="NormalTok"/>
        </w:rPr>
        <w:t xml:space="preserve"> (M_Cpost </w:t>
      </w:r>
      <w:r>
        <w:rPr>
          <w:rStyle w:val="SpecialCharTok"/>
        </w:rPr>
        <w:t xml:space="preserve">-</w:t>
      </w:r>
      <w:r>
        <w:rPr>
          <w:rStyle w:val="NormalTok"/>
        </w:rPr>
        <w:t xml:space="preserve"> M_Cpre)) </w:t>
      </w:r>
      <w:r>
        <w:rPr>
          <w:rStyle w:val="SpecialCharTok"/>
        </w:rPr>
        <w:t xml:space="preserve">/</w:t>
      </w:r>
      <w:r>
        <w:rPr>
          <w:rStyle w:val="NormalTok"/>
        </w:rPr>
        <w:t xml:space="preserve"> </w:t>
      </w:r>
      <w:r>
        <w:rPr>
          <w:rStyle w:val="FunctionTok"/>
        </w:rPr>
        <w:t xml:space="preserve">sqrt</w:t>
      </w:r>
      <w:r>
        <w:rPr>
          <w:rStyle w:val="NormalTok"/>
        </w:rPr>
        <w:t xml:space="preserve">( ( (nT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(SD_Tpre</w:t>
      </w:r>
      <w:r>
        <w:rPr>
          <w:rStyle w:val="SpecialCharTok"/>
        </w:rPr>
        <w:t xml:space="preserve">^</w:t>
      </w:r>
      <w:r>
        <w:rPr>
          <w:rStyle w:val="DecValTok"/>
        </w:rPr>
        <w:t xml:space="preserve">2</w:t>
      </w:r>
      <w:r>
        <w:rPr>
          <w:rStyle w:val="SpecialCharTok"/>
        </w:rPr>
        <w:t xml:space="preserve">+</w:t>
      </w:r>
      <w:r>
        <w:rPr>
          <w:rStyle w:val="NormalTok"/>
        </w:rPr>
        <w:t xml:space="preserve">SD_Tpost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(SD_Cpre</w:t>
      </w:r>
      <w:r>
        <w:rPr>
          <w:rStyle w:val="SpecialCharTok"/>
        </w:rPr>
        <w:t xml:space="preserve">^</w:t>
      </w:r>
      <w:r>
        <w:rPr>
          <w:rStyle w:val="DecValTok"/>
        </w:rPr>
        <w:t xml:space="preserve">2</w:t>
      </w:r>
      <w:r>
        <w:rPr>
          <w:rStyle w:val="SpecialCharTok"/>
        </w:rPr>
        <w:t xml:space="preserve">+</w:t>
      </w:r>
      <w:r>
        <w:rPr>
          <w:rStyle w:val="NormalTok"/>
        </w:rPr>
        <w:t xml:space="preserve">SD_Cpost</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(nT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#print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MOTE</w:t>
      </w:r>
      <w:r>
        <w:rPr>
          <w:rStyle w:val="SpecialCharTok"/>
        </w:rPr>
        <w:t xml:space="preserve">::</w:t>
      </w:r>
      <w:r>
        <w:rPr>
          <w:rStyle w:val="FunctionTok"/>
        </w:rPr>
        <w:t xml:space="preserve">apa</w:t>
      </w:r>
      <w:r>
        <w:rPr>
          <w:rStyle w:val="NormalTok"/>
        </w:rPr>
        <w:t xml:space="preserve">(dPPC3),</w:t>
      </w:r>
      <w:r>
        <w:br/>
      </w:r>
      <w:r>
        <w:rPr>
          <w:rStyle w:val="NormalTok"/>
        </w:rPr>
        <w:t xml:space="preserve">           </w:t>
      </w:r>
      <w:r>
        <w:rPr>
          <w:rStyle w:val="AttributeTok"/>
        </w:rPr>
        <w:t xml:space="preserve">dlow =</w:t>
      </w:r>
      <w:r>
        <w:rPr>
          <w:rStyle w:val="NormalTok"/>
        </w:rPr>
        <w:t xml:space="preserve"> MOTE</w:t>
      </w:r>
      <w:r>
        <w:rPr>
          <w:rStyle w:val="SpecialCharTok"/>
        </w:rPr>
        <w:t xml:space="preserve">::</w:t>
      </w:r>
      <w:r>
        <w:rPr>
          <w:rStyle w:val="FunctionTok"/>
        </w:rPr>
        <w:t xml:space="preserve">apa</w:t>
      </w:r>
      <w:r>
        <w:rPr>
          <w:rStyle w:val="NormalTok"/>
        </w:rPr>
        <w:t xml:space="preserve">(dPPC3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MOTE</w:t>
      </w:r>
      <w:r>
        <w:rPr>
          <w:rStyle w:val="SpecialCharTok"/>
        </w:rPr>
        <w:t xml:space="preserve">::</w:t>
      </w:r>
      <w:r>
        <w:rPr>
          <w:rStyle w:val="FunctionTok"/>
        </w:rPr>
        <w:t xml:space="preserve">apa</w:t>
      </w:r>
      <w:r>
        <w:rPr>
          <w:rStyle w:val="NormalTok"/>
        </w:rPr>
        <w:t xml:space="preserve">(dPPC3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1 0.214 0.002 0.427</w:t>
      </w:r>
    </w:p>
    <w:p>
      <w:pPr>
        <w:pStyle w:val="FirstParagraph"/>
      </w:pPr>
      <w:r>
        <w:t xml:space="preserve">The output shows a pre-post intervention effect of</w:t>
      </w:r>
      <w:r>
        <w:t xml:space="preserve"> </w:t>
      </w:r>
      <m:oMath>
        <m:sSub>
          <m:e>
            <m:r>
              <m:t>d</m:t>
            </m:r>
          </m:e>
          <m:sub>
            <m:r>
              <m:t>P</m:t>
            </m:r>
            <m:r>
              <m:t>P</m:t>
            </m:r>
            <m:r>
              <m:t>C</m:t>
            </m:r>
            <m:r>
              <m:t>3</m:t>
            </m:r>
          </m:sub>
        </m:sSub>
      </m:oMath>
      <w:r>
        <w:t xml:space="preserve"> </w:t>
      </w:r>
      <w:r>
        <w:t xml:space="preserve">= 0.21 [0.002, 0.43].</w:t>
      </w:r>
    </w:p>
    <w:bookmarkEnd w:id="99"/>
    <w:bookmarkEnd w:id="100"/>
    <w:bookmarkStart w:id="101" w:name="small-sample-bias-in-d-values"/>
    <w:p>
      <w:pPr>
        <w:pStyle w:val="Heading2"/>
      </w:pPr>
      <w:r>
        <w:t xml:space="preserve">8.6 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10"/>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10"/>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10"/>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10"/>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numPr>
          <w:ilvl w:val="0"/>
          <w:numId w:val="1010"/>
        </w:numPr>
        <w:pStyle w:val="Compact"/>
      </w:pPr>
      <w:r>
        <w:t xml:space="preserve">Pretest-Posttest-Control Separate Standard Deviation (</w:t>
      </w:r>
      <m:oMath>
        <m:sSub>
          <m:e>
            <m:r>
              <m:t>d</m:t>
            </m:r>
          </m:e>
          <m:sub>
            <m:r>
              <m:t>P</m:t>
            </m:r>
            <m:r>
              <m:t>P</m:t>
            </m:r>
            <m:r>
              <m:t>C</m:t>
            </m:r>
            <m:r>
              <m:t>1</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10"/>
        </w:numPr>
        <w:pStyle w:val="Compact"/>
      </w:pPr>
      <w:r>
        <w:t xml:space="preserve">Pretest-Posttest-Control Pooled Pretest Standard Deviation (</w:t>
      </w:r>
      <m:oMath>
        <m:sSub>
          <m:e>
            <m:r>
              <m:t>d</m:t>
            </m:r>
          </m:e>
          <m:sub>
            <m:r>
              <m:t>P</m:t>
            </m:r>
            <m:r>
              <m:t>P</m:t>
            </m:r>
            <m:r>
              <m:t>C</m:t>
            </m:r>
            <m:r>
              <m:t>2</m:t>
            </m:r>
          </m:sub>
        </m:sSub>
      </m:oMath>
      <w:r>
        <w:t xml:space="preserve">):</w:t>
      </w:r>
      <w:r>
        <w:t xml:space="preserve"> </w:t>
      </w:r>
      <m:oMath>
        <m:r>
          <m:t>d</m:t>
        </m:r>
        <m:r>
          <m:t>f</m:t>
        </m:r>
        <m:r>
          <m:rPr>
            <m:sty m:val="p"/>
          </m:rPr>
          <m:t>=</m:t>
        </m:r>
        <m:sSub>
          <m:e>
            <m:r>
              <m:t>n</m:t>
            </m:r>
          </m:e>
          <m:sub>
            <m:r>
              <m:t>T</m:t>
            </m:r>
          </m:sub>
        </m:sSub>
        <m:r>
          <m:rPr>
            <m:sty m:val="p"/>
          </m:rPr>
          <m:t>+</m:t>
        </m:r>
        <m:sSub>
          <m:e>
            <m:r>
              <m:t>n</m:t>
            </m:r>
          </m:e>
          <m:sub>
            <m:r>
              <m:t>C</m:t>
            </m:r>
          </m:sub>
        </m:sSub>
        <m:r>
          <m:rPr>
            <m:sty m:val="p"/>
          </m:rPr>
          <m:t>−</m:t>
        </m:r>
        <m:r>
          <m:t>2</m:t>
        </m:r>
      </m:oMath>
    </w:p>
    <w:p>
      <w:pPr>
        <w:numPr>
          <w:ilvl w:val="0"/>
          <w:numId w:val="1010"/>
        </w:numPr>
        <w:pStyle w:val="Compact"/>
      </w:pPr>
      <w:r>
        <w:t xml:space="preserve">Pretest-Posttest-Control Pooled Pretest and Posttest Standard Deviation (</w:t>
      </w:r>
      <m:oMath>
        <m:sSub>
          <m:e>
            <m:r>
              <m:t>d</m:t>
            </m:r>
          </m:e>
          <m:sub>
            <m:r>
              <m:t>P</m:t>
            </m:r>
            <m:r>
              <m:t>P</m:t>
            </m:r>
            <m:r>
              <m:t>C</m:t>
            </m:r>
            <m:r>
              <m:t>3</m:t>
            </m:r>
          </m:sub>
        </m:sSub>
      </m:oMath>
      <w:r>
        <w:t xml:space="preserve">):</w:t>
      </w:r>
      <w:r>
        <w:t xml:space="preserve"> </w:t>
      </w:r>
      <m:oMath>
        <m:r>
          <m:t>d</m:t>
        </m:r>
        <m:r>
          <m:t>f</m:t>
        </m:r>
        <m:r>
          <m:rPr>
            <m:sty m:val="p"/>
          </m:rPr>
          <m:t>=</m:t>
        </m:r>
        <m:r>
          <m:t>2</m:t>
        </m:r>
        <m:d>
          <m:dPr>
            <m:begChr m:val="("/>
            <m:endChr m:val=")"/>
            <m:sepChr m:val=""/>
            <m:grow/>
          </m:dPr>
          <m:e>
            <m:sSub>
              <m:e>
                <m:r>
                  <m:t>n</m:t>
                </m:r>
              </m:e>
              <m:sub>
                <m:r>
                  <m:t>T</m:t>
                </m:r>
              </m:sub>
            </m:sSub>
            <m:r>
              <m:rPr>
                <m:sty m:val="p"/>
              </m:rPr>
              <m:t>+</m:t>
            </m:r>
            <m:sSub>
              <m:e>
                <m:r>
                  <m:t>n</m:t>
                </m:r>
              </m:e>
              <m:sub>
                <m:r>
                  <m:t>C</m:t>
                </m:r>
              </m:sub>
            </m:sSub>
            <m:r>
              <m:rPr>
                <m:sty m:val="p"/>
              </m:rPr>
              <m:t>−</m:t>
            </m:r>
            <m:r>
              <m:t>2</m:t>
            </m:r>
          </m:e>
        </m:d>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w:t>
      </w:r>
    </w:p>
    <w:p>
      <w:pPr>
        <w:pStyle w:val="BodyText"/>
      </w:pPr>
      <m:oMathPara>
        <m:oMathParaPr>
          <m:jc m:val="center"/>
        </m:oMathParaPr>
        <m:oMath>
          <m:r>
            <m:t>C</m:t>
          </m:r>
          <m:sSub>
            <m:e>
              <m:r>
                <m:t>I</m:t>
              </m:r>
            </m:e>
            <m:sub>
              <m:r>
                <m:t>d</m:t>
              </m:r>
              <m:r>
                <m:rPr>
                  <m:sty m:val="p"/>
                </m:rPr>
                <m:t>*</m:t>
              </m:r>
            </m:sub>
          </m:sSub>
          <m:r>
            <m:rPr>
              <m:sty m:val="p"/>
            </m:rPr>
            <m:t>=</m:t>
          </m:r>
          <m:sSup>
            <m:e>
              <m:r>
                <m:t>d</m:t>
              </m:r>
            </m:e>
            <m:sup>
              <m:r>
                <m:rPr>
                  <m:sty m:val="p"/>
                </m:rPr>
                <m:t>*</m:t>
              </m:r>
            </m:sup>
          </m:sSup>
          <m:r>
            <m:rPr>
              <m:sty m:val="p"/>
            </m:rPr>
            <m:t>±</m:t>
          </m:r>
          <m:r>
            <m:t>1.96</m:t>
          </m:r>
          <m:r>
            <m:rPr>
              <m:sty m:val="p"/>
            </m:rPr>
            <m:t>×</m:t>
          </m:r>
          <m:r>
            <m:t>S</m:t>
          </m:r>
          <m:sSub>
            <m:e>
              <m:r>
                <m:t>E</m:t>
              </m:r>
            </m:e>
            <m:sub>
              <m:sSup>
                <m:e>
                  <m:r>
                    <m:t>d</m:t>
                  </m:r>
                </m:e>
                <m:sup>
                  <m:r>
                    <m:rPr>
                      <m:sty m:val="p"/>
                    </m:rPr>
                    <m:t>*</m:t>
                  </m:r>
                </m:sup>
              </m:sSup>
            </m:sub>
          </m:sSub>
        </m:oMath>
      </m:oMathPara>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101"/>
    <w:bookmarkStart w:id="104" w:name="sec-rr"/>
    <w:p>
      <w:pPr>
        <w:pStyle w:val="Heading2"/>
      </w:pPr>
      <w:r>
        <w:t xml:space="preserve">8.7 Ratios of Means</w:t>
      </w:r>
    </w:p>
    <w:p>
      <w:pPr>
        <w:pStyle w:val="FirstParagraph"/>
      </w:pPr>
      <w:r>
        <w:t xml:space="preserve">Another common approach, particularly within the fields of ecology and evolution, is to take the natural logarithm of the ratio between two means; the so-called Response Ratio (</w:t>
      </w:r>
      <m:oMath>
        <m:r>
          <m:t>l</m:t>
        </m:r>
        <m:r>
          <m:t>n</m:t>
        </m:r>
        <m:r>
          <m:t>R</m:t>
        </m:r>
        <m:r>
          <m:t>R</m:t>
        </m:r>
      </m:oMath>
      <w:r>
        <w:t xml:space="preserve">). This is sometimes more favorable as, due to its construction using the standard deviation in some form as a denominator, the various versions of standardized mean differences are impacted by the estimate of this parameter for which studies are often less powered compared to mean magnitudes</w:t>
      </w:r>
      <w:r>
        <w:t xml:space="preserve"> </w:t>
      </w:r>
      <w:r>
        <w:t xml:space="preserve">(Yang et al. 2022)</w:t>
      </w:r>
      <w:r>
        <w:t xml:space="preserve">. For the</w:t>
      </w:r>
      <w:r>
        <w:t xml:space="preserve"> </w:t>
      </w:r>
      <m:oMath>
        <m:r>
          <m:t>l</m:t>
        </m:r>
        <m:r>
          <m:t>n</m:t>
        </m:r>
        <m:r>
          <m:t>R</m:t>
        </m:r>
        <m:r>
          <m:t>R</m:t>
        </m:r>
      </m:oMath>
      <w:r>
        <w:t xml:space="preserve"> </w:t>
      </w:r>
      <w:r>
        <w:t xml:space="preserve">however the standard deviation only impacts its variance estimation and not the point estimate. A limitation of the lnRR however is that it is limited to data that are observed on a ratio scale (i.e., have an absolute zero and instances of it are related ordinally and additively meaning both means will be positive).</w:t>
      </w:r>
    </w:p>
    <w:p>
      <w:pPr>
        <w:pStyle w:val="BodyText"/>
      </w:pPr>
      <w:r>
        <w:t xml:space="preserve">Although strictly speaking the</w:t>
      </w:r>
      <w:r>
        <w:t xml:space="preserve"> </w:t>
      </w:r>
      <m:oMath>
        <m:r>
          <m:t>l</m:t>
        </m:r>
        <m:r>
          <m:t>n</m:t>
        </m:r>
        <m:r>
          <m:t>R</m:t>
        </m:r>
        <m:r>
          <m:t>R</m:t>
        </m:r>
      </m:oMath>
      <w:r>
        <w:t xml:space="preserve"> </w:t>
      </w:r>
      <w:r>
        <w:t xml:space="preserve">is not a difference in means in an additive sense as the above standardized mean difference effect sizes are, it can in one sense be considered to reflect the difference in means on the multiplicative scale. In fact, after calculation it is often transformed to reflect the percentage difference or change between means:</w:t>
      </w:r>
      <w:r>
        <w:t xml:space="preserve"> </w:t>
      </w:r>
      <m:oMath>
        <m:r>
          <m:t>100</m:t>
        </m:r>
        <m:r>
          <m:rPr>
            <m:sty m:val="p"/>
          </m:rPr>
          <m:t>×</m:t>
        </m:r>
        <m:r>
          <m:rPr>
            <m:sty m:val="p"/>
          </m:rPr>
          <m:t>exp</m:t>
        </m:r>
        <m:d>
          <m:dPr>
            <m:begChr m:val="("/>
            <m:endChr m:val=")"/>
            <m:sepChr m:val=""/>
            <m:grow/>
          </m:dPr>
          <m:e>
            <m:r>
              <m:t>l</m:t>
            </m:r>
            <m:r>
              <m:t>n</m:t>
            </m:r>
            <m:r>
              <m:t>R</m:t>
            </m:r>
            <m:r>
              <m:t>R</m:t>
            </m:r>
          </m:e>
        </m:d>
        <m:r>
          <m:rPr>
            <m:sty m:val="p"/>
          </m:rPr>
          <m:t>−</m:t>
        </m:r>
        <m:r>
          <m:t>1</m:t>
        </m:r>
      </m:oMath>
      <w:r>
        <w:t xml:space="preserve">. However, this can introduce transformation induced bias because a non-linear transformation of a mean value is not generally equal to the mean of the transformed value. In the context of meta-analysis combining</w:t>
      </w:r>
      <w:r>
        <w:t xml:space="preserve"> </w:t>
      </w:r>
      <m:oMath>
        <m:r>
          <m:t>l</m:t>
        </m:r>
        <m:r>
          <m:t>n</m:t>
        </m:r>
        <m:r>
          <m:t>R</m:t>
        </m:r>
        <m:r>
          <m:t>R</m:t>
        </m:r>
      </m:oMath>
      <w:r>
        <w:t xml:space="preserve"> </w:t>
      </w:r>
      <w:r>
        <w:t xml:space="preserve">estimated across studies a correct factor can be applied:</w:t>
      </w:r>
      <w:r>
        <w:t xml:space="preserve"> </w:t>
      </w:r>
      <m:oMath>
        <m:r>
          <m:t>100</m:t>
        </m:r>
        <m:r>
          <m:rPr>
            <m:sty m:val="p"/>
          </m:rPr>
          <m:t>×</m:t>
        </m:r>
        <m:r>
          <m:rPr>
            <m:sty m:val="p"/>
          </m:rPr>
          <m:t>exp</m:t>
        </m:r>
        <m:d>
          <m:dPr>
            <m:begChr m:val="("/>
            <m:endChr m:val=")"/>
            <m:sepChr m:val=""/>
            <m:grow/>
          </m:dPr>
          <m:e>
            <m:r>
              <m:t>l</m:t>
            </m:r>
            <m:r>
              <m:t>n</m:t>
            </m:r>
            <m:r>
              <m:t>R</m:t>
            </m:r>
            <m:r>
              <m:t>R</m:t>
            </m:r>
            <m:r>
              <m:rPr>
                <m:sty m:val="p"/>
              </m:rPr>
              <m:t>+</m:t>
            </m:r>
            <m:r>
              <m:t>0.5</m:t>
            </m:r>
            <m:sSubSup>
              <m:e>
                <m:r>
                  <m:t>S</m:t>
                </m:r>
              </m:e>
              <m:sub>
                <m:r>
                  <m:rPr>
                    <m:nor/>
                    <m:sty m:val="p"/>
                  </m:rPr>
                  <m:t>total</m:t>
                </m:r>
              </m:sub>
              <m:sup>
                <m:r>
                  <m:t>2</m:t>
                </m:r>
              </m:sup>
            </m:sSubSup>
          </m:e>
        </m:d>
        <m:r>
          <m:rPr>
            <m:sty m:val="p"/>
          </m:rPr>
          <m:t>−</m:t>
        </m:r>
        <m:r>
          <m:t>1</m:t>
        </m:r>
      </m:oMath>
      <w:r>
        <w:t xml:space="preserve">, where</w:t>
      </w:r>
      <w:r>
        <w:t xml:space="preserve"> </w:t>
      </w:r>
      <m:oMath>
        <m:sSubSup>
          <m:e>
            <m:r>
              <m:t>S</m:t>
            </m:r>
          </m:e>
          <m:sub>
            <m:r>
              <m:rPr>
                <m:nor/>
                <m:sty m:val="p"/>
              </m:rPr>
              <m:t>total</m:t>
            </m:r>
          </m:sub>
          <m:sup>
            <m:r>
              <m:t>2</m:t>
            </m:r>
          </m:sup>
        </m:sSubSup>
      </m:oMath>
      <w:r>
        <w:t xml:space="preserve"> </w:t>
      </w:r>
      <w:r>
        <w:t xml:space="preserve">is the variance of all</w:t>
      </w:r>
      <w:r>
        <w:t xml:space="preserve"> </w:t>
      </w:r>
      <m:oMath>
        <m:r>
          <m:t>l</m:t>
        </m:r>
        <m:r>
          <m:t>n</m:t>
        </m:r>
        <m:r>
          <m:t>R</m:t>
        </m:r>
        <m:r>
          <m:t>R</m:t>
        </m:r>
      </m:oMath>
      <w:r>
        <w:t xml:space="preserve"> </w:t>
      </w:r>
      <w:r>
        <w:t xml:space="preserve">values.</w:t>
      </w:r>
    </w:p>
    <w:p>
      <w:pPr>
        <w:pStyle w:val="BodyText"/>
      </w:pPr>
      <w:r>
        <w:t xml:space="preserve">Similarly to the various standardized mean differences, there are varied calculations for the lnRR dependent upon the study design being used</w:t>
      </w:r>
      <w:r>
        <w:t xml:space="preserve"> </w:t>
      </w:r>
      <w:r>
        <w:t xml:space="preserve">(see Senior, Viechtbauer, and Nakagawa 2020)</w:t>
      </w:r>
      <w:r>
        <w:t xml:space="preserve">.</w:t>
      </w:r>
    </w:p>
    <w:bookmarkStart w:id="102" w:name="sec-rrind"/>
    <w:p>
      <w:pPr>
        <w:pStyle w:val="Heading3"/>
      </w:pPr>
      <w:r>
        <w:t xml:space="preserve">8.7.1 lnRR for Independent Groups (</w:t>
      </w:r>
      <m:oMath>
        <m:r>
          <m:t>l</m:t>
        </m:r>
        <m:r>
          <m:t>n</m:t>
        </m:r>
        <m:r>
          <m:t>R</m:t>
        </m:r>
        <m:sSub>
          <m:e>
            <m:r>
              <m:t>R</m:t>
            </m:r>
          </m:e>
          <m:sub>
            <m:r>
              <m:rPr>
                <m:nor/>
                <m:sty m:val="p"/>
              </m:rPr>
              <m:t>ind</m:t>
            </m:r>
          </m:sub>
        </m:sSub>
      </m:oMath>
      <w:r>
        <w:t xml:space="preserve">)</w:t>
      </w:r>
    </w:p>
    <w:p>
      <w:pPr>
        <w:pStyle w:val="FirstParagraph"/>
      </w:pPr>
      <w:r>
        <w:t xml:space="preserve">The lnRR can be calculated when groups are independent as follows,</w:t>
      </w:r>
    </w:p>
    <w:p>
      <w:pPr>
        <w:pStyle w:val="BodyText"/>
      </w:pPr>
      <m:oMathPara>
        <m:oMathParaPr>
          <m:jc m:val="center"/>
        </m:oMathParaPr>
        <m:oMath>
          <m:r>
            <m:t>l</m:t>
          </m:r>
          <m:r>
            <m:t>n</m:t>
          </m:r>
          <m:r>
            <m:t>R</m:t>
          </m:r>
          <m:sSub>
            <m:e>
              <m:r>
                <m:t>R</m:t>
              </m:r>
            </m:e>
            <m:sub>
              <m:r>
                <m:rPr>
                  <m:nor/>
                  <m:sty m:val="p"/>
                </m:rPr>
                <m:t>ind</m:t>
              </m:r>
            </m:sub>
          </m:sSub>
          <m:r>
            <m:rPr>
              <m:sty m:val="p"/>
            </m:rPr>
            <m:t>=</m:t>
          </m:r>
          <m:r>
            <m:rPr>
              <m:sty m:val="p"/>
            </m:rPr>
            <m:t>ln</m:t>
          </m:r>
          <m:d>
            <m:dPr>
              <m:begChr m:val="("/>
              <m:endChr m:val=")"/>
              <m:sepChr m:val=""/>
              <m:grow/>
            </m:dPr>
            <m:e>
              <m:f>
                <m:fPr>
                  <m:type m:val="bar"/>
                </m:fPr>
                <m:num>
                  <m:sSub>
                    <m:e>
                      <m:r>
                        <m:t>M</m:t>
                      </m:r>
                    </m:e>
                    <m:sub>
                      <m:r>
                        <m:t>T</m:t>
                      </m:r>
                    </m:sub>
                  </m:sSub>
                </m:num>
                <m:den>
                  <m:sSub>
                    <m:e>
                      <m:r>
                        <m:t>M</m:t>
                      </m:r>
                    </m:e>
                    <m:sub>
                      <m:r>
                        <m:t>C</m:t>
                      </m:r>
                    </m:sub>
                  </m:sSub>
                </m:den>
              </m:f>
            </m:e>
          </m:d>
          <m:r>
            <m:rPr>
              <m:sty m:val="p"/>
            </m:rPr>
            <m:t>+</m:t>
          </m:r>
          <m:r>
            <m:t>C</m:t>
          </m:r>
          <m:r>
            <m:t>F</m:t>
          </m:r>
        </m:oMath>
      </m:oMathPara>
    </w:p>
    <w:p>
      <w:pPr>
        <w:pStyle w:val="FirstParagraph"/>
      </w:pPr>
      <w:r>
        <w:t xml:space="preserve">Where</w:t>
      </w:r>
      <w:r>
        <w:t xml:space="preserve"> </w:t>
      </w:r>
      <m:oMath>
        <m:sSub>
          <m:e>
            <m:r>
              <m:t>M</m:t>
            </m:r>
          </m:e>
          <m:sub>
            <m:r>
              <m:t>T</m:t>
            </m:r>
          </m:sub>
        </m:sSub>
      </m:oMath>
      <w:r>
        <w:t xml:space="preserve"> </w:t>
      </w:r>
      <w:r>
        <w:t xml:space="preserve">and</w:t>
      </w:r>
      <w:r>
        <w:t xml:space="preserve"> </w:t>
      </w:r>
      <m:oMath>
        <m:sSub>
          <m:e>
            <m:r>
              <m:t>M</m:t>
            </m:r>
          </m:e>
          <m:sub>
            <m:r>
              <m:t>C</m:t>
            </m:r>
          </m:sub>
        </m:sSub>
      </m:oMath>
      <w:r>
        <w:t xml:space="preserve"> </w:t>
      </w:r>
      <w:r>
        <w:t xml:space="preserve">are the means for the treatment and control group respectively and</w:t>
      </w:r>
      <w:r>
        <w:t xml:space="preserve"> </w:t>
      </w:r>
      <m:oMath>
        <m:r>
          <m:t>C</m:t>
        </m:r>
        <m:r>
          <m:t>F</m:t>
        </m:r>
      </m:oMath>
      <w:r>
        <w:t xml:space="preserve"> </w:t>
      </w:r>
      <w:r>
        <w:t xml:space="preserve">is the small sample correction factor calculated as,</w:t>
      </w:r>
    </w:p>
    <w:p>
      <w:pPr>
        <w:pStyle w:val="BodyText"/>
      </w:pPr>
      <m:oMathPara>
        <m:oMathParaPr>
          <m:jc m:val="center"/>
        </m:oMathParaPr>
        <m:oMath>
          <m:r>
            <m:t>C</m:t>
          </m:r>
          <m:r>
            <m:t>F</m:t>
          </m:r>
          <m:r>
            <m:rPr>
              <m:sty m:val="p"/>
            </m:rPr>
            <m:t>=</m:t>
          </m:r>
          <m:f>
            <m:fPr>
              <m:type m:val="bar"/>
            </m:fPr>
            <m:num>
              <m:sSubSup>
                <m:e>
                  <m:r>
                    <m:t>S</m:t>
                  </m:r>
                </m:e>
                <m:sub>
                  <m:r>
                    <m:t>T</m:t>
                  </m:r>
                </m:sub>
                <m:sup>
                  <m:r>
                    <m:t>2</m:t>
                  </m:r>
                </m:sup>
              </m:sSubSup>
            </m:num>
            <m:den>
              <m:r>
                <m:t>2</m:t>
              </m:r>
              <m:sSub>
                <m:e>
                  <m:r>
                    <m:t>n</m:t>
                  </m:r>
                </m:e>
                <m:sub>
                  <m:r>
                    <m:t>T</m:t>
                  </m:r>
                </m:sub>
              </m:sSub>
              <m:sSubSup>
                <m:e>
                  <m:r>
                    <m:t>M</m:t>
                  </m:r>
                </m:e>
                <m:sub>
                  <m:r>
                    <m:t>T</m:t>
                  </m:r>
                </m:sub>
                <m:sup>
                  <m:r>
                    <m:t>2</m:t>
                  </m:r>
                </m:sup>
              </m:sSubSup>
            </m:den>
          </m:f>
          <m:r>
            <m:rPr>
              <m:sty m:val="p"/>
            </m:rPr>
            <m:t>−</m:t>
          </m:r>
          <m:f>
            <m:fPr>
              <m:type m:val="bar"/>
            </m:fPr>
            <m:num>
              <m:sSubSup>
                <m:e>
                  <m:r>
                    <m:t>S</m:t>
                  </m:r>
                </m:e>
                <m:sub>
                  <m:r>
                    <m:t>C</m:t>
                  </m:r>
                </m:sub>
                <m:sup>
                  <m:r>
                    <m:t>2</m:t>
                  </m:r>
                </m:sup>
              </m:sSubSup>
            </m:num>
            <m:den>
              <m:r>
                <m:t>2</m:t>
              </m:r>
              <m:sSub>
                <m:e>
                  <m:r>
                    <m:t>n</m:t>
                  </m:r>
                </m:e>
                <m:sub>
                  <m:r>
                    <m:t>C</m:t>
                  </m:r>
                </m:sub>
              </m:sSub>
              <m:sSubSup>
                <m:e>
                  <m:r>
                    <m:t>M</m:t>
                  </m:r>
                </m:e>
                <m:sub>
                  <m:r>
                    <m:t>C</m:t>
                  </m:r>
                </m:sub>
                <m:sup>
                  <m:r>
                    <m:t>2</m:t>
                  </m:r>
                </m:sup>
              </m:sSubSup>
            </m:den>
          </m:f>
        </m:oMath>
      </m:oMathPara>
    </w:p>
    <w:p>
      <w:pPr>
        <w:pStyle w:val="FirstParagraph"/>
      </w:pPr>
      <w:r>
        <w:t xml:space="preserve">The standard error can be calculated as,</w:t>
      </w:r>
    </w:p>
    <w:p>
      <w:pPr>
        <w:pStyle w:val="BodyText"/>
      </w:pPr>
      <m:oMathPara>
        <m:oMathParaPr>
          <m:jc m:val="center"/>
        </m:oMathParaPr>
        <m:oMath>
          <m:r>
            <m:t>S</m:t>
          </m:r>
          <m:sSub>
            <m:e>
              <m:r>
                <m:t>E</m:t>
              </m:r>
            </m:e>
            <m:sub>
              <m:r>
                <m:t>l</m:t>
              </m:r>
              <m:r>
                <m:t>n</m:t>
              </m:r>
              <m:r>
                <m:t>R</m:t>
              </m:r>
              <m:sSub>
                <m:e>
                  <m:r>
                    <m:t>R</m:t>
                  </m:r>
                </m:e>
                <m:sub>
                  <m:r>
                    <m:rPr>
                      <m:nor/>
                      <m:sty m:val="p"/>
                    </m:rPr>
                    <m:t>ind</m:t>
                  </m:r>
                </m:sub>
              </m:sSub>
            </m:sub>
          </m:sSub>
          <m:r>
            <m:rPr>
              <m:sty m:val="p"/>
            </m:rPr>
            <m:t>=</m:t>
          </m:r>
          <m:rad>
            <m:radPr>
              <m:degHide m:val="1"/>
            </m:radPr>
            <m:deg/>
            <m:e>
              <m:f>
                <m:fPr>
                  <m:type m:val="bar"/>
                </m:fPr>
                <m:num>
                  <m:sSubSup>
                    <m:e>
                      <m:r>
                        <m:t>S</m:t>
                      </m:r>
                    </m:e>
                    <m:sub>
                      <m:r>
                        <m:t>T</m:t>
                      </m:r>
                    </m:sub>
                    <m:sup>
                      <m:r>
                        <m:t>2</m:t>
                      </m:r>
                    </m:sup>
                  </m:sSubSup>
                </m:num>
                <m:den>
                  <m:sSub>
                    <m:e>
                      <m:r>
                        <m:t>n</m:t>
                      </m:r>
                    </m:e>
                    <m:sub>
                      <m:r>
                        <m:t>T</m:t>
                      </m:r>
                    </m:sub>
                  </m:sSub>
                  <m:sSubSup>
                    <m:e>
                      <m:r>
                        <m:t>M</m:t>
                      </m:r>
                    </m:e>
                    <m:sub>
                      <m:r>
                        <m:t>T</m:t>
                      </m:r>
                    </m:sub>
                    <m:sup>
                      <m:r>
                        <m:t>2</m:t>
                      </m:r>
                    </m:sup>
                  </m:sSubSup>
                </m:den>
              </m:f>
              <m:r>
                <m:rPr>
                  <m:sty m:val="p"/>
                </m:rPr>
                <m:t>+</m:t>
              </m:r>
              <m:f>
                <m:fPr>
                  <m:type m:val="bar"/>
                </m:fPr>
                <m:num>
                  <m:sSubSup>
                    <m:e>
                      <m:r>
                        <m:t>S</m:t>
                      </m:r>
                    </m:e>
                    <m:sub>
                      <m:r>
                        <m:t>C</m:t>
                      </m:r>
                    </m:sub>
                    <m:sup>
                      <m:r>
                        <m:t>2</m:t>
                      </m:r>
                    </m:sup>
                  </m:sSubSup>
                </m:num>
                <m:den>
                  <m:sSub>
                    <m:e>
                      <m:r>
                        <m:t>n</m:t>
                      </m:r>
                    </m:e>
                    <m:sub>
                      <m:r>
                        <m:t>C</m:t>
                      </m:r>
                    </m:sub>
                  </m:sSub>
                  <m:sSubSup>
                    <m:e>
                      <m:r>
                        <m:t>M</m:t>
                      </m:r>
                    </m:e>
                    <m:sub>
                      <m:r>
                        <m:t>C</m:t>
                      </m:r>
                    </m:sub>
                    <m:sup>
                      <m:r>
                        <m:t>2</m:t>
                      </m:r>
                    </m:sup>
                  </m:sSubSup>
                </m:den>
              </m:f>
              <m:r>
                <m:rPr>
                  <m:sty m:val="p"/>
                </m:rPr>
                <m:t>+</m:t>
              </m:r>
              <m:f>
                <m:fPr>
                  <m:type m:val="bar"/>
                </m:fPr>
                <m:num>
                  <m:sSubSup>
                    <m:e>
                      <m:r>
                        <m:t>S</m:t>
                      </m:r>
                    </m:e>
                    <m:sub>
                      <m:r>
                        <m:t>T</m:t>
                      </m:r>
                    </m:sub>
                    <m:sup>
                      <m:r>
                        <m:t>4</m:t>
                      </m:r>
                    </m:sup>
                  </m:sSubSup>
                </m:num>
                <m:den>
                  <m:r>
                    <m:t>2</m:t>
                  </m:r>
                  <m:sSubSup>
                    <m:e>
                      <m:r>
                        <m:t>n</m:t>
                      </m:r>
                    </m:e>
                    <m:sub>
                      <m:r>
                        <m:t>T</m:t>
                      </m:r>
                    </m:sub>
                    <m:sup>
                      <m:r>
                        <m:t>2</m:t>
                      </m:r>
                    </m:sup>
                  </m:sSubSup>
                  <m:sSubSup>
                    <m:e>
                      <m:r>
                        <m:t>M</m:t>
                      </m:r>
                    </m:e>
                    <m:sub>
                      <m:r>
                        <m:t>T</m:t>
                      </m:r>
                    </m:sub>
                    <m:sup>
                      <m:r>
                        <m:t>4</m:t>
                      </m:r>
                    </m:sup>
                  </m:sSubSup>
                </m:den>
              </m:f>
              <m:r>
                <m:rPr>
                  <m:sty m:val="p"/>
                </m:rPr>
                <m:t>+</m:t>
              </m:r>
              <m:f>
                <m:fPr>
                  <m:type m:val="bar"/>
                </m:fPr>
                <m:num>
                  <m:sSubSup>
                    <m:e>
                      <m:r>
                        <m:t>S</m:t>
                      </m:r>
                    </m:e>
                    <m:sub>
                      <m:r>
                        <m:t>C</m:t>
                      </m:r>
                    </m:sub>
                    <m:sup>
                      <m:r>
                        <m:t>4</m:t>
                      </m:r>
                    </m:sup>
                  </m:sSubSup>
                </m:num>
                <m:den>
                  <m:r>
                    <m:t>2</m:t>
                  </m:r>
                  <m:sSubSup>
                    <m:e>
                      <m:r>
                        <m:t>n</m:t>
                      </m:r>
                    </m:e>
                    <m:sub>
                      <m:r>
                        <m:t>C</m:t>
                      </m:r>
                    </m:sub>
                    <m:sup>
                      <m:r>
                        <m:t>2</m:t>
                      </m:r>
                    </m:sup>
                  </m:sSubSup>
                  <m:sSubSup>
                    <m:e>
                      <m:r>
                        <m:t>M</m:t>
                      </m:r>
                    </m:e>
                    <m:sub>
                      <m:r>
                        <m:t>C</m:t>
                      </m:r>
                    </m:sub>
                    <m:sup>
                      <m:r>
                        <m:t>4</m:t>
                      </m:r>
                    </m:sup>
                  </m:sSubSup>
                </m:den>
              </m:f>
            </m:e>
          </m:rad>
        </m:oMath>
      </m:oMathPara>
    </w:p>
    <w:p>
      <w:pPr>
        <w:pStyle w:val="FirstParagraph"/>
      </w:pPr>
      <w:r>
        <w:t xml:space="preserve">Using R we can easily calculate this effect size using the</w:t>
      </w:r>
      <w:r>
        <w:t xml:space="preserve"> </w:t>
      </w:r>
      <w:r>
        <w:rPr>
          <w:rStyle w:val="VerbatimChar"/>
        </w:rPr>
        <w:t xml:space="preserve">escalc()</w:t>
      </w:r>
      <w:r>
        <w:t xml:space="preserve"> </w:t>
      </w:r>
      <w:r>
        <w:t xml:space="preserve">function in the</w:t>
      </w:r>
      <w:r>
        <w:t xml:space="preserve"> </w:t>
      </w:r>
      <w:r>
        <w:rPr>
          <w:rStyle w:val="VerbatimChar"/>
        </w:rPr>
        <w:t xml:space="preserve">metafor</w:t>
      </w:r>
      <w:r>
        <w:t xml:space="preserve"> </w:t>
      </w:r>
      <w:r>
        <w:t xml:space="preserve">package</w:t>
      </w:r>
      <w:r>
        <w:t xml:space="preserve"> </w:t>
      </w:r>
      <w:r>
        <w:t xml:space="preserve">(Viechtbauer 2010)</w:t>
      </w:r>
      <w:r>
        <w:t xml:space="preserve">:</w:t>
      </w:r>
    </w:p>
    <w:p>
      <w:pPr>
        <w:pStyle w:val="SourceCode"/>
      </w:pPr>
      <w:r>
        <w:rPr>
          <w:rStyle w:val="CommentTok"/>
        </w:rPr>
        <w:t xml:space="preserve"># lnRR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Standard deviation = 22.53, Sample size = 96</w:t>
      </w:r>
      <w:r>
        <w:br/>
      </w:r>
      <w:r>
        <w:rPr>
          <w:rStyle w:val="CommentTok"/>
        </w:rPr>
        <w:t xml:space="preserve"># Group 2 Mean = 21.4, Standard deviation = 19.59, Sample size = 96</w:t>
      </w:r>
      <w:r>
        <w:br/>
      </w:r>
      <w:r>
        <w:br/>
      </w:r>
      <w:r>
        <w:rPr>
          <w:rStyle w:val="FunctionTok"/>
        </w:rPr>
        <w:t xml:space="preserve">library</w:t>
      </w:r>
      <w:r>
        <w:rPr>
          <w:rStyle w:val="NormalTok"/>
        </w:rPr>
        <w:t xml:space="preserve">(metafor)</w:t>
      </w:r>
      <w:r>
        <w:br/>
      </w:r>
      <w:r>
        <w:br/>
      </w:r>
      <w:r>
        <w:br/>
      </w:r>
      <w:r>
        <w:rPr>
          <w:rStyle w:val="CommentTok"/>
        </w:rPr>
        <w:t xml:space="preserve"># prepare the data</w:t>
      </w:r>
      <w:r>
        <w:br/>
      </w:r>
      <w:r>
        <w:rPr>
          <w:rStyle w:val="NormalTok"/>
        </w:rPr>
        <w:t xml:space="preserve">M1 </w:t>
      </w:r>
      <w:r>
        <w:rPr>
          <w:rStyle w:val="OtherTok"/>
        </w:rPr>
        <w:t xml:space="preserve">&lt;-</w:t>
      </w:r>
      <w:r>
        <w:rPr>
          <w:rStyle w:val="NormalTok"/>
        </w:rPr>
        <w:t xml:space="preserve"> </w:t>
      </w:r>
      <w:r>
        <w:rPr>
          <w:rStyle w:val="FloatTok"/>
        </w:rPr>
        <w:t xml:space="preserve">30.4</w:t>
      </w:r>
      <w:r>
        <w:br/>
      </w:r>
      <w:r>
        <w:rPr>
          <w:rStyle w:val="NormalTok"/>
        </w:rPr>
        <w:t xml:space="preserve">M2 </w:t>
      </w:r>
      <w:r>
        <w:rPr>
          <w:rStyle w:val="OtherTok"/>
        </w:rPr>
        <w:t xml:space="preserve">&lt;-</w:t>
      </w:r>
      <w:r>
        <w:rPr>
          <w:rStyle w:val="NormalTok"/>
        </w:rPr>
        <w:t xml:space="preserve"> </w:t>
      </w:r>
      <w:r>
        <w:rPr>
          <w:rStyle w:val="FloatTok"/>
        </w:rPr>
        <w:t xml:space="preserve">21.4</w:t>
      </w:r>
      <w:r>
        <w:br/>
      </w:r>
      <w:r>
        <w:rPr>
          <w:rStyle w:val="NormalTok"/>
        </w:rPr>
        <w:t xml:space="preserve">SD1 </w:t>
      </w:r>
      <w:r>
        <w:rPr>
          <w:rStyle w:val="OtherTok"/>
        </w:rPr>
        <w:t xml:space="preserve">&lt;-</w:t>
      </w:r>
      <w:r>
        <w:rPr>
          <w:rStyle w:val="NormalTok"/>
        </w:rPr>
        <w:t xml:space="preserve"> </w:t>
      </w:r>
      <w:r>
        <w:rPr>
          <w:rStyle w:val="FloatTok"/>
        </w:rPr>
        <w:t xml:space="preserve">22.53</w:t>
      </w:r>
      <w:r>
        <w:br/>
      </w:r>
      <w:r>
        <w:rPr>
          <w:rStyle w:val="NormalTok"/>
        </w:rPr>
        <w:t xml:space="preserve">SD2 </w:t>
      </w:r>
      <w:r>
        <w:rPr>
          <w:rStyle w:val="OtherTok"/>
        </w:rPr>
        <w:t xml:space="preserve">&lt;-</w:t>
      </w:r>
      <w:r>
        <w:rPr>
          <w:rStyle w:val="NormalTok"/>
        </w:rPr>
        <w:t xml:space="preserve"> </w:t>
      </w:r>
      <w:r>
        <w:rPr>
          <w:rStyle w:val="FloatTok"/>
        </w:rPr>
        <w:t xml:space="preserve">19.59</w:t>
      </w:r>
      <w:r>
        <w:br/>
      </w:r>
      <w:r>
        <w:rPr>
          <w:rStyle w:val="NormalTok"/>
        </w:rPr>
        <w:t xml:space="preserve">N1 </w:t>
      </w:r>
      <w:r>
        <w:rPr>
          <w:rStyle w:val="OtherTok"/>
        </w:rPr>
        <w:t xml:space="preserve">=</w:t>
      </w:r>
      <w:r>
        <w:rPr>
          <w:rStyle w:val="NormalTok"/>
        </w:rPr>
        <w:t xml:space="preserve"> </w:t>
      </w:r>
      <w:r>
        <w:rPr>
          <w:rStyle w:val="DecValTok"/>
        </w:rPr>
        <w:t xml:space="preserve">96</w:t>
      </w:r>
      <w:r>
        <w:br/>
      </w:r>
      <w:r>
        <w:rPr>
          <w:rStyle w:val="NormalTok"/>
        </w:rPr>
        <w:t xml:space="preserve">N2 </w:t>
      </w:r>
      <w:r>
        <w:rPr>
          <w:rStyle w:val="OtherTok"/>
        </w:rPr>
        <w:t xml:space="preserve">=</w:t>
      </w:r>
      <w:r>
        <w:rPr>
          <w:rStyle w:val="NormalTok"/>
        </w:rPr>
        <w:t xml:space="preserve"> </w:t>
      </w:r>
      <w:r>
        <w:rPr>
          <w:rStyle w:val="DecValTok"/>
        </w:rPr>
        <w:t xml:space="preserve">96</w:t>
      </w:r>
      <w:r>
        <w:br/>
      </w:r>
      <w:r>
        <w:br/>
      </w:r>
      <w:r>
        <w:rPr>
          <w:rStyle w:val="CommentTok"/>
        </w:rPr>
        <w:t xml:space="preserve"># calculate lnRRind and standard error</w:t>
      </w:r>
      <w:r>
        <w:br/>
      </w:r>
      <w:r>
        <w:rPr>
          <w:rStyle w:val="NormalTok"/>
        </w:rPr>
        <w:t xml:space="preserve">lnRRind </w:t>
      </w:r>
      <w:r>
        <w:rPr>
          <w:rStyle w:val="OtherTok"/>
        </w:rPr>
        <w:t xml:space="preserve">&lt;-</w:t>
      </w:r>
      <w:r>
        <w:rPr>
          <w:rStyle w:val="NormalTok"/>
        </w:rPr>
        <w:t xml:space="preserve"> </w:t>
      </w:r>
      <w:r>
        <w:rPr>
          <w:rStyle w:val="FunctionTok"/>
        </w:rPr>
        <w:t xml:space="preserve">escalc</w:t>
      </w:r>
      <w:r>
        <w:rPr>
          <w:rStyle w:val="NormalTok"/>
        </w:rPr>
        <w:t xml:space="preserve">(</w:t>
      </w:r>
      <w:r>
        <w:rPr>
          <w:rStyle w:val="AttributeTok"/>
        </w:rPr>
        <w:t xml:space="preserve">measure =</w:t>
      </w:r>
      <w:r>
        <w:rPr>
          <w:rStyle w:val="NormalTok"/>
        </w:rPr>
        <w:t xml:space="preserve"> </w:t>
      </w:r>
      <w:r>
        <w:rPr>
          <w:rStyle w:val="StringTok"/>
        </w:rPr>
        <w:t xml:space="preserve">"ROM"</w:t>
      </w:r>
      <w:r>
        <w:rPr>
          <w:rStyle w:val="NormalTok"/>
        </w:rPr>
        <w:t xml:space="preserve">, </w:t>
      </w:r>
      <w:r>
        <w:br/>
      </w:r>
      <w:r>
        <w:rPr>
          <w:rStyle w:val="NormalTok"/>
        </w:rPr>
        <w:t xml:space="preserve">               </w:t>
      </w:r>
      <w:r>
        <w:rPr>
          <w:rStyle w:val="AttributeTok"/>
        </w:rPr>
        <w:t xml:space="preserve">m1i =</w:t>
      </w:r>
      <w:r>
        <w:rPr>
          <w:rStyle w:val="NormalTok"/>
        </w:rPr>
        <w:t xml:space="preserve"> M1,</w:t>
      </w:r>
      <w:r>
        <w:br/>
      </w:r>
      <w:r>
        <w:rPr>
          <w:rStyle w:val="NormalTok"/>
        </w:rPr>
        <w:t xml:space="preserve">               </w:t>
      </w:r>
      <w:r>
        <w:rPr>
          <w:rStyle w:val="AttributeTok"/>
        </w:rPr>
        <w:t xml:space="preserve">m2i =</w:t>
      </w:r>
      <w:r>
        <w:rPr>
          <w:rStyle w:val="NormalTok"/>
        </w:rPr>
        <w:t xml:space="preserve"> M2,</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n1i =</w:t>
      </w:r>
      <w:r>
        <w:rPr>
          <w:rStyle w:val="NormalTok"/>
        </w:rPr>
        <w:t xml:space="preserve"> N1,</w:t>
      </w:r>
      <w:r>
        <w:br/>
      </w:r>
      <w:r>
        <w:rPr>
          <w:rStyle w:val="NormalTok"/>
        </w:rPr>
        <w:t xml:space="preserve">               </w:t>
      </w:r>
      <w:r>
        <w:rPr>
          <w:rStyle w:val="AttributeTok"/>
        </w:rPr>
        <w:t xml:space="preserve">n2i =</w:t>
      </w:r>
      <w:r>
        <w:rPr>
          <w:rStyle w:val="NormalTok"/>
        </w:rPr>
        <w:t xml:space="preserve"> N2)</w:t>
      </w:r>
      <w:r>
        <w:br/>
      </w:r>
      <w:r>
        <w:br/>
      </w:r>
      <w:r>
        <w:rPr>
          <w:rStyle w:val="NormalTok"/>
        </w:rPr>
        <w:t xml:space="preserve">lnRRind</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(lnRRind</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lnRRind</w:t>
      </w:r>
      <w:r>
        <w:rPr>
          <w:rStyle w:val="SpecialCharTok"/>
        </w:rPr>
        <w:t xml:space="preserve">$</w:t>
      </w:r>
      <w:r>
        <w:rPr>
          <w:rStyle w:val="NormalTok"/>
        </w:rPr>
        <w:t xml:space="preserve">CIlow </w:t>
      </w:r>
      <w:r>
        <w:rPr>
          <w:rStyle w:val="OtherTok"/>
        </w:rPr>
        <w:t xml:space="preserve">&lt;-</w:t>
      </w:r>
      <w:r>
        <w:rPr>
          <w:rStyle w:val="NormalTok"/>
        </w:rPr>
        <w:t xml:space="preserve"> lnRRind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lnRRind</w:t>
      </w:r>
      <w:r>
        <w:rPr>
          <w:rStyle w:val="SpecialCharTok"/>
        </w:rPr>
        <w:t xml:space="preserve">$</w:t>
      </w:r>
      <w:r>
        <w:rPr>
          <w:rStyle w:val="NormalTok"/>
        </w:rPr>
        <w:t xml:space="preserve">SE</w:t>
      </w:r>
      <w:r>
        <w:br/>
      </w:r>
      <w:r>
        <w:rPr>
          <w:rStyle w:val="NormalTok"/>
        </w:rPr>
        <w:t xml:space="preserve">lnRRind</w:t>
      </w:r>
      <w:r>
        <w:rPr>
          <w:rStyle w:val="SpecialCharTok"/>
        </w:rPr>
        <w:t xml:space="preserve">$</w:t>
      </w:r>
      <w:r>
        <w:rPr>
          <w:rStyle w:val="NormalTok"/>
        </w:rPr>
        <w:t xml:space="preserve">CIhigh </w:t>
      </w:r>
      <w:r>
        <w:rPr>
          <w:rStyle w:val="OtherTok"/>
        </w:rPr>
        <w:t xml:space="preserve">&lt;-</w:t>
      </w:r>
      <w:r>
        <w:rPr>
          <w:rStyle w:val="NormalTok"/>
        </w:rPr>
        <w:t xml:space="preserve">  lnRRind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lnRRind</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lnRRind =</w:t>
      </w:r>
      <w:r>
        <w:rPr>
          <w:rStyle w:val="NormalTok"/>
        </w:rPr>
        <w:t xml:space="preserve"> MOTE</w:t>
      </w:r>
      <w:r>
        <w:rPr>
          <w:rStyle w:val="SpecialCharTok"/>
        </w:rPr>
        <w:t xml:space="preserve">::</w:t>
      </w:r>
      <w:r>
        <w:rPr>
          <w:rStyle w:val="FunctionTok"/>
        </w:rPr>
        <w:t xml:space="preserve">apa</w:t>
      </w:r>
      <w:r>
        <w:rPr>
          <w:rStyle w:val="NormalTok"/>
        </w:rPr>
        <w:t xml:space="preserve">(lnRRind</w:t>
      </w:r>
      <w:r>
        <w:rPr>
          <w:rStyle w:val="SpecialCharTok"/>
        </w:rPr>
        <w:t xml:space="preserve">$</w:t>
      </w:r>
      <w:r>
        <w:rPr>
          <w:rStyle w:val="NormalTok"/>
        </w:rPr>
        <w:t xml:space="preserve">yi),</w:t>
      </w:r>
      <w:r>
        <w:br/>
      </w:r>
      <w:r>
        <w:rPr>
          <w:rStyle w:val="NormalTok"/>
        </w:rPr>
        <w:t xml:space="preserve">           </w:t>
      </w:r>
      <w:r>
        <w:rPr>
          <w:rStyle w:val="AttributeTok"/>
        </w:rPr>
        <w:t xml:space="preserve">lnRRind_low =</w:t>
      </w:r>
      <w:r>
        <w:rPr>
          <w:rStyle w:val="NormalTok"/>
        </w:rPr>
        <w:t xml:space="preserve"> MOTE</w:t>
      </w:r>
      <w:r>
        <w:rPr>
          <w:rStyle w:val="SpecialCharTok"/>
        </w:rPr>
        <w:t xml:space="preserve">::</w:t>
      </w:r>
      <w:r>
        <w:rPr>
          <w:rStyle w:val="FunctionTok"/>
        </w:rPr>
        <w:t xml:space="preserve">apa</w:t>
      </w:r>
      <w:r>
        <w:rPr>
          <w:rStyle w:val="NormalTok"/>
        </w:rPr>
        <w:t xml:space="preserve">(lnRRind</w:t>
      </w:r>
      <w:r>
        <w:rPr>
          <w:rStyle w:val="SpecialCharTok"/>
        </w:rPr>
        <w:t xml:space="preserve">$</w:t>
      </w:r>
      <w:r>
        <w:rPr>
          <w:rStyle w:val="NormalTok"/>
        </w:rPr>
        <w:t xml:space="preserve">CIlow),</w:t>
      </w:r>
      <w:r>
        <w:br/>
      </w:r>
      <w:r>
        <w:rPr>
          <w:rStyle w:val="NormalTok"/>
        </w:rPr>
        <w:t xml:space="preserve">           </w:t>
      </w:r>
      <w:r>
        <w:rPr>
          <w:rStyle w:val="AttributeTok"/>
        </w:rPr>
        <w:t xml:space="preserve">lnRRind_high =</w:t>
      </w:r>
      <w:r>
        <w:rPr>
          <w:rStyle w:val="NormalTok"/>
        </w:rPr>
        <w:t xml:space="preserve"> MOTE</w:t>
      </w:r>
      <w:r>
        <w:rPr>
          <w:rStyle w:val="SpecialCharTok"/>
        </w:rPr>
        <w:t xml:space="preserve">::</w:t>
      </w:r>
      <w:r>
        <w:rPr>
          <w:rStyle w:val="FunctionTok"/>
        </w:rPr>
        <w:t xml:space="preserve">apa</w:t>
      </w:r>
      <w:r>
        <w:rPr>
          <w:rStyle w:val="NormalTok"/>
        </w:rPr>
        <w:t xml:space="preserve">(lnRRind</w:t>
      </w:r>
      <w:r>
        <w:rPr>
          <w:rStyle w:val="SpecialCharTok"/>
        </w:rPr>
        <w:t xml:space="preserve">$</w:t>
      </w:r>
      <w:r>
        <w:rPr>
          <w:rStyle w:val="NormalTok"/>
        </w:rPr>
        <w:t xml:space="preserve">CIhigh))</w:t>
      </w:r>
    </w:p>
    <w:p>
      <w:pPr>
        <w:pStyle w:val="SourceCode"/>
      </w:pPr>
      <w:r>
        <w:rPr>
          <w:rStyle w:val="VerbatimChar"/>
        </w:rPr>
        <w:t xml:space="preserve">  lnRRind lnRRind_low lnRRind_high</w:t>
      </w:r>
      <w:r>
        <w:br/>
      </w:r>
      <w:r>
        <w:rPr>
          <w:rStyle w:val="VerbatimChar"/>
        </w:rPr>
        <w:t xml:space="preserve">1   0.351       0.115        0.587</w:t>
      </w:r>
    </w:p>
    <w:p>
      <w:pPr>
        <w:pStyle w:val="FirstParagraph"/>
      </w:pPr>
      <w:r>
        <w:t xml:space="preserve">The example shwos a natural log response ratio of</w:t>
      </w:r>
      <w:r>
        <w:t xml:space="preserve"> </w:t>
      </w:r>
      <m:oMath>
        <m:r>
          <m:t>l</m:t>
        </m:r>
        <m:r>
          <m:t>n</m:t>
        </m:r>
        <m:r>
          <m:t>R</m:t>
        </m:r>
        <m:sSub>
          <m:e>
            <m:r>
              <m:t>R</m:t>
            </m:r>
          </m:e>
          <m:sub>
            <m:r>
              <m:rPr>
                <m:nor/>
                <m:sty m:val="p"/>
              </m:rPr>
              <m:t>ind</m:t>
            </m:r>
          </m:sub>
        </m:sSub>
      </m:oMath>
      <w:r>
        <w:t xml:space="preserve"> </w:t>
      </w:r>
      <w:r>
        <w:t xml:space="preserve">= 0.35 [0.12, 0.59].</w:t>
      </w:r>
    </w:p>
    <w:bookmarkEnd w:id="102"/>
    <w:bookmarkStart w:id="103" w:name="sec-rrdep"/>
    <w:p>
      <w:pPr>
        <w:pStyle w:val="Heading3"/>
      </w:pPr>
      <w:r>
        <w:t xml:space="preserve">8.7.2 lnRR for dependent groups (</w:t>
      </w:r>
      <m:oMath>
        <m:r>
          <m:t>l</m:t>
        </m:r>
        <m:r>
          <m:t>n</m:t>
        </m:r>
        <m:r>
          <m:t>R</m:t>
        </m:r>
        <m:sSub>
          <m:e>
            <m:r>
              <m:t>R</m:t>
            </m:r>
          </m:e>
          <m:sub>
            <m:r>
              <m:rPr>
                <m:nor/>
                <m:sty m:val="p"/>
              </m:rPr>
              <m:t>dep</m:t>
            </m:r>
          </m:sub>
        </m:sSub>
      </m:oMath>
      <w:r>
        <w:t xml:space="preserve">)</w:t>
      </w:r>
    </w:p>
    <w:p>
      <w:pPr>
        <w:pStyle w:val="FirstParagraph"/>
      </w:pPr>
      <w:r>
        <w:t xml:space="preserve">The lnRR can be calculated when groups are dependent (i.e., same subjects in both conditions), for example a pre-post comparison, as follows,</w:t>
      </w:r>
    </w:p>
    <w:p>
      <w:pPr>
        <w:pStyle w:val="BodyText"/>
      </w:pPr>
      <m:oMathPara>
        <m:oMathParaPr>
          <m:jc m:val="center"/>
        </m:oMathParaPr>
        <m:oMath>
          <m:r>
            <m:t>l</m:t>
          </m:r>
          <m:r>
            <m:t>n</m:t>
          </m:r>
          <m:r>
            <m:t>R</m:t>
          </m:r>
          <m:sSub>
            <m:e>
              <m:r>
                <m:t>R</m:t>
              </m:r>
            </m:e>
            <m:sub>
              <m:r>
                <m:rPr>
                  <m:nor/>
                  <m:sty m:val="p"/>
                </m:rPr>
                <m:t>dep</m:t>
              </m:r>
            </m:sub>
          </m:sSub>
          <m:r>
            <m:rPr>
              <m:sty m:val="p"/>
            </m:rPr>
            <m:t>=</m:t>
          </m:r>
          <m:r>
            <m:rPr>
              <m:sty m:val="p"/>
            </m:rPr>
            <m:t>ln</m:t>
          </m:r>
          <m:d>
            <m:dPr>
              <m:begChr m:val="("/>
              <m:endChr m:val=")"/>
              <m:sepChr m:val=""/>
              <m:grow/>
            </m:dPr>
            <m:e>
              <m:f>
                <m:fPr>
                  <m:type m:val="bar"/>
                </m:fPr>
                <m:num>
                  <m:sSub>
                    <m:e>
                      <m:r>
                        <m:t>M</m:t>
                      </m:r>
                    </m:e>
                    <m:sub>
                      <m:r>
                        <m:t>2</m:t>
                      </m:r>
                    </m:sub>
                  </m:sSub>
                </m:num>
                <m:den>
                  <m:sSub>
                    <m:e>
                      <m:r>
                        <m:t>M</m:t>
                      </m:r>
                    </m:e>
                    <m:sub>
                      <m:r>
                        <m:t>1</m:t>
                      </m:r>
                    </m:sub>
                  </m:sSub>
                </m:den>
              </m:f>
            </m:e>
          </m:d>
          <m:r>
            <m:rPr>
              <m:sty m:val="p"/>
            </m:rPr>
            <m:t>+</m:t>
          </m:r>
          <m:r>
            <m:t>C</m:t>
          </m:r>
          <m:r>
            <m:t>F</m:t>
          </m:r>
        </m:oMath>
      </m:oMathPara>
    </w:p>
    <w:p>
      <w:pPr>
        <w:pStyle w:val="FirstParagraph"/>
      </w:pPr>
      <w:r>
        <w:t xml:space="preserve">Where</w:t>
      </w:r>
      <w:r>
        <w:t xml:space="preserve"> </w:t>
      </w:r>
      <m:oMath>
        <m:r>
          <m:t>C</m:t>
        </m:r>
        <m:r>
          <m:t>F</m:t>
        </m:r>
      </m:oMath>
      <w:r>
        <w:t xml:space="preserve"> </w:t>
      </w:r>
      <w:r>
        <w:t xml:space="preserve">is the small sample correct factor calculated as,</w:t>
      </w:r>
    </w:p>
    <w:p>
      <w:pPr>
        <w:pStyle w:val="BodyText"/>
      </w:pPr>
      <m:oMathPara>
        <m:oMathParaPr>
          <m:jc m:val="center"/>
        </m:oMathParaPr>
        <m:oMath>
          <m:r>
            <m:t>C</m:t>
          </m:r>
          <m:r>
            <m:t>F</m:t>
          </m:r>
          <m:r>
            <m:rPr>
              <m:sty m:val="p"/>
            </m:rPr>
            <m:t>=</m:t>
          </m:r>
          <m:f>
            <m:fPr>
              <m:type m:val="bar"/>
            </m:fPr>
            <m:num>
              <m:sSubSup>
                <m:e>
                  <m:r>
                    <m:t>S</m:t>
                  </m:r>
                </m:e>
                <m:sub>
                  <m:r>
                    <m:t>2</m:t>
                  </m:r>
                </m:sub>
                <m:sup>
                  <m:r>
                    <m:t>2</m:t>
                  </m:r>
                </m:sup>
              </m:sSubSup>
            </m:num>
            <m:den>
              <m:r>
                <m:t>2</m:t>
              </m:r>
              <m:r>
                <m:t>n</m:t>
              </m:r>
              <m:sSubSup>
                <m:e>
                  <m:r>
                    <m:t>M</m:t>
                  </m:r>
                </m:e>
                <m:sub>
                  <m:r>
                    <m:t>2</m:t>
                  </m:r>
                </m:sub>
                <m:sup>
                  <m:r>
                    <m:t>2</m:t>
                  </m:r>
                </m:sup>
              </m:sSubSup>
            </m:den>
          </m:f>
          <m:r>
            <m:rPr>
              <m:sty m:val="p"/>
            </m:rPr>
            <m:t>−</m:t>
          </m:r>
          <m:f>
            <m:fPr>
              <m:type m:val="bar"/>
            </m:fPr>
            <m:num>
              <m:sSubSup>
                <m:e>
                  <m:r>
                    <m:t>S</m:t>
                  </m:r>
                </m:e>
                <m:sub>
                  <m:r>
                    <m:t>1</m:t>
                  </m:r>
                </m:sub>
                <m:sup>
                  <m:r>
                    <m:t>2</m:t>
                  </m:r>
                </m:sup>
              </m:sSubSup>
            </m:num>
            <m:den>
              <m:r>
                <m:t>2</m:t>
              </m:r>
              <m:r>
                <m:t>n</m:t>
              </m:r>
              <m:sSubSup>
                <m:e>
                  <m:r>
                    <m:t>M</m:t>
                  </m:r>
                </m:e>
                <m:sub>
                  <m:r>
                    <m:t>1</m:t>
                  </m:r>
                </m:sub>
                <m:sup>
                  <m:r>
                    <m:t>2</m:t>
                  </m:r>
                </m:sup>
              </m:sSubSup>
            </m:den>
          </m:f>
        </m:oMath>
      </m:oMathPara>
    </w:p>
    <w:p>
      <w:pPr>
        <w:pStyle w:val="FirstParagraph"/>
      </w:pPr>
      <w:r>
        <w:t xml:space="preserve">The standard error can then be calculated as,</w:t>
      </w:r>
    </w:p>
    <w:p>
      <w:pPr>
        <w:pStyle w:val="BodyText"/>
      </w:pPr>
      <w:r>
        <w:t xml:space="preserve">$$
\small{SE_{lnRR_\text{dep}} = \sqrt{ \frac{S^2_1}{n M_1^2} + \frac{S^2_2}{n M_2^2} + \frac{S^4_1}{2n^2M^4_1} +  \frac{S^4_2}{2n^2M^4_2} + \frac{2rS_1 S_2}{n M_1 M_2} + \frac{r^2S^2_1 S^2_2 (M_1^4 + M_2^4)}{2n^2 M_1^4 M_2^4}}}
$$</w:t>
      </w:r>
    </w:p>
    <w:p>
      <w:pPr>
        <w:pStyle w:val="FirstParagraph"/>
      </w:pPr>
      <w:r>
        <w:t xml:space="preserve">Using R we can easily calculate this effect size using the</w:t>
      </w:r>
      <w:r>
        <w:t xml:space="preserve"> </w:t>
      </w:r>
      <w:r>
        <w:rPr>
          <w:rStyle w:val="VerbatimChar"/>
        </w:rPr>
        <w:t xml:space="preserve">escalc()</w:t>
      </w:r>
      <w:r>
        <w:t xml:space="preserve"> </w:t>
      </w:r>
      <w:r>
        <w:t xml:space="preserve">function from the</w:t>
      </w:r>
      <w:r>
        <w:t xml:space="preserve"> </w:t>
      </w:r>
      <w:r>
        <w:rPr>
          <w:rStyle w:val="VerbatimChar"/>
        </w:rPr>
        <w:t xml:space="preserve">metafor</w:t>
      </w:r>
      <w:r>
        <w:t xml:space="preserve"> </w:t>
      </w:r>
      <w:r>
        <w:t xml:space="preserve">package as follows:</w:t>
      </w:r>
    </w:p>
    <w:p>
      <w:pPr>
        <w:pStyle w:val="SourceCode"/>
      </w:pPr>
      <w:r>
        <w:rPr>
          <w:rStyle w:val="CommentTok"/>
        </w:rPr>
        <w:t xml:space="preserve"># lnRR for two dependent groups</w:t>
      </w:r>
      <w:r>
        <w:br/>
      </w:r>
      <w:r>
        <w:rPr>
          <w:rStyle w:val="CommentTok"/>
        </w:rPr>
        <w:t xml:space="preserve"># given means and SDs</w:t>
      </w:r>
      <w:r>
        <w:br/>
      </w:r>
      <w:r>
        <w:br/>
      </w:r>
      <w:r>
        <w:br/>
      </w:r>
      <w:r>
        <w:rPr>
          <w:rStyle w:val="CommentTok"/>
        </w:rPr>
        <w:t xml:space="preserve"># For example:</w:t>
      </w:r>
      <w:r>
        <w:br/>
      </w:r>
      <w:r>
        <w:rPr>
          <w:rStyle w:val="CommentTok"/>
        </w:rPr>
        <w:t xml:space="preserve"># Mean 1 = 30.4, Standard deviation 1 = 22.53</w:t>
      </w:r>
      <w:r>
        <w:br/>
      </w:r>
      <w:r>
        <w:rPr>
          <w:rStyle w:val="CommentTok"/>
        </w:rPr>
        <w:t xml:space="preserve"># Mean 2 = 21.4, Standard deviation 2 = 19.59</w:t>
      </w:r>
      <w:r>
        <w:br/>
      </w:r>
      <w:r>
        <w:rPr>
          <w:rStyle w:val="CommentTok"/>
        </w:rPr>
        <w:t xml:space="preserve"># Sample size = 96</w:t>
      </w:r>
      <w:r>
        <w:br/>
      </w:r>
      <w:r>
        <w:rPr>
          <w:rStyle w:val="CommentTok"/>
        </w:rPr>
        <w:t xml:space="preserve"># Correlation = 0.4</w:t>
      </w:r>
      <w:r>
        <w:br/>
      </w:r>
      <w:r>
        <w:br/>
      </w:r>
      <w:r>
        <w:rPr>
          <w:rStyle w:val="FunctionTok"/>
        </w:rPr>
        <w:t xml:space="preserve">library</w:t>
      </w:r>
      <w:r>
        <w:rPr>
          <w:rStyle w:val="NormalTok"/>
        </w:rPr>
        <w:t xml:space="preserve">(metafor)</w:t>
      </w:r>
      <w:r>
        <w:br/>
      </w:r>
      <w:r>
        <w:br/>
      </w:r>
      <w:r>
        <w:br/>
      </w:r>
      <w:r>
        <w:rPr>
          <w:rStyle w:val="CommentTok"/>
        </w:rPr>
        <w:t xml:space="preserve"># prepare the data</w:t>
      </w:r>
      <w:r>
        <w:br/>
      </w:r>
      <w:r>
        <w:rPr>
          <w:rStyle w:val="NormalTok"/>
        </w:rPr>
        <w:t xml:space="preserve">M1 </w:t>
      </w:r>
      <w:r>
        <w:rPr>
          <w:rStyle w:val="OtherTok"/>
        </w:rPr>
        <w:t xml:space="preserve">&lt;-</w:t>
      </w:r>
      <w:r>
        <w:rPr>
          <w:rStyle w:val="NormalTok"/>
        </w:rPr>
        <w:t xml:space="preserve"> </w:t>
      </w:r>
      <w:r>
        <w:rPr>
          <w:rStyle w:val="FloatTok"/>
        </w:rPr>
        <w:t xml:space="preserve">30.4</w:t>
      </w:r>
      <w:r>
        <w:br/>
      </w:r>
      <w:r>
        <w:rPr>
          <w:rStyle w:val="NormalTok"/>
        </w:rPr>
        <w:t xml:space="preserve">M2 </w:t>
      </w:r>
      <w:r>
        <w:rPr>
          <w:rStyle w:val="OtherTok"/>
        </w:rPr>
        <w:t xml:space="preserve">&lt;-</w:t>
      </w:r>
      <w:r>
        <w:rPr>
          <w:rStyle w:val="NormalTok"/>
        </w:rPr>
        <w:t xml:space="preserve"> </w:t>
      </w:r>
      <w:r>
        <w:rPr>
          <w:rStyle w:val="FloatTok"/>
        </w:rPr>
        <w:t xml:space="preserve">21.4</w:t>
      </w:r>
      <w:r>
        <w:br/>
      </w:r>
      <w:r>
        <w:rPr>
          <w:rStyle w:val="NormalTok"/>
        </w:rPr>
        <w:t xml:space="preserve">SD1 </w:t>
      </w:r>
      <w:r>
        <w:rPr>
          <w:rStyle w:val="OtherTok"/>
        </w:rPr>
        <w:t xml:space="preserve">&lt;-</w:t>
      </w:r>
      <w:r>
        <w:rPr>
          <w:rStyle w:val="NormalTok"/>
        </w:rPr>
        <w:t xml:space="preserve"> </w:t>
      </w:r>
      <w:r>
        <w:rPr>
          <w:rStyle w:val="FloatTok"/>
        </w:rPr>
        <w:t xml:space="preserve">22.53</w:t>
      </w:r>
      <w:r>
        <w:br/>
      </w:r>
      <w:r>
        <w:rPr>
          <w:rStyle w:val="NormalTok"/>
        </w:rPr>
        <w:t xml:space="preserve">SD2 </w:t>
      </w:r>
      <w:r>
        <w:rPr>
          <w:rStyle w:val="OtherTok"/>
        </w:rPr>
        <w:t xml:space="preserve">&lt;-</w:t>
      </w:r>
      <w:r>
        <w:rPr>
          <w:rStyle w:val="NormalTok"/>
        </w:rPr>
        <w:t xml:space="preserve"> </w:t>
      </w:r>
      <w:r>
        <w:rPr>
          <w:rStyle w:val="FloatTok"/>
        </w:rPr>
        <w:t xml:space="preserve">19.59</w:t>
      </w:r>
      <w:r>
        <w:br/>
      </w:r>
      <w:r>
        <w:rPr>
          <w:rStyle w:val="NormalTok"/>
        </w:rPr>
        <w:t xml:space="preserve">N </w:t>
      </w:r>
      <w:r>
        <w:rPr>
          <w:rStyle w:val="OtherTok"/>
        </w:rPr>
        <w:t xml:space="preserve">=</w:t>
      </w:r>
      <w:r>
        <w:rPr>
          <w:rStyle w:val="NormalTok"/>
        </w:rPr>
        <w:t xml:space="preserve"> </w:t>
      </w:r>
      <w:r>
        <w:rPr>
          <w:rStyle w:val="DecValTok"/>
        </w:rPr>
        <w:t xml:space="preserve">96</w:t>
      </w:r>
      <w:r>
        <w:br/>
      </w:r>
      <w:r>
        <w:rPr>
          <w:rStyle w:val="NormalTok"/>
        </w:rPr>
        <w:t xml:space="preserve">R </w:t>
      </w:r>
      <w:r>
        <w:rPr>
          <w:rStyle w:val="OtherTok"/>
        </w:rPr>
        <w:t xml:space="preserve">=</w:t>
      </w:r>
      <w:r>
        <w:rPr>
          <w:rStyle w:val="NormalTok"/>
        </w:rPr>
        <w:t xml:space="preserve"> </w:t>
      </w:r>
      <w:r>
        <w:rPr>
          <w:rStyle w:val="FloatTok"/>
        </w:rPr>
        <w:t xml:space="preserve">0.4</w:t>
      </w:r>
      <w:r>
        <w:br/>
      </w:r>
      <w:r>
        <w:br/>
      </w:r>
      <w:r>
        <w:br/>
      </w:r>
      <w:r>
        <w:rPr>
          <w:rStyle w:val="CommentTok"/>
        </w:rPr>
        <w:t xml:space="preserve"># calculate lnRR and standard error</w:t>
      </w:r>
      <w:r>
        <w:br/>
      </w:r>
      <w:r>
        <w:rPr>
          <w:rStyle w:val="NormalTok"/>
        </w:rPr>
        <w:t xml:space="preserve">lnRRdep </w:t>
      </w:r>
      <w:r>
        <w:rPr>
          <w:rStyle w:val="OtherTok"/>
        </w:rPr>
        <w:t xml:space="preserve">&lt;-</w:t>
      </w:r>
      <w:r>
        <w:rPr>
          <w:rStyle w:val="NormalTok"/>
        </w:rPr>
        <w:t xml:space="preserve"> </w:t>
      </w:r>
      <w:r>
        <w:rPr>
          <w:rStyle w:val="FunctionTok"/>
        </w:rPr>
        <w:t xml:space="preserve">escalc</w:t>
      </w:r>
      <w:r>
        <w:rPr>
          <w:rStyle w:val="NormalTok"/>
        </w:rPr>
        <w:t xml:space="preserve">(</w:t>
      </w:r>
      <w:r>
        <w:rPr>
          <w:rStyle w:val="AttributeTok"/>
        </w:rPr>
        <w:t xml:space="preserve">measure =</w:t>
      </w:r>
      <w:r>
        <w:rPr>
          <w:rStyle w:val="NormalTok"/>
        </w:rPr>
        <w:t xml:space="preserve"> </w:t>
      </w:r>
      <w:r>
        <w:rPr>
          <w:rStyle w:val="StringTok"/>
        </w:rPr>
        <w:t xml:space="preserve">"ROMC"</w:t>
      </w:r>
      <w:r>
        <w:rPr>
          <w:rStyle w:val="NormalTok"/>
        </w:rPr>
        <w:t xml:space="preserve">, </w:t>
      </w:r>
      <w:r>
        <w:br/>
      </w:r>
      <w:r>
        <w:rPr>
          <w:rStyle w:val="NormalTok"/>
        </w:rPr>
        <w:t xml:space="preserve">               </w:t>
      </w:r>
      <w:r>
        <w:rPr>
          <w:rStyle w:val="AttributeTok"/>
        </w:rPr>
        <w:t xml:space="preserve">m1i =</w:t>
      </w:r>
      <w:r>
        <w:rPr>
          <w:rStyle w:val="NormalTok"/>
        </w:rPr>
        <w:t xml:space="preserve"> M1,</w:t>
      </w:r>
      <w:r>
        <w:br/>
      </w:r>
      <w:r>
        <w:rPr>
          <w:rStyle w:val="NormalTok"/>
        </w:rPr>
        <w:t xml:space="preserve">               </w:t>
      </w:r>
      <w:r>
        <w:rPr>
          <w:rStyle w:val="AttributeTok"/>
        </w:rPr>
        <w:t xml:space="preserve">m2i =</w:t>
      </w:r>
      <w:r>
        <w:rPr>
          <w:rStyle w:val="NormalTok"/>
        </w:rPr>
        <w:t xml:space="preserve"> M2,</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ni =</w:t>
      </w:r>
      <w:r>
        <w:rPr>
          <w:rStyle w:val="NormalTok"/>
        </w:rPr>
        <w:t xml:space="preserve"> N,</w:t>
      </w:r>
      <w:r>
        <w:br/>
      </w:r>
      <w:r>
        <w:rPr>
          <w:rStyle w:val="NormalTok"/>
        </w:rPr>
        <w:t xml:space="preserve">               </w:t>
      </w:r>
      <w:r>
        <w:rPr>
          <w:rStyle w:val="AttributeTok"/>
        </w:rPr>
        <w:t xml:space="preserve">ri =</w:t>
      </w:r>
      <w:r>
        <w:rPr>
          <w:rStyle w:val="NormalTok"/>
        </w:rPr>
        <w:t xml:space="preserve"> R)</w:t>
      </w:r>
      <w:r>
        <w:br/>
      </w:r>
      <w:r>
        <w:br/>
      </w:r>
      <w:r>
        <w:rPr>
          <w:rStyle w:val="CommentTok"/>
        </w:rPr>
        <w:t xml:space="preserve"># obtain standard error from sqrt of sampling variance</w:t>
      </w:r>
      <w:r>
        <w:br/>
      </w:r>
      <w:r>
        <w:rPr>
          <w:rStyle w:val="NormalTok"/>
        </w:rPr>
        <w:t xml:space="preserve">lnRRdep</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(lnRRdep</w:t>
      </w:r>
      <w:r>
        <w:rPr>
          <w:rStyle w:val="SpecialCharTok"/>
        </w:rPr>
        <w:t xml:space="preserve">$</w:t>
      </w:r>
      <w:r>
        <w:rPr>
          <w:rStyle w:val="NormalTok"/>
        </w:rPr>
        <w:t xml:space="preserve">vi)</w:t>
      </w:r>
      <w:r>
        <w:br/>
      </w:r>
      <w:r>
        <w:br/>
      </w:r>
      <w:r>
        <w:br/>
      </w:r>
      <w:r>
        <w:rPr>
          <w:rStyle w:val="CommentTok"/>
        </w:rPr>
        <w:t xml:space="preserve"># calculate confidence interval</w:t>
      </w:r>
      <w:r>
        <w:br/>
      </w:r>
      <w:r>
        <w:rPr>
          <w:rStyle w:val="NormalTok"/>
        </w:rPr>
        <w:t xml:space="preserve">lnRRdep</w:t>
      </w:r>
      <w:r>
        <w:rPr>
          <w:rStyle w:val="SpecialCharTok"/>
        </w:rPr>
        <w:t xml:space="preserve">$</w:t>
      </w:r>
      <w:r>
        <w:rPr>
          <w:rStyle w:val="NormalTok"/>
        </w:rPr>
        <w:t xml:space="preserve">CIlow </w:t>
      </w:r>
      <w:r>
        <w:rPr>
          <w:rStyle w:val="OtherTok"/>
        </w:rPr>
        <w:t xml:space="preserve">&lt;-</w:t>
      </w:r>
      <w:r>
        <w:rPr>
          <w:rStyle w:val="NormalTok"/>
        </w:rPr>
        <w:t xml:space="preserve"> lnRRdep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lnRRdep</w:t>
      </w:r>
      <w:r>
        <w:rPr>
          <w:rStyle w:val="SpecialCharTok"/>
        </w:rPr>
        <w:t xml:space="preserve">$</w:t>
      </w:r>
      <w:r>
        <w:rPr>
          <w:rStyle w:val="NormalTok"/>
        </w:rPr>
        <w:t xml:space="preserve">SE</w:t>
      </w:r>
      <w:r>
        <w:br/>
      </w:r>
      <w:r>
        <w:rPr>
          <w:rStyle w:val="NormalTok"/>
        </w:rPr>
        <w:t xml:space="preserve">lnRRdep</w:t>
      </w:r>
      <w:r>
        <w:rPr>
          <w:rStyle w:val="SpecialCharTok"/>
        </w:rPr>
        <w:t xml:space="preserve">$</w:t>
      </w:r>
      <w:r>
        <w:rPr>
          <w:rStyle w:val="NormalTok"/>
        </w:rPr>
        <w:t xml:space="preserve">CIhigh </w:t>
      </w:r>
      <w:r>
        <w:rPr>
          <w:rStyle w:val="OtherTok"/>
        </w:rPr>
        <w:t xml:space="preserve">&lt;-</w:t>
      </w:r>
      <w:r>
        <w:rPr>
          <w:rStyle w:val="NormalTok"/>
        </w:rPr>
        <w:t xml:space="preserve">  lnRRdep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lnRRdep</w:t>
      </w:r>
      <w:r>
        <w:rPr>
          <w:rStyle w:val="SpecialCharTok"/>
        </w:rPr>
        <w:t xml:space="preserve">$</w:t>
      </w:r>
      <w:r>
        <w:rPr>
          <w:rStyle w:val="NormalTok"/>
        </w:rPr>
        <w:t xml:space="preserve">SE</w:t>
      </w:r>
      <w:r>
        <w:br/>
      </w:r>
      <w:r>
        <w:br/>
      </w:r>
      <w:r>
        <w:br/>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lnRRdep =</w:t>
      </w:r>
      <w:r>
        <w:rPr>
          <w:rStyle w:val="NormalTok"/>
        </w:rPr>
        <w:t xml:space="preserve"> MOTE</w:t>
      </w:r>
      <w:r>
        <w:rPr>
          <w:rStyle w:val="SpecialCharTok"/>
        </w:rPr>
        <w:t xml:space="preserve">::</w:t>
      </w:r>
      <w:r>
        <w:rPr>
          <w:rStyle w:val="FunctionTok"/>
        </w:rPr>
        <w:t xml:space="preserve">apa</w:t>
      </w:r>
      <w:r>
        <w:rPr>
          <w:rStyle w:val="NormalTok"/>
        </w:rPr>
        <w:t xml:space="preserve">(lnRRdep</w:t>
      </w:r>
      <w:r>
        <w:rPr>
          <w:rStyle w:val="SpecialCharTok"/>
        </w:rPr>
        <w:t xml:space="preserve">$</w:t>
      </w:r>
      <w:r>
        <w:rPr>
          <w:rStyle w:val="NormalTok"/>
        </w:rPr>
        <w:t xml:space="preserve">yi),</w:t>
      </w:r>
      <w:r>
        <w:br/>
      </w:r>
      <w:r>
        <w:rPr>
          <w:rStyle w:val="NormalTok"/>
        </w:rPr>
        <w:t xml:space="preserve">           </w:t>
      </w:r>
      <w:r>
        <w:rPr>
          <w:rStyle w:val="AttributeTok"/>
        </w:rPr>
        <w:t xml:space="preserve">lnRRdep_low =</w:t>
      </w:r>
      <w:r>
        <w:rPr>
          <w:rStyle w:val="NormalTok"/>
        </w:rPr>
        <w:t xml:space="preserve"> MOTE</w:t>
      </w:r>
      <w:r>
        <w:rPr>
          <w:rStyle w:val="SpecialCharTok"/>
        </w:rPr>
        <w:t xml:space="preserve">::</w:t>
      </w:r>
      <w:r>
        <w:rPr>
          <w:rStyle w:val="FunctionTok"/>
        </w:rPr>
        <w:t xml:space="preserve">apa</w:t>
      </w:r>
      <w:r>
        <w:rPr>
          <w:rStyle w:val="NormalTok"/>
        </w:rPr>
        <w:t xml:space="preserve">(lnRRdep</w:t>
      </w:r>
      <w:r>
        <w:rPr>
          <w:rStyle w:val="SpecialCharTok"/>
        </w:rPr>
        <w:t xml:space="preserve">$</w:t>
      </w:r>
      <w:r>
        <w:rPr>
          <w:rStyle w:val="NormalTok"/>
        </w:rPr>
        <w:t xml:space="preserve">CIlow),</w:t>
      </w:r>
      <w:r>
        <w:br/>
      </w:r>
      <w:r>
        <w:rPr>
          <w:rStyle w:val="NormalTok"/>
        </w:rPr>
        <w:t xml:space="preserve">           </w:t>
      </w:r>
      <w:r>
        <w:rPr>
          <w:rStyle w:val="AttributeTok"/>
        </w:rPr>
        <w:t xml:space="preserve">lnRRdep_high =</w:t>
      </w:r>
      <w:r>
        <w:rPr>
          <w:rStyle w:val="NormalTok"/>
        </w:rPr>
        <w:t xml:space="preserve"> MOTE</w:t>
      </w:r>
      <w:r>
        <w:rPr>
          <w:rStyle w:val="SpecialCharTok"/>
        </w:rPr>
        <w:t xml:space="preserve">::</w:t>
      </w:r>
      <w:r>
        <w:rPr>
          <w:rStyle w:val="FunctionTok"/>
        </w:rPr>
        <w:t xml:space="preserve">apa</w:t>
      </w:r>
      <w:r>
        <w:rPr>
          <w:rStyle w:val="NormalTok"/>
        </w:rPr>
        <w:t xml:space="preserve">(lnRRdep</w:t>
      </w:r>
      <w:r>
        <w:rPr>
          <w:rStyle w:val="SpecialCharTok"/>
        </w:rPr>
        <w:t xml:space="preserve">$</w:t>
      </w:r>
      <w:r>
        <w:rPr>
          <w:rStyle w:val="NormalTok"/>
        </w:rPr>
        <w:t xml:space="preserve">CIhigh))</w:t>
      </w:r>
    </w:p>
    <w:p>
      <w:pPr>
        <w:pStyle w:val="SourceCode"/>
      </w:pPr>
      <w:r>
        <w:rPr>
          <w:rStyle w:val="VerbatimChar"/>
        </w:rPr>
        <w:t xml:space="preserve">  lnRRdep lnRRdep_low lnRRdep_high</w:t>
      </w:r>
      <w:r>
        <w:br/>
      </w:r>
      <w:r>
        <w:rPr>
          <w:rStyle w:val="VerbatimChar"/>
        </w:rPr>
        <w:t xml:space="preserve">1   0.351       0.167        0.535</w:t>
      </w:r>
    </w:p>
    <w:p>
      <w:pPr>
        <w:pStyle w:val="FirstParagraph"/>
      </w:pPr>
      <w:r>
        <w:t xml:space="preserve">The example shwos a natural log response ratio of</w:t>
      </w:r>
      <w:r>
        <w:t xml:space="preserve"> </w:t>
      </w:r>
      <m:oMath>
        <m:r>
          <m:t>l</m:t>
        </m:r>
        <m:r>
          <m:t>n</m:t>
        </m:r>
        <m:r>
          <m:t>R</m:t>
        </m:r>
        <m:sSub>
          <m:e>
            <m:r>
              <m:t>R</m:t>
            </m:r>
          </m:e>
          <m:sub>
            <m:r>
              <m:rPr>
                <m:nor/>
                <m:sty m:val="p"/>
              </m:rPr>
              <m:t>dep</m:t>
            </m:r>
          </m:sub>
        </m:sSub>
      </m:oMath>
      <w:r>
        <w:t xml:space="preserve"> </w:t>
      </w:r>
      <w:r>
        <w:t xml:space="preserve">= 0.35 [0.17, 0.54].</w:t>
      </w:r>
    </w:p>
    <w:bookmarkEnd w:id="103"/>
    <w:bookmarkEnd w:id="104"/>
    <w:bookmarkEnd w:id="105"/>
    <w:bookmarkStart w:id="110" w:name="Xd66ac7d3670ee7ff99efbb3673e9bae8cf091e0"/>
    <w:p>
      <w:pPr>
        <w:pStyle w:val="Heading1"/>
      </w:pPr>
      <w:r>
        <w:t xml:space="preserve">9. 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 continuous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9.1</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109" w:name="fig-cor-example"/>
          <w:p>
            <w:pPr>
              <w:jc w:val="center"/>
            </w:pPr>
            <w:r>
              <w:drawing>
                <wp:inline>
                  <wp:extent cx="5334000" cy="5334000"/>
                  <wp:effectExtent b="0" l="0" r="0" t="0"/>
                  <wp:docPr descr="" title="" id="107" name="Picture"/>
                  <a:graphic>
                    <a:graphicData uri="http://schemas.openxmlformats.org/drawingml/2006/picture">
                      <pic:pic>
                        <pic:nvPicPr>
                          <pic:cNvPr descr="Correlations_files/figure-docx/fig-cor-example-1.png" id="108" name="Picture"/>
                          <pic:cNvPicPr>
                            <a:picLocks noChangeArrowheads="1" noChangeAspect="1"/>
                          </pic:cNvPicPr>
                        </pic:nvPicPr>
                        <pic:blipFill>
                          <a:blip r:embed="rId10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9.1: Simulated data from a bivariate normal distribution displaying 6 different correlations, r = 0, .20, .40, .60, .80, and 1.00.</w:t>
            </w:r>
          </w:p>
          <w:bookmarkEnd w:id="109"/>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rad>
            <m:radPr>
              <m:degHide m:val="1"/>
            </m:radPr>
            <m:deg/>
            <m:e>
              <m:f>
                <m:fPr>
                  <m:type m:val="bar"/>
                </m:fPr>
                <m:num>
                  <m:sSup>
                    <m:e>
                      <m:d>
                        <m:dPr>
                          <m:begChr m:val="("/>
                          <m:endChr m:val=")"/>
                          <m:sepChr m:val=""/>
                          <m:grow/>
                        </m:dPr>
                        <m:e>
                          <m:r>
                            <m:t>1</m:t>
                          </m:r>
                          <m:r>
                            <m:rPr>
                              <m:sty m:val="p"/>
                            </m:rPr>
                            <m:t>−</m:t>
                          </m:r>
                          <m:sSup>
                            <m:e>
                              <m:r>
                                <m:t>r</m:t>
                              </m:r>
                            </m:e>
                            <m:sup>
                              <m:r>
                                <m:t>2</m:t>
                              </m:r>
                            </m:sup>
                          </m:sSup>
                        </m:e>
                      </m:d>
                    </m:e>
                    <m:sup>
                      <m:r>
                        <m:t>2</m:t>
                      </m:r>
                    </m:sup>
                  </m:sSup>
                </m:num>
                <m:den>
                  <m:r>
                    <m:t>n</m:t>
                  </m:r>
                  <m:r>
                    <m:rPr>
                      <m:sty m:val="p"/>
                    </m:rPr>
                    <m:t>−</m:t>
                  </m:r>
                  <m:r>
                    <m:t>1</m:t>
                  </m:r>
                </m:den>
              </m:f>
            </m:e>
          </m:rad>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 is symmetric and approximately normal. Instead, to obtain the confidence intervals of</w:t>
      </w:r>
      <w:r>
        <w:t xml:space="preserve"> </w:t>
      </w:r>
      <m:oMath>
        <m:r>
          <m:t>r</m:t>
        </m:r>
      </m:oMath>
      <w:r>
        <w:t xml:space="preserve">, we first need to apply a Fisher’s Z transformation. A Fisher’s Z transformation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sSub>
          <m:e>
            <m:r>
              <m:t>Z</m:t>
            </m:r>
          </m:e>
          <m:sub>
            <m:r>
              <m:t>r</m:t>
            </m:r>
          </m:sub>
        </m:sSub>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 We can also back-transform the confidence into a Pearson correlation scale,</w:t>
      </w:r>
    </w:p>
    <w:p>
      <w:pPr>
        <w:pStyle w:val="BodyText"/>
      </w:pPr>
      <m:oMathPara>
        <m:oMathParaPr>
          <m:jc m:val="center"/>
        </m:oMathParaPr>
        <m:oMath>
          <m:r>
            <m:t>C</m:t>
          </m:r>
          <m:sSub>
            <m:e>
              <m:r>
                <m:t>I</m:t>
              </m:r>
            </m:e>
            <m:sub>
              <m:r>
                <m:t>r</m:t>
              </m:r>
            </m:sub>
          </m:sSub>
          <m:r>
            <m:rPr>
              <m:sty m:val="p"/>
            </m:rPr>
            <m:t>=</m:t>
          </m:r>
          <m:r>
            <m:rPr>
              <m:nor/>
              <m:sty m:val="p"/>
            </m:rPr>
            <m:t>tanh</m:t>
          </m:r>
          <m:d>
            <m:dPr>
              <m:begChr m:val="("/>
              <m:endChr m:val=")"/>
              <m:sepChr m:val=""/>
              <m:grow/>
            </m:dPr>
            <m:e>
              <m:sSub>
                <m:e>
                  <m:r>
                    <m:t>Z</m:t>
                  </m:r>
                </m:e>
                <m:sub>
                  <m:r>
                    <m:t>r</m:t>
                  </m:r>
                </m:sub>
              </m:sSub>
              <m:r>
                <m:rPr>
                  <m:sty m:val="p"/>
                </m:rPr>
                <m:t>±</m:t>
              </m:r>
              <m:r>
                <m:t>1.96</m:t>
              </m:r>
              <m:r>
                <m:rPr>
                  <m:sty m:val="p"/>
                </m:rPr>
                <m:t>×</m:t>
              </m:r>
              <m:r>
                <m:t>S</m:t>
              </m:r>
              <m:sSub>
                <m:e>
                  <m:r>
                    <m:t>E</m:t>
                  </m:r>
                </m:e>
                <m:sub>
                  <m:sSub>
                    <m:e>
                      <m:r>
                        <m:t>Z</m:t>
                      </m:r>
                    </m:e>
                    <m:sub>
                      <m:r>
                        <m:t>r</m:t>
                      </m:r>
                    </m:sub>
                  </m:sSub>
                </m:sub>
              </m:sSub>
            </m:e>
          </m:d>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MOTE</w:t>
      </w:r>
      <w:r>
        <w:rPr>
          <w:rStyle w:val="SpecialCharTok"/>
        </w:rPr>
        <w:t xml:space="preserve">::</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MOTE</w:t>
      </w:r>
      <w:r>
        <w:rPr>
          <w:rStyle w:val="SpecialCharTok"/>
        </w:rPr>
        <w:t xml:space="preserve">::</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MOTE</w:t>
      </w:r>
      <w:r>
        <w:rPr>
          <w:rStyle w:val="SpecialCharTok"/>
        </w:rPr>
        <w:t xml:space="preserve">::</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110"/>
    <w:bookmarkStart w:id="122" w:name="effect-sizes-for-categorical-variables"/>
    <w:p>
      <w:pPr>
        <w:pStyle w:val="Heading1"/>
      </w:pPr>
      <w:r>
        <w:t xml:space="preserve">10. 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112" w:name="phi-coefficient-phi"/>
    <w:p>
      <w:pPr>
        <w:pStyle w:val="Heading2"/>
      </w:pPr>
      <w:r>
        <w:t xml:space="preserve">10.1 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10.1</w:t>
        </w:r>
      </w:hyperlink>
      <w:r>
        <w:t xml:space="preserve">.</w:t>
      </w:r>
    </w:p>
    <w:bookmarkStart w:id="111" w:name="tbl-contingency"/>
    <w:p>
      <w:pPr>
        <w:pStyle w:val="TableCaption"/>
      </w:pPr>
      <w:r>
        <w:t xml:space="preserve">Table 10.1: Contingency table between two binary variables</w:t>
      </w:r>
    </w:p>
    <w:tbl>
      <w:tblPr>
        <w:tblStyle w:val="Table"/>
        <w:tblW w:type="auto" w:w="0"/>
        <w:tblLook w:firstRow="1" w:lastRow="0" w:firstColumn="0" w:lastColumn="0" w:noHBand="0" w:noVBand="0" w:val="0020"/>
        <w:jc w:val="start"/>
        <w:tblCaption w:val="Table 10.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111"/>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r>
        <w:t xml:space="preserve"> </w:t>
      </w:r>
      <w:r>
        <w:t xml:space="preserve">(adapted from equation 1, Guilford 1965)</w:t>
      </w:r>
      <w:r>
        <w:t xml:space="preserve">,</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r>
        <w:t xml:space="preserve"> </w:t>
      </w:r>
      <w:r>
        <w:t xml:space="preserve">(equation 7.2.5, Cohen 1988)</w:t>
      </w:r>
      <w:r>
        <w:t xml:space="preserve">,</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NormalTok"/>
        </w:rPr>
        <w:t xml:space="preserve">phi_coefficient</w:t>
      </w:r>
    </w:p>
    <w:p>
      <w:pPr>
        <w:pStyle w:val="SourceCode"/>
      </w:pPr>
      <w:r>
        <w:rPr>
          <w:rStyle w:val="VerbatimChar"/>
        </w:rPr>
        <w:t xml:space="preserve">Phi (adj.) |       95% CI</w:t>
      </w:r>
      <w:r>
        <w:br/>
      </w:r>
      <w:r>
        <w:rPr>
          <w:rStyle w:val="VerbatimChar"/>
        </w:rPr>
        <w:t xml:space="preserve">-------------------------</w:t>
      </w:r>
      <w:r>
        <w:br/>
      </w:r>
      <w:r>
        <w:rPr>
          <w:rStyle w:val="VerbatimChar"/>
        </w:rPr>
        <w:t xml:space="preserve">0.50       | [0.31, 0.69]</w:t>
      </w:r>
    </w:p>
    <w:p>
      <w:pPr>
        <w:pStyle w:val="FirstParagraph"/>
      </w:pPr>
      <w:r>
        <w:t xml:space="preserve">In our example we obtained a phi coefficient of</w:t>
      </w:r>
      <w:r>
        <w:t xml:space="preserve"> </w:t>
      </w:r>
      <m:oMath>
        <m:r>
          <m:t>ϕ</m:t>
        </m:r>
      </m:oMath>
      <w:r>
        <w:t xml:space="preserve"> </w:t>
      </w:r>
      <w:r>
        <w:t xml:space="preserve">= .50 [0.31, 0.69].</w:t>
      </w:r>
    </w:p>
    <w:bookmarkEnd w:id="112"/>
    <w:bookmarkStart w:id="114" w:name="cramers-v"/>
    <w:p>
      <w:pPr>
        <w:pStyle w:val="Heading2"/>
      </w:pPr>
      <w:r>
        <w:t xml:space="preserve">10.2 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10.2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113" w:name="tbl-contingency-2"/>
    <w:p>
      <w:pPr>
        <w:pStyle w:val="TableCaption"/>
      </w:pPr>
      <w:r>
        <w:t xml:space="preserve">Table 10.2: Contingency table between two categorical variables</w:t>
      </w:r>
    </w:p>
    <w:tbl>
      <w:tblPr>
        <w:tblStyle w:val="Table"/>
        <w:tblW w:type="auto" w:w="0"/>
        <w:tblLook w:firstRow="1" w:lastRow="0" w:firstColumn="0" w:lastColumn="0" w:noHBand="0" w:noVBand="0" w:val="0020"/>
        <w:jc w:val="start"/>
        <w:tblCaption w:val="Table 10.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113"/>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w:t>
      </w:r>
      <w:r>
        <w:t xml:space="preserve"> </w:t>
      </w:r>
      <m:oMath>
        <m:r>
          <m:t>3</m:t>
        </m:r>
        <m:r>
          <m:rPr>
            <m:sty m:val="p"/>
          </m:rPr>
          <m:t>×</m:t>
        </m:r>
        <m:r>
          <m:t>4</m:t>
        </m:r>
      </m:oMath>
      <w:r>
        <w:t xml:space="preserve"> </w:t>
      </w:r>
      <w:r>
        <w:t xml:space="preserve">contingency table,</w:t>
      </w:r>
      <w:r>
        <w:t xml:space="preserve"> </w:t>
      </w:r>
      <m:oMath>
        <m:r>
          <m:t>k</m:t>
        </m:r>
      </m:oMath>
      <w:r>
        <w:t xml:space="preserve"> </w:t>
      </w:r>
      <w:r>
        <w:t xml:space="preserve">would be equal to 3). Cramer’s</w:t>
      </w:r>
      <w:r>
        <w:t xml:space="preserve"> </w:t>
      </w:r>
      <m:oMath>
        <m:r>
          <m:t>V</m:t>
        </m:r>
      </m:oMath>
      <w:r>
        <w:t xml:space="preserve"> </w:t>
      </w:r>
      <w:r>
        <w:t xml:space="preserve">is defined as</w:t>
      </w:r>
      <w:r>
        <w:t xml:space="preserve"> </w:t>
      </w:r>
      <w:r>
        <w:t xml:space="preserve">(equation 7.2.6, Cohen 1988)</w:t>
      </w:r>
      <w:r>
        <w:t xml:space="preserve">,</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sSup>
                    <m:e>
                      <m:d>
                        <m:dPr>
                          <m:begChr m:val="("/>
                          <m:endChr m:val=")"/>
                          <m:sepChr m:val=""/>
                          <m:grow/>
                        </m:dPr>
                        <m:e>
                          <m:r>
                            <m:t>1</m:t>
                          </m:r>
                          <m:r>
                            <m:rPr>
                              <m:sty m:val="p"/>
                            </m:rPr>
                            <m:t>−</m:t>
                          </m:r>
                          <m:sSup>
                            <m:e>
                              <m:r>
                                <m:t>V</m:t>
                              </m:r>
                            </m:e>
                            <m:sup>
                              <m:r>
                                <m:t>2</m:t>
                              </m:r>
                            </m:sup>
                          </m:sSup>
                        </m:e>
                      </m:d>
                    </m:e>
                    <m:sup>
                      <m:r>
                        <m:t>2</m:t>
                      </m:r>
                    </m:sup>
                  </m:sSup>
                </m:num>
                <m:den>
                  <m:r>
                    <m:t>n</m:t>
                  </m:r>
                  <m:r>
                    <m:rPr>
                      <m:sty m:val="p"/>
                    </m:rPr>
                    <m:t>−</m:t>
                  </m:r>
                  <m:r>
                    <m:t>1</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95% confidence interval for</w:t>
      </w:r>
      <w:r>
        <w:t xml:space="preserve"> </w:t>
      </w:r>
      <m:oMath>
        <m:r>
          <m:t>V</m:t>
        </m:r>
      </m:oMath>
      <w:r>
        <w:t xml:space="preserve"> </w:t>
      </w:r>
      <w:r>
        <w:t xml:space="preserve">by back-transforming the confidence interval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r>
            <m:t>C</m:t>
          </m:r>
          <m:sSub>
            <m:e>
              <m:r>
                <m:t>I</m:t>
              </m:r>
            </m:e>
            <m:sub>
              <m:r>
                <m:t>V</m:t>
              </m:r>
            </m:sub>
          </m:sSub>
          <m:r>
            <m:rPr>
              <m:sty m:val="p"/>
            </m:rPr>
            <m:t>=</m:t>
          </m:r>
          <m:r>
            <m:rPr>
              <m:sty m:val="p"/>
            </m:rPr>
            <m:t>tanh</m:t>
          </m:r>
          <m:d>
            <m:dPr>
              <m:begChr m:val="("/>
              <m:endChr m:val=")"/>
              <m:sepChr m:val=""/>
              <m:grow/>
            </m:dPr>
            <m:e>
              <m:sSub>
                <m:e>
                  <m:r>
                    <m:t>Z</m:t>
                  </m:r>
                </m:e>
                <m:sub>
                  <m:r>
                    <m:t>V</m:t>
                  </m:r>
                </m:sub>
              </m:sSub>
              <m:r>
                <m:rPr>
                  <m:sty m:val="p"/>
                </m:rPr>
                <m:t>±</m:t>
              </m:r>
              <m:r>
                <m:t>1.96</m:t>
              </m:r>
              <m:r>
                <m:rPr>
                  <m:sty m:val="p"/>
                </m:rPr>
                <m:t>×</m:t>
              </m:r>
              <m:r>
                <m:t>S</m:t>
              </m:r>
              <m:sSub>
                <m:e>
                  <m:r>
                    <m:t>E</m:t>
                  </m:r>
                </m:e>
                <m:sub>
                  <m:sSub>
                    <m:e>
                      <m:r>
                        <m:t>Z</m:t>
                      </m:r>
                    </m:e>
                    <m:sub>
                      <m:r>
                        <m:t>V</m:t>
                      </m:r>
                    </m:sub>
                  </m:sSub>
                </m:sub>
              </m:sSub>
            </m:e>
          </m:d>
        </m:oMath>
      </m:oMathPara>
    </w:p>
    <w:p>
      <w:pPr>
        <w:pStyle w:val="FirstParagraph"/>
      </w:pPr>
      <w:r>
        <w:t xml:space="preserve">Using the</w:t>
      </w:r>
      <w:r>
        <w:t xml:space="preserve"> </w:t>
      </w:r>
      <w:r>
        <w:rPr>
          <w:rStyle w:val="VerbatimChar"/>
        </w:rPr>
        <w:t xml:space="preserve">ufs</w:t>
      </w:r>
      <w:r>
        <w:t xml:space="preserve"> </w:t>
      </w:r>
      <w:r>
        <w:t xml:space="preserve">package</w:t>
      </w:r>
      <w:r>
        <w:t xml:space="preserve"> </w:t>
      </w:r>
      <w:r>
        <w:t xml:space="preserve">(Peters and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 </w:t>
      </w:r>
      <m:oMath>
        <m:r>
          <m:rPr>
            <m:sty m:val="p"/>
          </m:rPr>
          <m:t>×</m:t>
        </m:r>
      </m:oMath>
      <w:r>
        <w:t xml:space="preserve"> </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MOTE</w:t>
      </w:r>
      <w:r>
        <w:rPr>
          <w:rStyle w:val="SpecialCharTok"/>
        </w:rPr>
        <w:t xml:space="preserve">::</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114"/>
    <w:bookmarkStart w:id="115" w:name="cohens-h"/>
    <w:p>
      <w:pPr>
        <w:pStyle w:val="Heading2"/>
      </w:pPr>
      <w:r>
        <w:t xml:space="preserve">10.3 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r>
        <w:t xml:space="preserve"> </w:t>
      </w:r>
      <w:r>
        <w:t xml:space="preserve">(equation 6.2.1, Cohen 1988)</w:t>
      </w:r>
      <w:r>
        <w:t xml:space="preserve">:</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r>
        <w:t xml:space="preserve"> </w:t>
      </w:r>
      <w:r>
        <w:t xml:space="preserve">(equation 6.2.2, Cohen 1988)</w:t>
      </w:r>
      <w:r>
        <w:t xml:space="preserve">:</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from the standard error,</w:t>
      </w:r>
    </w:p>
    <w:p>
      <w:pPr>
        <w:pStyle w:val="BodyText"/>
      </w:pPr>
      <m:oMathPara>
        <m:oMathParaPr>
          <m:jc m:val="center"/>
        </m:oMathParaPr>
        <m:oMath>
          <m:r>
            <m:t>C</m:t>
          </m:r>
          <m:sSub>
            <m:e>
              <m:r>
                <m:t>I</m:t>
              </m:r>
            </m:e>
            <m:sub>
              <m:r>
                <m:t>h</m:t>
              </m:r>
            </m:sub>
          </m:sSub>
          <m:r>
            <m:rPr>
              <m:sty m:val="p"/>
            </m:rPr>
            <m:t>=</m:t>
          </m:r>
          <m:r>
            <m:t>h</m:t>
          </m:r>
          <m:r>
            <m:rPr>
              <m:sty m:val="p"/>
            </m:rPr>
            <m:t>±</m:t>
          </m:r>
          <m:r>
            <m:t>1.96</m:t>
          </m:r>
          <m:r>
            <m:rPr>
              <m:sty m:val="p"/>
            </m:rPr>
            <m:t>×</m:t>
          </m:r>
          <m:r>
            <m:t>S</m:t>
          </m:r>
          <m:sSub>
            <m:e>
              <m:r>
                <m:t>E</m:t>
              </m:r>
            </m:e>
            <m:sub>
              <m:r>
                <m:t>h</m:t>
              </m:r>
            </m:sub>
          </m:sSub>
        </m:oMath>
      </m:oMathPara>
    </w:p>
    <w:p>
      <w:pPr>
        <w:pStyle w:val="FirstParagraph"/>
      </w:pPr>
      <w:r>
        <w:t xml:space="preserve">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115"/>
    <w:bookmarkStart w:id="116" w:name="cohens-w"/>
    <w:p>
      <w:pPr>
        <w:pStyle w:val="Heading2"/>
      </w:pPr>
      <w:r>
        <w:t xml:space="preserve">10.4 Cohen’s</w:t>
      </w:r>
      <w:r>
        <w:t xml:space="preserve"> </w:t>
      </w:r>
      <m:oMath>
        <m:r>
          <m:t>w</m:t>
        </m:r>
      </m:oMath>
    </w:p>
    <w:p>
      <w:pPr>
        <w:pStyle w:val="FirstParagraph"/>
      </w:pPr>
      <w:r>
        <w:t xml:space="preserve">Cohen’s</w:t>
      </w:r>
      <w:r>
        <w:t xml:space="preserve"> </w:t>
      </w:r>
      <m:oMath>
        <m:r>
          <m:t>w</m:t>
        </m:r>
      </m:oMath>
      <w:r>
        <w:t xml:space="preserve"> </w:t>
      </w:r>
      <w:r>
        <w:t xml:space="preserve">is a measurem of association analogous to the phi coefficient but on tables that are larger than 2x2. Although Cohen’s</w:t>
      </w:r>
      <w:r>
        <w:t xml:space="preserve"> </w:t>
      </w:r>
      <m:oMath>
        <m:r>
          <m:t>w</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w</m:t>
        </m:r>
      </m:oMath>
      <w:r>
        <w:t xml:space="preserve">] lacks familiarity and convenience</w:t>
      </w:r>
    </w:p>
    <w:p>
      <w:pPr>
        <w:pStyle w:val="FirstParagraph"/>
      </w:pPr>
      <w:r>
        <w:t xml:space="preserve">Cohen’s</w:t>
      </w:r>
      <w:r>
        <w:t xml:space="preserve"> </w:t>
      </w:r>
      <m:oMath>
        <m:r>
          <m:t>w</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r>
        <w:t xml:space="preserve"> </w:t>
      </w:r>
      <w:r>
        <w:t xml:space="preserve">(equation 7.2.5, Cohen 1988)</w:t>
      </w:r>
      <w:r>
        <w:t xml:space="preserve">,</w:t>
      </w:r>
    </w:p>
    <w:p>
      <w:pPr>
        <w:pStyle w:val="BodyText"/>
      </w:pPr>
      <m:oMathPara>
        <m:oMathParaPr>
          <m:jc m:val="center"/>
        </m:oMathParaPr>
        <m:oMath>
          <m:r>
            <m:t>w</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 </w:t>
      </w:r>
      <w:r>
        <w:t xml:space="preserve">(equation 7.2.7, Cohen 1988)</w:t>
      </w:r>
      <w:r>
        <w:t xml:space="preserve">,</w:t>
      </w:r>
    </w:p>
    <w:p>
      <w:pPr>
        <w:pStyle w:val="BodyText"/>
      </w:pPr>
      <m:oMathPara>
        <m:oMathParaPr>
          <m:jc m:val="center"/>
        </m:oMathParaPr>
        <m:oMath>
          <m:r>
            <m:t>w</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 We can use the</w:t>
      </w:r>
      <w:r>
        <w:t xml:space="preserve"> </w:t>
      </w:r>
      <w:r>
        <w:rPr>
          <w:rStyle w:val="VerbatimChar"/>
        </w:rPr>
        <w:t xml:space="preserve">cohens_w()</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CommentTok"/>
        </w:rPr>
        <w:t xml:space="preserve"># Example contingency table</w:t>
      </w:r>
      <w:r>
        <w:br/>
      </w:r>
      <w:r>
        <w:rPr>
          <w:rStyle w:val="CommentTok"/>
        </w:rPr>
        <w:t xml:space="preserve"># 40 14</w:t>
      </w:r>
      <w:r>
        <w:br/>
      </w:r>
      <w:r>
        <w:rPr>
          <w:rStyle w:val="CommentTok"/>
        </w:rPr>
        <w:t xml:space="preserve"># 11 27</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Cohen's w |       95% CI</w:t>
      </w:r>
      <w:r>
        <w:br/>
      </w:r>
      <w:r>
        <w:rPr>
          <w:rStyle w:val="VerbatimChar"/>
        </w:rPr>
        <w:t xml:space="preserve">------------------------</w:t>
      </w:r>
      <w:r>
        <w:br/>
      </w:r>
      <w:r>
        <w:rPr>
          <w:rStyle w:val="VerbatimChar"/>
        </w:rPr>
        <w:t xml:space="preserve">0.45      | [0.24, 0.65]</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w</m:t>
        </m:r>
      </m:oMath>
      <w:r>
        <w:t xml:space="preserve"> </w:t>
      </w:r>
      <w:r>
        <w:t xml:space="preserve">value of</w:t>
      </w:r>
      <w:r>
        <w:t xml:space="preserve"> </w:t>
      </w:r>
      <m:oMath>
        <m:r>
          <m:t>w</m:t>
        </m:r>
      </m:oMath>
      <w:r>
        <w:t xml:space="preserve"> </w:t>
      </w:r>
      <w:r>
        <w:t xml:space="preserve">= .45 [0.24, 0.65].</w:t>
      </w:r>
    </w:p>
    <w:bookmarkEnd w:id="116"/>
    <w:bookmarkStart w:id="117" w:name="ben-shachars-fei-פ"/>
    <w:p>
      <w:pPr>
        <w:pStyle w:val="Heading2"/>
      </w:pPr>
      <w:r>
        <w:t xml:space="preserve">10.5 Ben-Shachar’s Fei (פ)</w:t>
      </w:r>
    </w:p>
    <w:p>
      <w:pPr>
        <w:pStyle w:val="FirstParagraph"/>
      </w:pPr>
      <w:r>
        <w:t xml:space="preserve">Ben-Shachar et al. (2023)</w:t>
      </w:r>
      <w:r>
        <w:t xml:space="preserve"> </w:t>
      </w:r>
      <w:r>
        <w:t xml:space="preserve">introduced a new effect size for one-dimensional tables of counts/proportions that they label with the Hebrew letter, פ. Ben-Shachar’s פ is a correction to Cohen’s</w:t>
      </w:r>
      <w:r>
        <w:t xml:space="preserve"> </w:t>
      </w:r>
      <m:oMath>
        <m:r>
          <m:t>w</m:t>
        </m:r>
      </m:oMath>
      <w:r>
        <w:t xml:space="preserve"> </w:t>
      </w:r>
      <w:r>
        <w:t xml:space="preserve">that adjusts for the expected value and consequently bounds the value between 0 and 1. The equation for פ is defined as,</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The formula for Ben-Schachar’s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Ben-Shachar’s פ using the</w:t>
      </w:r>
      <w:r>
        <w:t xml:space="preserve"> </w:t>
      </w:r>
      <w:r>
        <w:rPr>
          <w:rStyle w:val="VerbatimChar"/>
        </w:rPr>
        <w:t xml:space="preserve">fei()</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fei</w:t>
      </w:r>
      <w:r>
        <w:t xml:space="preserve"> </w:t>
      </w:r>
      <w:r>
        <w:t xml:space="preserve">function returned Ben-Shachar’s פ value of .39 [0.31, 0.47].</w:t>
      </w:r>
    </w:p>
    <w:bookmarkEnd w:id="117"/>
    <w:bookmarkStart w:id="119" w:name="odds-ratio-or"/>
    <w:p>
      <w:pPr>
        <w:pStyle w:val="Heading2"/>
      </w:pPr>
      <w:r>
        <w:t xml:space="preserve">10.6 Odds Ratio (</w:t>
      </w:r>
      <m:oMath>
        <m:r>
          <m:t>O</m:t>
        </m:r>
        <m:r>
          <m:t>R</m:t>
        </m:r>
      </m:oMath>
      <w:r>
        <w:t xml:space="preserve">)</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10.3</w:t>
        </w:r>
      </w:hyperlink>
      <w:r>
        <w:t xml:space="preserve">).</w:t>
      </w:r>
    </w:p>
    <w:bookmarkStart w:id="118" w:name="tbl-contingency-OR"/>
    <w:p>
      <w:pPr>
        <w:pStyle w:val="TableCaption"/>
      </w:pPr>
      <w:r>
        <w:t xml:space="preserve">Table 10.3: Contingency table between two binary variables</w:t>
      </w:r>
    </w:p>
    <w:tbl>
      <w:tblPr>
        <w:tblStyle w:val="Table"/>
        <w:tblW w:type="auto" w:w="0"/>
        <w:tblLook w:firstRow="1" w:lastRow="0" w:firstColumn="0" w:lastColumn="0" w:noHBand="0" w:noVBand="0" w:val="0020"/>
        <w:jc w:val="start"/>
        <w:tblCaption w:val="Table 10.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118"/>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confidence interval of the odds ratio by back-transforming using the exponential function,</w:t>
      </w:r>
    </w:p>
    <w:p>
      <w:pPr>
        <w:pStyle w:val="BodyText"/>
      </w:pPr>
      <m:oMathPara>
        <m:oMathParaPr>
          <m:jc m:val="center"/>
        </m:oMathParaPr>
        <m:oMath>
          <m:r>
            <m:t>C</m:t>
          </m:r>
          <m:sSub>
            <m:e>
              <m:r>
                <m:t>I</m:t>
              </m:r>
            </m:e>
            <m:sub>
              <m:r>
                <m:t>O</m:t>
              </m:r>
              <m:r>
                <m:t>R</m:t>
              </m:r>
            </m:sub>
          </m:sSub>
          <m:r>
            <m:rPr>
              <m:sty m:val="p"/>
            </m:rPr>
            <m:t>=</m:t>
          </m:r>
          <m:r>
            <m:rPr>
              <m:sty m:val="p"/>
            </m:rPr>
            <m:t>exp</m:t>
          </m:r>
          <m:d>
            <m:dPr>
              <m:begChr m:val="("/>
              <m:endChr m:val=")"/>
              <m:sepChr m:val=""/>
              <m:grow/>
            </m:dPr>
            <m:e>
              <m:r>
                <m:t>L</m:t>
              </m:r>
              <m:r>
                <m:t>O</m:t>
              </m:r>
              <m:r>
                <m:t>R</m:t>
              </m:r>
              <m:r>
                <m:rPr>
                  <m:sty m:val="p"/>
                </m:rPr>
                <m:t>±</m:t>
              </m:r>
              <m:r>
                <m:t>1.96</m:t>
              </m:r>
              <m:r>
                <m:rPr>
                  <m:sty m:val="p"/>
                </m:rPr>
                <m:t>×</m:t>
              </m:r>
              <m:r>
                <m:t>S</m:t>
              </m:r>
              <m:sSub>
                <m:e>
                  <m:r>
                    <m:t>E</m:t>
                  </m:r>
                </m:e>
                <m:sub>
                  <m:r>
                    <m:t>L</m:t>
                  </m:r>
                  <m:r>
                    <m:t>O</m:t>
                  </m:r>
                  <m:r>
                    <m:t>R</m:t>
                  </m:r>
                </m:sub>
              </m:sSub>
            </m:e>
          </m:d>
        </m:oMath>
      </m:oMathPara>
    </w:p>
    <w:p>
      <w:pPr>
        <w:pStyle w:val="FirstParagraph"/>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119"/>
    <w:bookmarkStart w:id="120" w:name="risk-difference-rd"/>
    <w:p>
      <w:pPr>
        <w:pStyle w:val="Heading2"/>
      </w:pPr>
      <w:r>
        <w:t xml:space="preserve">10.7 Risk Difference (</w:t>
      </w:r>
      <m:oMath>
        <m:r>
          <m:t>R</m:t>
        </m:r>
        <m:r>
          <m:t>D</m:t>
        </m:r>
      </m:oMath>
      <w:r>
        <w:t xml:space="preserv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10.3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w:t>
      </w:r>
    </w:p>
    <w:p>
      <w:pPr>
        <w:pStyle w:val="BodyText"/>
      </w:pPr>
      <m:oMathPara>
        <m:oMathParaPr>
          <m:jc m:val="center"/>
        </m:oMathParaPr>
        <m:oMath>
          <m:r>
            <m:t>C</m:t>
          </m:r>
          <m:sSub>
            <m:e>
              <m:r>
                <m:t>I</m:t>
              </m:r>
            </m:e>
            <m:sub>
              <m:r>
                <m:t>R</m:t>
              </m:r>
              <m:r>
                <m:t>D</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MOTE</w:t>
      </w:r>
      <w:r>
        <w:rPr>
          <w:rStyle w:val="SpecialCharTok"/>
        </w:rPr>
        <w:t xml:space="preserve">::</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MOTE</w:t>
      </w:r>
      <w:r>
        <w:rPr>
          <w:rStyle w:val="SpecialCharTok"/>
        </w:rPr>
        <w:t xml:space="preserve">::</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MOTE</w:t>
      </w:r>
      <w:r>
        <w:rPr>
          <w:rStyle w:val="SpecialCharTok"/>
        </w:rPr>
        <w:t xml:space="preserve">::</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120"/>
    <w:bookmarkStart w:id="121" w:name="relative-risk-rr"/>
    <w:p>
      <w:pPr>
        <w:pStyle w:val="Heading2"/>
      </w:pPr>
      <w:r>
        <w:t xml:space="preserve">10.8 Relative Risk (</w:t>
      </w:r>
      <m:oMath>
        <m:r>
          <m:t>R</m:t>
        </m:r>
        <m:r>
          <m:t>R</m:t>
        </m:r>
      </m:oMath>
      <w:r>
        <w:t xml:space="preserve">)</w:t>
      </w:r>
    </w:p>
    <w:p>
      <w:pPr>
        <w:pStyle w:val="FirstParagraph"/>
      </w:pPr>
      <w:r>
        <w:t xml:space="preserve">The relative risk, often referred to as the</w:t>
      </w:r>
      <w:r>
        <w:t xml:space="preserve"> </w:t>
      </w:r>
      <w:r>
        <w:t xml:space="preserve">“</w:t>
      </w:r>
      <w:r>
        <w:t xml:space="preserve">risk ratio,</w:t>
      </w:r>
      <w:r>
        <w:t xml:space="preserve">”</w:t>
      </w:r>
      <w:r>
        <w:t xml:space="preserve"> </w:t>
      </w:r>
      <w:r>
        <w:t xml:space="preserve">calculates the ratio between the proportion of cases in the treatment group and the proportion of cases in the control group. It provides a straightforward interpretation:</w:t>
      </w:r>
      <w:r>
        <w:t xml:space="preserve"> </w:t>
      </w:r>
      <w:r>
        <w:t xml:space="preserve">“</w:t>
      </w:r>
      <w:r>
        <w:t xml:space="preserve">individuals receiving the treatment have a</w:t>
      </w:r>
      <w:r>
        <w:t xml:space="preserve"> </w:t>
      </w:r>
      <m:oMath>
        <m:r>
          <m:t>R</m:t>
        </m:r>
        <m:r>
          <m:t>R</m:t>
        </m:r>
      </m:oMath>
      <w:r>
        <w:t xml:space="preserve"> </w:t>
      </w:r>
      <w:r>
        <w:t xml:space="preserve">times higher odds of experiencing the outcome compared to controls.</w:t>
      </w:r>
      <w:r>
        <w:t xml:space="preserve">”</w:t>
      </w:r>
      <w:r>
        <w:t xml:space="preserve"> </w:t>
      </w:r>
      <w:r>
        <w:t xml:space="preserve">To calculate relative riskm, first we need to calculate the proportion of outcome cases in the treatment and control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we can calculate the relative risk,</w:t>
      </w:r>
    </w:p>
    <w:p>
      <w:pPr>
        <w:pStyle w:val="BodyText"/>
      </w:pPr>
      <m:oMathPara>
        <m:oMathParaPr>
          <m:jc m:val="center"/>
        </m:oMathParaPr>
        <m:oMath>
          <m:r>
            <m:t>R</m:t>
          </m:r>
          <m:r>
            <m:t>R</m:t>
          </m:r>
          <m:r>
            <m:rPr>
              <m:sty m:val="p"/>
            </m:rPr>
            <m:t>=</m:t>
          </m:r>
          <m:f>
            <m:fPr>
              <m:type m:val="bar"/>
            </m:fPr>
            <m:num>
              <m:sSub>
                <m:e>
                  <m:r>
                    <m:t>p</m:t>
                  </m:r>
                </m:e>
                <m:sub>
                  <m:r>
                    <m:t>T</m:t>
                  </m:r>
                </m:sub>
              </m:sSub>
            </m:num>
            <m:den>
              <m:sSub>
                <m:e>
                  <m:r>
                    <m:t>p</m:t>
                  </m:r>
                </m:e>
                <m:sub>
                  <m:r>
                    <m:t>C</m:t>
                  </m:r>
                </m:sub>
              </m:sSub>
            </m:den>
          </m:f>
        </m:oMath>
      </m:oMathPara>
    </w:p>
    <w:p>
      <w:pPr>
        <w:pStyle w:val="FirstParagraph"/>
      </w:pPr>
      <w:r>
        <w:t xml:space="preserve">The corresponding standard error can be computed as,</w:t>
      </w:r>
    </w:p>
    <w:p>
      <w:pPr>
        <w:pStyle w:val="BodyText"/>
      </w:pPr>
      <m:oMathPara>
        <m:oMathParaPr>
          <m:jc m:val="center"/>
        </m:oMathParaPr>
        <m:oMath>
          <m:r>
            <m:t>S</m:t>
          </m:r>
          <m:sSub>
            <m:e>
              <m:r>
                <m:t>E</m:t>
              </m:r>
            </m:e>
            <m:sub>
              <m:r>
                <m:t>R</m:t>
              </m:r>
              <m:r>
                <m:t>R</m:t>
              </m:r>
            </m:sub>
          </m:sSub>
          <m:r>
            <m:rPr>
              <m:sty m:val="p"/>
            </m:rPr>
            <m:t>=</m:t>
          </m:r>
          <m:rad>
            <m:radPr>
              <m:degHide m:val="1"/>
            </m:radPr>
            <m:deg/>
            <m:e>
              <m:f>
                <m:fPr>
                  <m:type m:val="bar"/>
                </m:fPr>
                <m:num>
                  <m:sSub>
                    <m:e>
                      <m:r>
                        <m:t>p</m:t>
                      </m:r>
                    </m:e>
                    <m:sub>
                      <m:r>
                        <m:t>T</m:t>
                      </m:r>
                    </m:sub>
                  </m:sSub>
                </m:num>
                <m:den>
                  <m:sSub>
                    <m:e>
                      <m:r>
                        <m:t>n</m:t>
                      </m:r>
                    </m:e>
                    <m:sub>
                      <m:r>
                        <m:t>T</m:t>
                      </m:r>
                    </m:sub>
                  </m:sSub>
                </m:den>
              </m:f>
              <m:r>
                <m:rPr>
                  <m:sty m:val="p"/>
                </m:rPr>
                <m:t>+</m:t>
              </m:r>
              <m:f>
                <m:fPr>
                  <m:type m:val="bar"/>
                </m:fPr>
                <m:num>
                  <m:sSub>
                    <m:e>
                      <m:r>
                        <m:t>p</m:t>
                      </m:r>
                    </m:e>
                    <m:sub>
                      <m:r>
                        <m:t>C</m:t>
                      </m:r>
                    </m:sub>
                  </m:sSub>
                </m:num>
                <m:den>
                  <m:sSub>
                    <m:e>
                      <m:r>
                        <m:t>n</m:t>
                      </m:r>
                    </m:e>
                    <m:sub>
                      <m:r>
                        <m:t>C</m:t>
                      </m:r>
                    </m:sub>
                  </m:sSub>
                </m:den>
              </m:f>
            </m:e>
          </m:rad>
        </m:oMath>
      </m:oMathPara>
    </w:p>
    <w:p>
      <w:pPr>
        <w:pStyle w:val="FirstParagraph"/>
      </w:pPr>
      <w:r>
        <w:t xml:space="preserve">The confidence intervals can be computed from the standard error,</w:t>
      </w:r>
    </w:p>
    <w:p>
      <w:pPr>
        <w:pStyle w:val="BodyText"/>
      </w:pPr>
      <m:oMathPara>
        <m:oMathParaPr>
          <m:jc m:val="center"/>
        </m:oMathParaPr>
        <m:oMath>
          <m:r>
            <m:t>C</m:t>
          </m:r>
          <m:sSub>
            <m:e>
              <m:r>
                <m:t>I</m:t>
              </m:r>
            </m:e>
            <m:sub>
              <m:r>
                <m:t>R</m:t>
              </m:r>
              <m:r>
                <m:t>R</m:t>
              </m:r>
            </m:sub>
          </m:sSub>
          <m:r>
            <m:rPr>
              <m:sty m:val="p"/>
            </m:rPr>
            <m:t>=</m:t>
          </m:r>
          <m:r>
            <m:t>R</m:t>
          </m:r>
          <m:r>
            <m:t>R</m:t>
          </m:r>
          <m:r>
            <m:rPr>
              <m:sty m:val="p"/>
            </m:rPr>
            <m:t>±</m:t>
          </m:r>
          <m:r>
            <m:t>1.96</m:t>
          </m:r>
          <m:r>
            <m:rPr>
              <m:sty m:val="p"/>
            </m:rPr>
            <m:t>×</m:t>
          </m:r>
          <m:r>
            <m:t>S</m:t>
          </m:r>
          <m:sSub>
            <m:e>
              <m:r>
                <m:t>E</m:t>
              </m:r>
            </m:e>
            <m:sub>
              <m:r>
                <m:t>R</m:t>
              </m:r>
              <m:r>
                <m:t>R</m:t>
              </m:r>
            </m:sub>
          </m:sSub>
        </m:oMath>
      </m:oMathPara>
    </w:p>
    <w:p>
      <w:pPr>
        <w:pStyle w:val="FirstParagraph"/>
      </w:pPr>
      <w:r>
        <w:t xml:space="preserve">To compute relative risk, we can simply use the equations above in base R.</w:t>
      </w:r>
    </w:p>
    <w:p>
      <w:pPr>
        <w:pStyle w:val="SourceCode"/>
      </w:pPr>
      <w:r>
        <w:rPr>
          <w:rStyle w:val="CommentTok"/>
        </w:rPr>
        <w:t xml:space="preserve"># Example:</w:t>
      </w:r>
      <w:r>
        <w:br/>
      </w:r>
      <w:r>
        <w:rPr>
          <w:rStyle w:val="CommentTok"/>
        </w:rPr>
        <w:t xml:space="preserve"># Treatment Group: 10 diseased, 43 healthy, 53 total</w:t>
      </w:r>
      <w:r>
        <w:br/>
      </w:r>
      <w:r>
        <w:rPr>
          <w:rStyle w:val="CommentTok"/>
        </w:rPr>
        <w:t xml:space="preserve"># Control Group:  24 diseased, 41 healthy, 65 total</w:t>
      </w:r>
      <w:r>
        <w:br/>
      </w:r>
      <w:r>
        <w:br/>
      </w:r>
      <w:r>
        <w:rPr>
          <w:rStyle w:val="NormalTok"/>
        </w:rPr>
        <w:t xml:space="preserve">pT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DecValTok"/>
        </w:rPr>
        <w:t xml:space="preserve">43</w:t>
      </w:r>
      <w:r>
        <w:rPr>
          <w:rStyle w:val="SpecialCharTok"/>
        </w:rPr>
        <w:t xml:space="preserve">+</w:t>
      </w:r>
      <w:r>
        <w:rPr>
          <w:rStyle w:val="DecValTok"/>
        </w:rPr>
        <w:t xml:space="preserve">10</w:t>
      </w:r>
      <w:r>
        <w:rPr>
          <w:rStyle w:val="NormalTok"/>
        </w:rPr>
        <w:t xml:space="preserve">)</w:t>
      </w:r>
      <w:r>
        <w:br/>
      </w:r>
      <w:r>
        <w:rPr>
          <w:rStyle w:val="NormalTok"/>
        </w:rPr>
        <w:t xml:space="preserve">pC </w:t>
      </w:r>
      <w:r>
        <w:rPr>
          <w:rStyle w:val="OtherTok"/>
        </w:rPr>
        <w:t xml:space="preserve">&lt;-</w:t>
      </w:r>
      <w:r>
        <w:rPr>
          <w:rStyle w:val="NormalTok"/>
        </w:rPr>
        <w:t xml:space="preserve"> </w:t>
      </w:r>
      <w:r>
        <w:rPr>
          <w:rStyle w:val="DecValTok"/>
        </w:rPr>
        <w:t xml:space="preserve">24</w:t>
      </w:r>
      <w:r>
        <w:rPr>
          <w:rStyle w:val="SpecialCharTok"/>
        </w:rPr>
        <w:t xml:space="preserve">/</w:t>
      </w:r>
      <w:r>
        <w:rPr>
          <w:rStyle w:val="NormalTok"/>
        </w:rPr>
        <w:t xml:space="preserve">(</w:t>
      </w:r>
      <w:r>
        <w:rPr>
          <w:rStyle w:val="DecValTok"/>
        </w:rPr>
        <w:t xml:space="preserve">41</w:t>
      </w:r>
      <w:r>
        <w:rPr>
          <w:rStyle w:val="SpecialCharTok"/>
        </w:rPr>
        <w:t xml:space="preserve">+</w:t>
      </w:r>
      <w:r>
        <w:rPr>
          <w:rStyle w:val="DecValTok"/>
        </w:rPr>
        <w:t xml:space="preserve">24</w:t>
      </w:r>
      <w:r>
        <w:rPr>
          <w:rStyle w:val="NormalTok"/>
        </w:rPr>
        <w:t xml:space="preserve">)</w:t>
      </w:r>
      <w:r>
        <w:br/>
      </w:r>
      <w:r>
        <w:rPr>
          <w:rStyle w:val="NormalTok"/>
        </w:rPr>
        <w:t xml:space="preserve">nT </w:t>
      </w:r>
      <w:r>
        <w:rPr>
          <w:rStyle w:val="OtherTok"/>
        </w:rPr>
        <w:t xml:space="preserve">&lt;-</w:t>
      </w:r>
      <w:r>
        <w:rPr>
          <w:rStyle w:val="NormalTok"/>
        </w:rPr>
        <w:t xml:space="preserve"> </w:t>
      </w:r>
      <w:r>
        <w:rPr>
          <w:rStyle w:val="DecValTok"/>
        </w:rPr>
        <w:t xml:space="preserve">53</w:t>
      </w:r>
      <w:r>
        <w:br/>
      </w:r>
      <w:r>
        <w:rPr>
          <w:rStyle w:val="NormalTok"/>
        </w:rPr>
        <w:t xml:space="preserve">nC </w:t>
      </w:r>
      <w:r>
        <w:rPr>
          <w:rStyle w:val="OtherTok"/>
        </w:rPr>
        <w:t xml:space="preserve">&lt;-</w:t>
      </w:r>
      <w:r>
        <w:rPr>
          <w:rStyle w:val="NormalTok"/>
        </w:rPr>
        <w:t xml:space="preserve"> </w:t>
      </w:r>
      <w:r>
        <w:rPr>
          <w:rStyle w:val="DecValTok"/>
        </w:rPr>
        <w:t xml:space="preserve">65</w:t>
      </w:r>
      <w:r>
        <w:br/>
      </w:r>
      <w:r>
        <w:br/>
      </w:r>
      <w:r>
        <w:rPr>
          <w:rStyle w:val="NormalTok"/>
        </w:rPr>
        <w:t xml:space="preserve">RR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(pT</w:t>
      </w:r>
      <w:r>
        <w:rPr>
          <w:rStyle w:val="SpecialCharTok"/>
        </w:rPr>
        <w:t xml:space="preserve">/</w:t>
      </w:r>
      <w:r>
        <w:rPr>
          <w:rStyle w:val="NormalTok"/>
        </w:rPr>
        <w:t xml:space="preserve">nT </w:t>
      </w:r>
      <w:r>
        <w:rPr>
          <w:rStyle w:val="SpecialCharTok"/>
        </w:rPr>
        <w:t xml:space="preserve">+</w:t>
      </w:r>
      <w:r>
        <w:rPr>
          <w:rStyle w:val="NormalTok"/>
        </w:rPr>
        <w:t xml:space="preserve"> pC</w:t>
      </w:r>
      <w:r>
        <w:rPr>
          <w:rStyle w:val="SpecialCharTok"/>
        </w:rPr>
        <w:t xml:space="preserve">/</w:t>
      </w:r>
      <w:r>
        <w:rPr>
          <w:rStyle w:val="NormalTok"/>
        </w:rPr>
        <w:t xml:space="preserve">nC)</w:t>
      </w:r>
      <w:r>
        <w:br/>
      </w:r>
      <w:r>
        <w:br/>
      </w:r>
      <w:r>
        <w:rPr>
          <w:rStyle w:val="NormalTok"/>
        </w:rPr>
        <w:t xml:space="preserve">RRlow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RRhigh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RR =</w:t>
      </w:r>
      <w:r>
        <w:rPr>
          <w:rStyle w:val="NormalTok"/>
        </w:rPr>
        <w:t xml:space="preserve"> MOTE</w:t>
      </w:r>
      <w:r>
        <w:rPr>
          <w:rStyle w:val="SpecialCharTok"/>
        </w:rPr>
        <w:t xml:space="preserve">::</w:t>
      </w:r>
      <w:r>
        <w:rPr>
          <w:rStyle w:val="FunctionTok"/>
        </w:rPr>
        <w:t xml:space="preserve">apa</w:t>
      </w:r>
      <w:r>
        <w:rPr>
          <w:rStyle w:val="NormalTok"/>
        </w:rPr>
        <w:t xml:space="preserve">(RR), </w:t>
      </w:r>
      <w:r>
        <w:br/>
      </w:r>
      <w:r>
        <w:rPr>
          <w:rStyle w:val="NormalTok"/>
        </w:rPr>
        <w:t xml:space="preserve">           </w:t>
      </w:r>
      <w:r>
        <w:rPr>
          <w:rStyle w:val="AttributeTok"/>
        </w:rPr>
        <w:t xml:space="preserve">RRlow =</w:t>
      </w:r>
      <w:r>
        <w:rPr>
          <w:rStyle w:val="NormalTok"/>
        </w:rPr>
        <w:t xml:space="preserve"> MOTE</w:t>
      </w:r>
      <w:r>
        <w:rPr>
          <w:rStyle w:val="SpecialCharTok"/>
        </w:rPr>
        <w:t xml:space="preserve">::</w:t>
      </w:r>
      <w:r>
        <w:rPr>
          <w:rStyle w:val="FunctionTok"/>
        </w:rPr>
        <w:t xml:space="preserve">apa</w:t>
      </w:r>
      <w:r>
        <w:rPr>
          <w:rStyle w:val="NormalTok"/>
        </w:rPr>
        <w:t xml:space="preserve">(RRlow), </w:t>
      </w:r>
      <w:r>
        <w:br/>
      </w:r>
      <w:r>
        <w:rPr>
          <w:rStyle w:val="NormalTok"/>
        </w:rPr>
        <w:t xml:space="preserve">           </w:t>
      </w:r>
      <w:r>
        <w:rPr>
          <w:rStyle w:val="AttributeTok"/>
        </w:rPr>
        <w:t xml:space="preserve">RRhigh =</w:t>
      </w:r>
      <w:r>
        <w:rPr>
          <w:rStyle w:val="NormalTok"/>
        </w:rPr>
        <w:t xml:space="preserve"> MOTE</w:t>
      </w:r>
      <w:r>
        <w:rPr>
          <w:rStyle w:val="SpecialCharTok"/>
        </w:rPr>
        <w:t xml:space="preserve">::</w:t>
      </w:r>
      <w:r>
        <w:rPr>
          <w:rStyle w:val="FunctionTok"/>
        </w:rPr>
        <w:t xml:space="preserve">apa</w:t>
      </w:r>
      <w:r>
        <w:rPr>
          <w:rStyle w:val="NormalTok"/>
        </w:rPr>
        <w:t xml:space="preserve">(RRhigh))</w:t>
      </w:r>
    </w:p>
    <w:p>
      <w:pPr>
        <w:pStyle w:val="SourceCode"/>
      </w:pPr>
      <w:r>
        <w:rPr>
          <w:rStyle w:val="VerbatimChar"/>
        </w:rPr>
        <w:t xml:space="preserve">     RR RRlow RRhigh</w:t>
      </w:r>
      <w:r>
        <w:br/>
      </w:r>
      <w:r>
        <w:rPr>
          <w:rStyle w:val="VerbatimChar"/>
        </w:rPr>
        <w:t xml:space="preserve">1 0.511 0.323  0.699</w:t>
      </w:r>
    </w:p>
    <w:bookmarkEnd w:id="121"/>
    <w:bookmarkEnd w:id="122"/>
    <w:bookmarkStart w:id="163" w:name="effect-sizes-for-anovas"/>
    <w:p>
      <w:pPr>
        <w:pStyle w:val="Heading1"/>
      </w:pPr>
      <w:r>
        <w:t xml:space="preserve">11. Effect Sizes for ANOVAs</w:t>
      </w:r>
    </w:p>
    <w:bookmarkStart w:id="123" w:name="anovas"/>
    <w:p>
      <w:pPr>
        <w:pStyle w:val="Heading2"/>
      </w:pPr>
      <w:r>
        <w:t xml:space="preserve">11.1 ANOVAs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w:t>
      </w:r>
    </w:p>
    <w:p>
      <w:pPr>
        <w:pStyle w:val="BodyText"/>
      </w:pPr>
      <w:r>
        <w:t xml:space="preserve">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 t-statistic and p-value for each comparison. For this, you can calculate and report a standardized mean difference.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w:t>
      </w:r>
      <w:r>
        <w:t xml:space="preserve"> </w:t>
      </w:r>
      <w:r>
        <w:t xml:space="preserve">If the interaction is not significant, you look at the main effects and report the associated omnibus effect. You then proceed to analyze the main effect by comparing the levels of one IV while collapsing/aggregating the levels of the other IV. You will report d or g for these pairwise comparisons.</w:t>
      </w:r>
      <w:r>
        <w:t xml:space="preserve"> </w:t>
      </w: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bookmarkEnd w:id="123"/>
    <w:bookmarkStart w:id="127" w:name="sec-aov-table"/>
    <w:p>
      <w:pPr>
        <w:pStyle w:val="Heading2"/>
      </w:pPr>
      <w:r>
        <w:t xml:space="preserve">11.2 ANOVA tables</w:t>
      </w:r>
    </w:p>
    <w:p>
      <w:pPr>
        <w:pStyle w:val="FirstParagraph"/>
      </w:pPr>
      <w:r>
        <w:t xml:space="preserve">An ANOVA table generally consists of the grouping factors (+ residuals), the sum of squares, the degrees of freedom, the mean square, the F-statistic, and the p-value. Using base R, we can construct an ANOVA table using the</w:t>
      </w:r>
      <w:r>
        <w:t xml:space="preserve"> </w:t>
      </w:r>
      <w:r>
        <w:rPr>
          <w:rStyle w:val="VerbatimChar"/>
        </w:rPr>
        <w:t xml:space="preserve">aov()</w:t>
      </w:r>
      <w:r>
        <w:t xml:space="preserve"> </w:t>
      </w:r>
      <w:r>
        <w:t xml:space="preserve">function to generate the ANOVA model and then using</w:t>
      </w:r>
      <w:r>
        <w:t xml:space="preserve"> </w:t>
      </w:r>
      <w:r>
        <w:rPr>
          <w:rStyle w:val="VerbatimChar"/>
        </w:rPr>
        <w:t xml:space="preserve">summary.aov()</w:t>
      </w:r>
      <w:r>
        <w:t xml:space="preserve"> </w:t>
      </w:r>
      <w:r>
        <w:t xml:space="preserve">to extract the table. For an example case, we will use the</w:t>
      </w:r>
      <w:r>
        <w:t xml:space="preserve"> </w:t>
      </w:r>
      <w:r>
        <w:rPr>
          <w:rStyle w:val="VerbatimChar"/>
        </w:rPr>
        <w:t xml:space="preserve">palmerpenguins</w:t>
      </w:r>
      <w:r>
        <w:t xml:space="preserve"> </w:t>
      </w:r>
      <w:r>
        <w:t xml:space="preserve">data set package and we will investigate the differences in the body mass (the outcome) of three penguin species (the predictor/grouping variable):</w:t>
      </w:r>
    </w:p>
    <w:p>
      <w:pPr>
        <w:pStyle w:val="SourceCode"/>
      </w:pPr>
      <w:r>
        <w:rPr>
          <w:rStyle w:val="FunctionTok"/>
        </w:rPr>
        <w:t xml:space="preserve">library</w:t>
      </w:r>
      <w:r>
        <w:rPr>
          <w:rStyle w:val="NormalTok"/>
        </w:rPr>
        <w:t xml:space="preserve">(palmerpenguins)</w:t>
      </w:r>
      <w:r>
        <w:br/>
      </w:r>
      <w:r>
        <w:br/>
      </w:r>
      <w:r>
        <w:rPr>
          <w:rStyle w:val="CommentTok"/>
        </w:rPr>
        <w:t xml:space="preserve"># construct anova model </w:t>
      </w:r>
      <w:r>
        <w:br/>
      </w:r>
      <w:r>
        <w:rPr>
          <w:rStyle w:val="CommentTok"/>
        </w:rPr>
        <w:t xml:space="preserve"># formula structure: outcome ~ grouping variable</w:t>
      </w:r>
      <w:r>
        <w:br/>
      </w:r>
      <w:r>
        <w:rPr>
          <w:rStyle w:val="NormalTok"/>
        </w:rPr>
        <w:t xml:space="preserve">ANOVA_mdl </w:t>
      </w:r>
      <w:r>
        <w:rPr>
          <w:rStyle w:val="OtherTok"/>
        </w:rPr>
        <w:t xml:space="preserve">&lt;-</w:t>
      </w:r>
      <w:r>
        <w:rPr>
          <w:rStyle w:val="NormalTok"/>
        </w:rPr>
        <w:t xml:space="preserve"> </w:t>
      </w:r>
      <w:r>
        <w:rPr>
          <w:rStyle w:val="FunctionTok"/>
        </w:rPr>
        <w:t xml:space="preserve">aov</w:t>
      </w:r>
      <w:r>
        <w:rPr>
          <w:rStyle w:val="NormalTok"/>
        </w:rPr>
        <w:t xml:space="preserve">(body_mass_g </w:t>
      </w:r>
      <w:r>
        <w:rPr>
          <w:rStyle w:val="SpecialCharTok"/>
        </w:rPr>
        <w:t xml:space="preserve">~</w:t>
      </w:r>
      <w:r>
        <w:rPr>
          <w:rStyle w:val="NormalTok"/>
        </w:rPr>
        <w:t xml:space="preserve"> species, </w:t>
      </w:r>
      <w:r>
        <w:br/>
      </w:r>
      <w:r>
        <w:rPr>
          <w:rStyle w:val="NormalTok"/>
        </w:rPr>
        <w:t xml:space="preserve">                 </w:t>
      </w:r>
      <w:r>
        <w:rPr>
          <w:rStyle w:val="AttributeTok"/>
        </w:rPr>
        <w:t xml:space="preserve">data =</w:t>
      </w:r>
      <w:r>
        <w:rPr>
          <w:rStyle w:val="NormalTok"/>
        </w:rPr>
        <w:t xml:space="preserve"> penguins) </w:t>
      </w:r>
      <w:r>
        <w:rPr>
          <w:rStyle w:val="CommentTok"/>
        </w:rPr>
        <w:t xml:space="preserve"># dataset</w:t>
      </w:r>
      <w:r>
        <w:br/>
      </w:r>
      <w:r>
        <w:br/>
      </w:r>
      <w:r>
        <w:rPr>
          <w:rStyle w:val="NormalTok"/>
        </w:rPr>
        <w:t xml:space="preserve">ANOVA_table </w:t>
      </w:r>
      <w:r>
        <w:rPr>
          <w:rStyle w:val="OtherTok"/>
        </w:rPr>
        <w:t xml:space="preserve">&lt;-</w:t>
      </w:r>
      <w:r>
        <w:rPr>
          <w:rStyle w:val="NormalTok"/>
        </w:rPr>
        <w:t xml:space="preserve"> </w:t>
      </w:r>
      <w:r>
        <w:rPr>
          <w:rStyle w:val="FunctionTok"/>
        </w:rPr>
        <w:t xml:space="preserve">summary.aov</w:t>
      </w:r>
      <w:r>
        <w:rPr>
          <w:rStyle w:val="NormalTok"/>
        </w:rPr>
        <w:t xml:space="preserve">(ANOVA_mdl)</w:t>
      </w:r>
      <w:r>
        <w:br/>
      </w:r>
      <w:r>
        <w:rPr>
          <w:rStyle w:val="NormalTok"/>
        </w:rPr>
        <w:t xml:space="preserve">ANOVA_table</w:t>
      </w:r>
    </w:p>
    <w:p>
      <w:pPr>
        <w:pStyle w:val="SourceCode"/>
      </w:pPr>
      <w:r>
        <w:rPr>
          <w:rStyle w:val="VerbatimChar"/>
        </w:rPr>
        <w:t xml:space="preserve">             Df    Sum Sq  Mean Sq F value Pr(&gt;F)    </w:t>
      </w:r>
      <w:r>
        <w:br/>
      </w:r>
      <w:r>
        <w:rPr>
          <w:rStyle w:val="VerbatimChar"/>
        </w:rPr>
        <w:t xml:space="preserve">species       2 146864214 73432107   343.6 &lt;2e-16 ***</w:t>
      </w:r>
      <w:r>
        <w:br/>
      </w:r>
      <w:r>
        <w:rPr>
          <w:rStyle w:val="VerbatimChar"/>
        </w:rPr>
        <w:t xml:space="preserve">Residuals   339  72443483   213698                   </w:t>
      </w:r>
      <w:r>
        <w:br/>
      </w:r>
      <w:r>
        <w:rPr>
          <w:rStyle w:val="VerbatimChar"/>
        </w:rPr>
        <w:t xml:space="preserve">---</w:t>
      </w:r>
      <w:r>
        <w:br/>
      </w:r>
      <w:r>
        <w:rPr>
          <w:rStyle w:val="VerbatimChar"/>
        </w:rPr>
        <w:t xml:space="preserve">Signif. codes:  0 '***' 0.001 '**' 0.01 '*' 0.05 '.' 0.1 ' ' 1</w:t>
      </w:r>
      <w:r>
        <w:br/>
      </w:r>
      <w:r>
        <w:rPr>
          <w:rStyle w:val="VerbatimChar"/>
        </w:rPr>
        <w:t xml:space="preserve">2 observations deleted due to missingness</w:t>
      </w:r>
    </w:p>
    <w:p>
      <w:pPr>
        <w:pStyle w:val="FirstParagraph"/>
      </w:pPr>
      <w:r>
        <w:t xml:space="preserve">By default,</w:t>
      </w:r>
      <w:r>
        <w:t xml:space="preserve"> </w:t>
      </w:r>
      <w:r>
        <w:rPr>
          <w:rStyle w:val="VerbatimChar"/>
        </w:rPr>
        <w:t xml:space="preserve">summary.aov()</w:t>
      </w:r>
      <w:r>
        <w:t xml:space="preserve"> </w:t>
      </w:r>
      <w:r>
        <w:t xml:space="preserve">does not report the</w:t>
      </w:r>
      <w:r>
        <w:t xml:space="preserve"> </w:t>
      </w:r>
      <m:oMath>
        <m:sSup>
          <m:e>
            <m:r>
              <m:t>η</m:t>
            </m:r>
          </m:e>
          <m:sup>
            <m:r>
              <m:t>2</m:t>
            </m:r>
          </m:sup>
        </m:sSup>
      </m:oMath>
      <w:r>
        <w:t xml:space="preserve"> </w:t>
      </w:r>
      <w:r>
        <w:t xml:space="preserve">value, however we will discuss this more in</w:t>
      </w:r>
      <w:r>
        <w:t xml:space="preserve"> </w:t>
      </w:r>
      <w:hyperlink w:anchor="sec-eta-squared">
        <w:r>
          <w:rPr>
            <w:rStyle w:val="Hyperlink"/>
          </w:rPr>
          <w:t xml:space="preserve">Section 11.8.1</w:t>
        </w:r>
      </w:hyperlink>
      <w:r>
        <w:t xml:space="preserve">. The results show that the mean body mass between the three penguin species (Adelie, Gentoo, Chinstrap) differ significantly from one another.</w:t>
      </w:r>
    </w:p>
    <w:p>
      <w:pPr>
        <w:pStyle w:val="BodyText"/>
      </w:pPr>
      <w:r>
        <w:drawing>
          <wp:inline>
            <wp:extent cx="5334000" cy="4267200"/>
            <wp:effectExtent b="0" l="0" r="0" t="0"/>
            <wp:docPr descr="" title="" id="125" name="Picture"/>
            <a:graphic>
              <a:graphicData uri="http://schemas.openxmlformats.org/drawingml/2006/picture">
                <pic:pic>
                  <pic:nvPicPr>
                    <pic:cNvPr descr="Effect-Sizes-for-ANOVAs_files/figure-docx/unnamed-chunk-1-1.png" id="126"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p>
    <w:bookmarkEnd w:id="127"/>
    <w:bookmarkStart w:id="137" w:name="one-way-between-subjects-anova"/>
    <w:p>
      <w:pPr>
        <w:pStyle w:val="Heading2"/>
      </w:pPr>
      <w:r>
        <w:t xml:space="preserve">11.3 One-way between-subjects ANOVA</w:t>
      </w:r>
    </w:p>
    <w:p>
      <w:pPr>
        <w:pStyle w:val="FirstParagraph"/>
      </w:pPr>
      <w:r>
        <w:t xml:space="preserve">One-way between-subject ANOVA is an extension of independent-samples t-tests. The null hypothesis is that all k means of k independent groups are identical, whereas the alternative hypothesis is that there are at least two means from these k groups differ. The assumptions include: (1) independence of observations, (2) normality of residuals, and (3) equality (or homogeneity) of variances (homoscedasticity).</w:t>
      </w:r>
      <w:r>
        <w:rPr>
          <w:rStyle w:val="FootnoteReference"/>
        </w:rPr>
        <w:footnoteReference w:id="128"/>
      </w:r>
    </w:p>
    <w:p>
      <w:pPr>
        <w:pStyle w:val="BodyText"/>
      </w:pPr>
      <w:r>
        <w:t xml:space="preserve">Note. Sometimes you may encounter a between-subject one-way ANOVA which compares only two conditions, particularly when the paper is old. This is essentially a t-test, and the F-statistic is just t-squared. It is preferable to report Cohen’s d for these tests. If you are calculating the effect size for such tests, it’s best to calculate Cohen’s d, or convert the provided eta-squared to Cohen’s d, as Cohen’s d can show the direction of the effect. Subsequent analyses (e.g., power analysis) can also be based on Cohen’s d.</w:t>
      </w:r>
    </w:p>
    <w:p>
      <w:pPr>
        <w:pStyle w:val="BodyText"/>
      </w:pPr>
      <w:r>
        <w:t xml:space="preserve">It’s very easy to determine eta-squared with an F-statistic and the two degrees of freedom from a one-way ANOVA</w:t>
      </w:r>
      <w:r>
        <w:t xml:space="preserve"> </w:t>
      </w:r>
      <w:r>
        <w:rPr>
          <w:rStyle w:val="FootnoteReference"/>
        </w:rPr>
        <w:footnoteReference w:id="129"/>
      </w:r>
      <w:r>
        <w:t xml:space="preserve">.</w:t>
      </w:r>
      <w:r>
        <w:t xml:space="preserve"> </w:t>
      </w:r>
      <w:r>
        <w:rPr>
          <w:bCs/>
          <w:b/>
        </w:rPr>
        <w:t xml:space="preserve">Note that in the case of a one-way between-subject ANOVA, eta-squared is equal to partial eta-squared.</w:t>
      </w:r>
    </w:p>
    <w:bookmarkStart w:id="131" w:name="determining-degrees-of-freedom"/>
    <w:p>
      <w:pPr>
        <w:pStyle w:val="Heading3"/>
      </w:pPr>
      <w:r>
        <w:t xml:space="preserve">11.3.1 Determining degrees of freedom</w:t>
      </w:r>
    </w:p>
    <w:p>
      <w:pPr>
        <w:pStyle w:val="FirstParagraph"/>
      </w:pPr>
      <w:r>
        <w:t xml:space="preserve">Please refer to the following table to determine the degrees of freedom for ANOVA effects, if they are not reported or if you are doubtful that they have been misreported.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Between subjects ANOVA</w:t>
            </w:r>
          </w:p>
        </w:tc>
        <w:tc>
          <w:tcPr/>
          <w:p>
            <w:pPr>
              <w:pStyle w:val="Compact"/>
            </w:pPr>
          </w:p>
        </w:tc>
      </w:tr>
      <w:tr>
        <w:tc>
          <w:tcPr/>
          <w:p>
            <w:pPr>
              <w:pStyle w:val="Compact"/>
              <w:jc w:val="left"/>
            </w:pPr>
            <w:r>
              <w:t xml:space="preserve">Effect</w:t>
            </w:r>
          </w:p>
        </w:tc>
        <w:tc>
          <w:tcPr/>
          <w:p>
            <w:pPr>
              <w:pStyle w:val="Compact"/>
              <w:jc w:val="center"/>
            </w:pPr>
            <m:oMath>
              <m:r>
                <m:t>k</m:t>
              </m:r>
              <m:r>
                <m:rPr>
                  <m:sty m:val="p"/>
                </m:rPr>
                <m:t>−</m:t>
              </m:r>
              <m:r>
                <m:t>1</m:t>
              </m:r>
            </m:oMath>
          </w:p>
        </w:tc>
      </w:tr>
      <w:tr>
        <w:tc>
          <w:tcPr/>
          <w:p>
            <w:pPr>
              <w:pStyle w:val="Compact"/>
              <w:jc w:val="left"/>
            </w:pPr>
            <w:r>
              <w:t xml:space="preserve">Error</w:t>
            </w:r>
          </w:p>
        </w:tc>
        <w:tc>
          <w:tcPr/>
          <w:p>
            <w:pPr>
              <w:pStyle w:val="Compact"/>
              <w:jc w:val="center"/>
            </w:pPr>
            <m:oMath>
              <m:r>
                <m:t>n</m:t>
              </m:r>
              <m:r>
                <m:rPr>
                  <m:sty m:val="p"/>
                </m:rPr>
                <m:t>−</m:t>
              </m:r>
              <m:r>
                <m:t>k</m:t>
              </m:r>
            </m:oMath>
          </w:p>
        </w:tc>
      </w:tr>
      <w:tr>
        <w:tc>
          <w:tcPr/>
          <w:p>
            <w:pPr>
              <w:pStyle w:val="Compact"/>
              <w:jc w:val="left"/>
            </w:pPr>
            <w:r>
              <w:t xml:space="preserve">Total</w:t>
            </w:r>
          </w:p>
        </w:tc>
        <w:tc>
          <w:tcPr/>
          <w:p>
            <w:pPr>
              <w:pStyle w:val="Compact"/>
              <w:jc w:val="center"/>
            </w:pPr>
            <m:oMath>
              <m:r>
                <m:t>n</m:t>
              </m:r>
              <m:r>
                <m:rPr>
                  <m:sty m:val="p"/>
                </m:rPr>
                <m:t>−</m:t>
              </m:r>
              <m:r>
                <m:t>1</m:t>
              </m:r>
            </m:oMath>
          </w:p>
        </w:tc>
      </w:tr>
    </w:tbl>
    <w:bookmarkEnd w:id="131"/>
    <w:bookmarkStart w:id="132" w:name="X588ed57321cdf676983d8fb6cd9e0aed2cdd689"/>
    <w:p>
      <w:pPr>
        <w:pStyle w:val="Heading3"/>
      </w:pPr>
      <w:r>
        <w:t xml:space="preserve">11.3.2 Calculating eta-squared from F-statistic and degrees of freedom</w:t>
      </w:r>
    </w:p>
    <w:p>
      <w:pPr>
        <w:pStyle w:val="FirstParagraph"/>
      </w:pPr>
      <w:r>
        <w:t xml:space="preserve">Using the formula below, we can calculate</w:t>
      </w:r>
      <w:r>
        <w:t xml:space="preserve"> </w:t>
      </w:r>
      <m:oMath>
        <m:sSup>
          <m:e>
            <m:r>
              <m:t>η</m:t>
            </m:r>
          </m:e>
          <m:sup>
            <m:r>
              <m:t>2</m:t>
            </m:r>
          </m:sup>
        </m:sSup>
      </m:oMath>
      <w:r>
        <w:t xml:space="preserve"> </w:t>
      </w:r>
      <w:r>
        <w:t xml:space="preserve">of an ANOVA model using the F-statistic and the degrees of freedom,</w:t>
      </w:r>
    </w:p>
    <w:p>
      <w:pPr>
        <w:pStyle w:val="BodyText"/>
      </w:pPr>
      <m:oMathPara>
        <m:oMathParaPr>
          <m:jc m:val="center"/>
        </m:oMathParaPr>
        <m:oMath>
          <m:sSup>
            <m:e>
              <m:r>
                <m:t>η</m:t>
              </m:r>
            </m:e>
            <m:sup>
              <m:r>
                <m:t>2</m:t>
              </m:r>
            </m:sup>
          </m:sSup>
          <m:r>
            <m:rPr>
              <m:sty m:val="p"/>
            </m:rPr>
            <m:t>=</m:t>
          </m:r>
          <m:f>
            <m:fPr>
              <m:type m:val="bar"/>
            </m:fPr>
            <m:num>
              <m:r>
                <m:t>d</m:t>
              </m:r>
              <m:sSub>
                <m:e>
                  <m:r>
                    <m:t>f</m:t>
                  </m:r>
                </m:e>
                <m:sub>
                  <m:r>
                    <m:rPr>
                      <m:nor/>
                      <m:sty m:val="p"/>
                    </m:rPr>
                    <m:t>effect</m:t>
                  </m:r>
                </m:sub>
              </m:sSub>
              <m:r>
                <m:rPr>
                  <m:sty m:val="p"/>
                </m:rPr>
                <m:t>×</m:t>
              </m:r>
              <m:r>
                <m:t>F</m:t>
              </m:r>
            </m:num>
            <m:den>
              <m:r>
                <m:t>d</m:t>
              </m:r>
              <m:sSub>
                <m:e>
                  <m:r>
                    <m:t>f</m:t>
                  </m:r>
                </m:e>
                <m:sub>
                  <m:r>
                    <m:rPr>
                      <m:nor/>
                      <m:sty m:val="p"/>
                    </m:rPr>
                    <m:t>effect</m:t>
                  </m:r>
                </m:sub>
              </m:sSub>
              <m:r>
                <m:rPr>
                  <m:sty m:val="p"/>
                </m:rPr>
                <m:t>×</m:t>
              </m:r>
              <m:r>
                <m:t>F</m:t>
              </m:r>
              <m:r>
                <m:rPr>
                  <m:sty m:val="p"/>
                </m:rPr>
                <m:t>+</m:t>
              </m:r>
              <m:r>
                <m:t>d</m:t>
              </m:r>
              <m:sSub>
                <m:e>
                  <m:r>
                    <m:t>f</m:t>
                  </m:r>
                </m:e>
                <m:sub>
                  <m:r>
                    <m:rPr>
                      <m:nor/>
                      <m:sty m:val="p"/>
                    </m:rPr>
                    <m:t>error</m:t>
                  </m:r>
                </m:sub>
              </m:sSub>
            </m:den>
          </m:f>
          <m:r>
            <m:rPr>
              <m:sty m:val="p"/>
            </m:rPr>
            <m:t>.</m:t>
          </m:r>
        </m:oMath>
      </m:oMathPara>
    </w:p>
    <w:p>
      <w:pPr>
        <w:pStyle w:val="FirstParagraph"/>
      </w:pPr>
      <w:r>
        <w:t xml:space="preserve">In R, we can use the</w:t>
      </w:r>
      <w:r>
        <w:t xml:space="preserve"> </w:t>
      </w:r>
      <w:r>
        <w:rPr>
          <w:rStyle w:val="VerbatimChar"/>
        </w:rPr>
        <w:t xml:space="preserve">F_to_eta2()</w:t>
      </w:r>
      <w:r>
        <w:t xml:space="preserve"> </w:t>
      </w:r>
      <w:r>
        <w:t xml:space="preserve">function from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FunctionTok"/>
        </w:rPr>
        <w:t xml:space="preserve">library</w:t>
      </w:r>
      <w:r>
        <w:rPr>
          <w:rStyle w:val="NormalTok"/>
        </w:rPr>
        <w:t xml:space="preserve">(effectsize)</w:t>
      </w:r>
      <w:r>
        <w:br/>
      </w:r>
      <w:r>
        <w:br/>
      </w:r>
      <w:r>
        <w:rPr>
          <w:rStyle w:val="NormalTok"/>
        </w:rPr>
        <w:t xml:space="preserve">n </w:t>
      </w:r>
      <w:r>
        <w:rPr>
          <w:rStyle w:val="OtherTok"/>
        </w:rPr>
        <w:t xml:space="preserve">=</w:t>
      </w:r>
      <w:r>
        <w:rPr>
          <w:rStyle w:val="NormalTok"/>
        </w:rPr>
        <w:t xml:space="preserve"> </w:t>
      </w:r>
      <w:r>
        <w:rPr>
          <w:rStyle w:val="DecValTok"/>
        </w:rPr>
        <w:t xml:space="preserve">154</w:t>
      </w:r>
      <w:r>
        <w:rPr>
          <w:rStyle w:val="NormalTok"/>
        </w:rPr>
        <w:t xml:space="preserve"> </w:t>
      </w:r>
      <w:r>
        <w:rPr>
          <w:rStyle w:val="CommentTok"/>
        </w:rPr>
        <w:t xml:space="preserve"># number of subjects</w:t>
      </w:r>
      <w:r>
        <w:br/>
      </w:r>
      <w:r>
        <w:rPr>
          <w:rStyle w:val="NormalTok"/>
        </w:rPr>
        <w:t xml:space="preserve">k </w:t>
      </w:r>
      <w:r>
        <w:rPr>
          <w:rStyle w:val="OtherTok"/>
        </w:rPr>
        <w:t xml:space="preserve">=</w:t>
      </w:r>
      <w:r>
        <w:rPr>
          <w:rStyle w:val="NormalTok"/>
        </w:rPr>
        <w:t xml:space="preserve"> </w:t>
      </w:r>
      <w:r>
        <w:rPr>
          <w:rStyle w:val="DecValTok"/>
        </w:rPr>
        <w:t xml:space="preserve">3</w:t>
      </w:r>
      <w:r>
        <w:rPr>
          <w:rStyle w:val="NormalTok"/>
        </w:rPr>
        <w:t xml:space="preserve"> </w:t>
      </w:r>
      <w:r>
        <w:rPr>
          <w:rStyle w:val="CommentTok"/>
        </w:rPr>
        <w:t xml:space="preserve"># number of groups</w:t>
      </w:r>
      <w:r>
        <w:br/>
      </w:r>
      <w:r>
        <w:rPr>
          <w:rStyle w:val="NormalTok"/>
        </w:rPr>
        <w:t xml:space="preserve">f </w:t>
      </w:r>
      <w:r>
        <w:rPr>
          <w:rStyle w:val="OtherTok"/>
        </w:rPr>
        <w:t xml:space="preserve">=</w:t>
      </w:r>
      <w:r>
        <w:rPr>
          <w:rStyle w:val="NormalTok"/>
        </w:rPr>
        <w:t xml:space="preserve"> </w:t>
      </w:r>
      <w:r>
        <w:rPr>
          <w:rStyle w:val="FloatTok"/>
        </w:rPr>
        <w:t xml:space="preserve">84.3</w:t>
      </w:r>
      <w:r>
        <w:rPr>
          <w:rStyle w:val="NormalTok"/>
        </w:rPr>
        <w:t xml:space="preserve"> </w:t>
      </w:r>
      <w:r>
        <w:rPr>
          <w:rStyle w:val="CommentTok"/>
        </w:rPr>
        <w:t xml:space="preserve"># F-statistic</w:t>
      </w:r>
      <w:r>
        <w:br/>
      </w:r>
      <w:r>
        <w:br/>
      </w:r>
      <w:r>
        <w:rPr>
          <w:rStyle w:val="NormalTok"/>
        </w:rPr>
        <w:t xml:space="preserve">df_effect </w:t>
      </w:r>
      <w:r>
        <w:rPr>
          <w:rStyle w:val="Othe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br/>
      </w:r>
      <w:r>
        <w:rPr>
          <w:rStyle w:val="NormalTok"/>
        </w:rPr>
        <w:t xml:space="preserve">df_error </w:t>
      </w:r>
      <w:r>
        <w:rPr>
          <w:rStyle w:val="OtherTok"/>
        </w:rPr>
        <w:t xml:space="preserve">=</w:t>
      </w:r>
      <w:r>
        <w:rPr>
          <w:rStyle w:val="NormalTok"/>
        </w:rPr>
        <w:t xml:space="preserve"> n </w:t>
      </w:r>
      <w:r>
        <w:rPr>
          <w:rStyle w:val="SpecialCharTok"/>
        </w:rPr>
        <w:t xml:space="preserve">-</w:t>
      </w:r>
      <w:r>
        <w:rPr>
          <w:rStyle w:val="NormalTok"/>
        </w:rPr>
        <w:t xml:space="preserve"> k</w:t>
      </w:r>
      <w:r>
        <w:br/>
      </w:r>
      <w:r>
        <w:br/>
      </w:r>
      <w:r>
        <w:rPr>
          <w:rStyle w:val="FunctionTok"/>
        </w:rPr>
        <w:t xml:space="preserve">F_to_eta2</w:t>
      </w:r>
      <w:r>
        <w:rPr>
          <w:rStyle w:val="NormalTok"/>
        </w:rPr>
        <w:t xml:space="preserve">(</w:t>
      </w:r>
      <w:r>
        <w:rPr>
          <w:rStyle w:val="AttributeTok"/>
        </w:rPr>
        <w:t xml:space="preserve">f =</w:t>
      </w:r>
      <w:r>
        <w:rPr>
          <w:rStyle w:val="NormalTok"/>
        </w:rPr>
        <w:t xml:space="preserve"> f,</w:t>
      </w:r>
      <w:r>
        <w:br/>
      </w:r>
      <w:r>
        <w:rPr>
          <w:rStyle w:val="NormalTok"/>
        </w:rPr>
        <w:t xml:space="preserve">          </w:t>
      </w:r>
      <w:r>
        <w:rPr>
          <w:rStyle w:val="AttributeTok"/>
        </w:rPr>
        <w:t xml:space="preserve">df =</w:t>
      </w:r>
      <w:r>
        <w:rPr>
          <w:rStyle w:val="NormalTok"/>
        </w:rPr>
        <w:t xml:space="preserve"> df_effect,</w:t>
      </w:r>
      <w:r>
        <w:br/>
      </w:r>
      <w:r>
        <w:rPr>
          <w:rStyle w:val="NormalTok"/>
        </w:rPr>
        <w:t xml:space="preserve">          </w:t>
      </w:r>
      <w:r>
        <w:rPr>
          <w:rStyle w:val="AttributeTok"/>
        </w:rPr>
        <w:t xml:space="preserve">df_error =</w:t>
      </w:r>
      <w:r>
        <w:rPr>
          <w:rStyle w:val="NormalTok"/>
        </w:rPr>
        <w:t xml:space="preserve"> df_error,</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CommentTok"/>
        </w:rPr>
        <w:t xml:space="preserve"># obtain two sided CIs</w:t>
      </w:r>
    </w:p>
    <w:p>
      <w:pPr>
        <w:pStyle w:val="SourceCode"/>
      </w:pPr>
      <w:r>
        <w:rPr>
          <w:rStyle w:val="VerbatimChar"/>
        </w:rPr>
        <w:t xml:space="preserve">Eta2 (partial) |       95% CI</w:t>
      </w:r>
      <w:r>
        <w:br/>
      </w:r>
      <w:r>
        <w:rPr>
          <w:rStyle w:val="VerbatimChar"/>
        </w:rPr>
        <w:t xml:space="preserve">-----------------------------</w:t>
      </w:r>
      <w:r>
        <w:br/>
      </w:r>
      <w:r>
        <w:rPr>
          <w:rStyle w:val="VerbatimChar"/>
        </w:rPr>
        <w:t xml:space="preserve">0.53           | [0.42, 0.61]</w:t>
      </w:r>
    </w:p>
    <w:bookmarkEnd w:id="132"/>
    <w:bookmarkStart w:id="133" w:name="sec-eta-table"/>
    <w:p>
      <w:pPr>
        <w:pStyle w:val="Heading3"/>
      </w:pPr>
      <w:r>
        <w:t xml:space="preserve">11.3.3 Calculating eta-squared from an ANOVA table</w:t>
      </w:r>
    </w:p>
    <w:p>
      <w:pPr>
        <w:pStyle w:val="FirstParagraph"/>
      </w:pPr>
      <w:r>
        <w:t xml:space="preserve">Let’s use the table from the ANOVA model in</w:t>
      </w:r>
      <w:r>
        <w:t xml:space="preserve"> </w:t>
      </w:r>
      <w:hyperlink w:anchor="sec-aov-table">
        <w:r>
          <w:rPr>
            <w:rStyle w:val="Hyperlink"/>
          </w:rPr>
          <w:t xml:space="preserve">Section 11.2</w:t>
        </w:r>
      </w:hyperlink>
      <w:r>
        <w:t xml:space="preserve">:</w:t>
      </w:r>
    </w:p>
    <w:p>
      <w:pPr>
        <w:pStyle w:val="TableCaption"/>
      </w:pPr>
      <w:r>
        <w:t xml:space="preserve">One-way ANOVA table</w:t>
      </w:r>
    </w:p>
    <w:tbl>
      <w:tblPr>
        <w:tblStyle w:val="Table"/>
        <w:tblW w:type="auto" w:w="0"/>
        <w:tblLook w:firstRow="1" w:lastRow="0" w:firstColumn="0" w:lastColumn="0" w:noHBand="0" w:noVBand="0" w:val="0020"/>
        <w:jc w:val="start"/>
        <w:tblCaption w:val="One-way ANOVA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146864214</w:t>
            </w:r>
          </w:p>
        </w:tc>
        <w:tc>
          <w:tcPr/>
          <w:p>
            <w:pPr>
              <w:pStyle w:val="Compact"/>
              <w:jc w:val="right"/>
            </w:pPr>
            <w:r>
              <w:t xml:space="preserve">73432107.1</w:t>
            </w:r>
          </w:p>
        </w:tc>
        <w:tc>
          <w:tcPr/>
          <w:p>
            <w:pPr>
              <w:pStyle w:val="Compact"/>
              <w:jc w:val="right"/>
            </w:pPr>
            <w:r>
              <w:t xml:space="preserve">343.6263</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339</w:t>
            </w:r>
          </w:p>
        </w:tc>
        <w:tc>
          <w:tcPr/>
          <w:p>
            <w:pPr>
              <w:pStyle w:val="Compact"/>
              <w:jc w:val="right"/>
            </w:pPr>
            <w:r>
              <w:t xml:space="preserve">72443483</w:t>
            </w:r>
          </w:p>
        </w:tc>
        <w:tc>
          <w:tcPr/>
          <w:p>
            <w:pPr>
              <w:pStyle w:val="Compact"/>
              <w:jc w:val="right"/>
            </w:pPr>
            <w:r>
              <w:t xml:space="preserve">213697.6</w:t>
            </w:r>
          </w:p>
        </w:tc>
        <w:tc>
          <w:tcPr/>
          <w:p>
            <w:pPr>
              <w:pStyle w:val="Compact"/>
              <w:jc w:val="right"/>
            </w:pPr>
            <w:r>
              <w:t xml:space="preserve">NA</w:t>
            </w:r>
          </w:p>
        </w:tc>
        <w:tc>
          <w:tcPr/>
          <w:p>
            <w:pPr>
              <w:pStyle w:val="Compact"/>
              <w:jc w:val="right"/>
            </w:pPr>
            <w:r>
              <w:t xml:space="preserve">NA</w:t>
            </w:r>
          </w:p>
        </w:tc>
      </w:tr>
    </w:tbl>
    <w:p>
      <w:pPr>
        <w:pStyle w:val="BodyText"/>
      </w:pPr>
      <w:r>
        <w:t xml:space="preserve">From this table we can use the sum of squares from the grouping variable (species) and the total sum of squares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r>
        <w:t xml:space="preserve">) to calculate the</w:t>
      </w:r>
      <w:r>
        <w:t xml:space="preserve"> </w:t>
      </w:r>
      <m:oMath>
        <m:sSup>
          <m:e>
            <m:r>
              <m:t>η</m:t>
            </m:r>
          </m:e>
          <m:sup>
            <m:r>
              <m:t>2</m:t>
            </m:r>
          </m:sup>
        </m:sSup>
      </m:oMath>
      <w:r>
        <w:t xml:space="preserve"> </w:t>
      </w:r>
      <w:r>
        <w:t xml:space="preserve">value using the following equation:</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eta.full.SS()</w:t>
      </w:r>
      <w:r>
        <w:t xml:space="preserve"> </w:t>
      </w:r>
      <w:r>
        <w:t xml:space="preserve">function in the</w:t>
      </w:r>
      <w:r>
        <w:t xml:space="preserve"> </w:t>
      </w:r>
      <w:r>
        <w:rPr>
          <w:rStyle w:val="VerbatimChar"/>
        </w:rPr>
        <w:t xml:space="preserve">MOTE</w:t>
      </w:r>
      <w:r>
        <w:t xml:space="preserve"> </w:t>
      </w:r>
      <w:r>
        <w:t xml:space="preserve">package</w:t>
      </w:r>
      <w:r>
        <w:t xml:space="preserve"> </w:t>
      </w:r>
      <w:r>
        <w:t xml:space="preserve">(Buchanan et al. 2019)</w:t>
      </w:r>
      <w:r>
        <w:t xml:space="preserve"> </w:t>
      </w:r>
      <w:r>
        <w:t xml:space="preserve">to obtain</w:t>
      </w:r>
      <w:r>
        <w:t xml:space="preserve"> </w:t>
      </w:r>
      <m:oMath>
        <m:sSup>
          <m:e>
            <m:r>
              <m:t>η</m:t>
            </m:r>
          </m:e>
          <m:sup>
            <m:r>
              <m:t>2</m:t>
            </m:r>
          </m:sup>
        </m:sSup>
      </m:oMath>
      <w:r>
        <w:t xml:space="preserve"> </w:t>
      </w:r>
      <w:r>
        <w:t xml:space="preserve">from an ANOVA table.</w:t>
      </w:r>
    </w:p>
    <w:p>
      <w:pPr>
        <w:pStyle w:val="SourceCode"/>
      </w:pPr>
      <w:r>
        <w:rPr>
          <w:rStyle w:val="FunctionTok"/>
        </w:rPr>
        <w:t xml:space="preserve">library</w:t>
      </w:r>
      <w:r>
        <w:rPr>
          <w:rStyle w:val="NormalTok"/>
        </w:rPr>
        <w:t xml:space="preserve">(MOTE)</w:t>
      </w:r>
      <w:r>
        <w:br/>
      </w:r>
      <w:r>
        <w:br/>
      </w:r>
      <w:r>
        <w:rPr>
          <w:rStyle w:val="NormalTok"/>
        </w:rPr>
        <w:t xml:space="preserve">eta </w:t>
      </w:r>
      <w:r>
        <w:rPr>
          <w:rStyle w:val="OtherTok"/>
        </w:rPr>
        <w:t xml:space="preserve">&lt;-</w:t>
      </w:r>
      <w:r>
        <w:rPr>
          <w:rStyle w:val="NormalTok"/>
        </w:rPr>
        <w:t xml:space="preserve"> </w:t>
      </w:r>
      <w:r>
        <w:rPr>
          <w:rStyle w:val="FunctionTok"/>
        </w:rPr>
        <w:t xml:space="preserve">eta.full.SS</w:t>
      </w:r>
      <w:r>
        <w:rPr>
          <w:rStyle w:val="NormalTok"/>
        </w:rPr>
        <w:t xml:space="preserve">(</w:t>
      </w:r>
      <w:r>
        <w:rPr>
          <w:rStyle w:val="AttributeTok"/>
        </w:rPr>
        <w:t xml:space="preserve">dfm =</w:t>
      </w:r>
      <w:r>
        <w:rPr>
          <w:rStyle w:val="NormalTok"/>
        </w:rPr>
        <w:t xml:space="preserve"> </w:t>
      </w:r>
      <w:r>
        <w:rPr>
          <w:rStyle w:val="DecValTok"/>
        </w:rPr>
        <w:t xml:space="preserve">2</w:t>
      </w:r>
      <w:r>
        <w:rPr>
          <w:rStyle w:val="NormalTok"/>
        </w:rPr>
        <w:t xml:space="preserve">,  </w:t>
      </w:r>
      <w:r>
        <w:rPr>
          <w:rStyle w:val="CommentTok"/>
        </w:rPr>
        <w:t xml:space="preserve"># effect degrees of freedom</w:t>
      </w:r>
      <w:r>
        <w:br/>
      </w:r>
      <w:r>
        <w:rPr>
          <w:rStyle w:val="NormalTok"/>
        </w:rPr>
        <w:t xml:space="preserve">                   </w:t>
      </w:r>
      <w:r>
        <w:rPr>
          <w:rStyle w:val="AttributeTok"/>
        </w:rPr>
        <w:t xml:space="preserve">dfe =</w:t>
      </w:r>
      <w:r>
        <w:rPr>
          <w:rStyle w:val="NormalTok"/>
        </w:rPr>
        <w:t xml:space="preserve"> </w:t>
      </w:r>
      <w:r>
        <w:rPr>
          <w:rStyle w:val="DecValTok"/>
        </w:rPr>
        <w:t xml:space="preserve">339</w:t>
      </w:r>
      <w:r>
        <w:rPr>
          <w:rStyle w:val="NormalTok"/>
        </w:rPr>
        <w:t xml:space="preserve">, </w:t>
      </w:r>
      <w:r>
        <w:rPr>
          <w:rStyle w:val="CommentTok"/>
        </w:rPr>
        <w:t xml:space="preserve"># error degrees of freedom</w:t>
      </w:r>
      <w:r>
        <w:br/>
      </w:r>
      <w:r>
        <w:rPr>
          <w:rStyle w:val="NormalTok"/>
        </w:rPr>
        <w:t xml:space="preserve">                   </w:t>
      </w:r>
      <w:r>
        <w:rPr>
          <w:rStyle w:val="AttributeTok"/>
        </w:rPr>
        <w:t xml:space="preserve">ssm =</w:t>
      </w:r>
      <w:r>
        <w:rPr>
          <w:rStyle w:val="NormalTok"/>
        </w:rPr>
        <w:t xml:space="preserve"> </w:t>
      </w:r>
      <w:r>
        <w:rPr>
          <w:rStyle w:val="DecValTok"/>
        </w:rPr>
        <w:t xml:space="preserve">146864214</w:t>
      </w:r>
      <w:r>
        <w:rPr>
          <w:rStyle w:val="NormalTok"/>
        </w:rPr>
        <w:t xml:space="preserve">, </w:t>
      </w:r>
      <w:r>
        <w:rPr>
          <w:rStyle w:val="CommentTok"/>
        </w:rPr>
        <w:t xml:space="preserve"># sum of squares for the effect</w:t>
      </w:r>
      <w:r>
        <w:br/>
      </w:r>
      <w:r>
        <w:rPr>
          <w:rStyle w:val="NormalTok"/>
        </w:rPr>
        <w:t xml:space="preserve">                   </w:t>
      </w:r>
      <w:r>
        <w:rPr>
          <w:rStyle w:val="AttributeTok"/>
        </w:rPr>
        <w:t xml:space="preserve">sst =</w:t>
      </w:r>
      <w:r>
        <w:rPr>
          <w:rStyle w:val="NormalTok"/>
        </w:rPr>
        <w:t xml:space="preserve"> </w:t>
      </w:r>
      <w:r>
        <w:rPr>
          <w:rStyle w:val="DecValTok"/>
        </w:rPr>
        <w:t xml:space="preserve">146864214</w:t>
      </w:r>
      <w:r>
        <w:rPr>
          <w:rStyle w:val="NormalTok"/>
        </w:rPr>
        <w:t xml:space="preserve"> </w:t>
      </w:r>
      <w:r>
        <w:rPr>
          <w:rStyle w:val="SpecialCharTok"/>
        </w:rPr>
        <w:t xml:space="preserve">+</w:t>
      </w:r>
      <w:r>
        <w:rPr>
          <w:rStyle w:val="NormalTok"/>
        </w:rPr>
        <w:t xml:space="preserve"> </w:t>
      </w:r>
      <w:r>
        <w:rPr>
          <w:rStyle w:val="DecValTok"/>
        </w:rPr>
        <w:t xml:space="preserve">72443483</w:t>
      </w:r>
      <w:r>
        <w:rPr>
          <w:rStyle w:val="NormalTok"/>
        </w:rPr>
        <w:t xml:space="preserve">, </w:t>
      </w:r>
      <w:r>
        <w:rPr>
          <w:rStyle w:val="CommentTok"/>
        </w:rPr>
        <w:t xml:space="preserve"># total sum of squares</w:t>
      </w:r>
      <w:r>
        <w:br/>
      </w:r>
      <w:r>
        <w:rPr>
          <w:rStyle w:val="NormalTok"/>
        </w:rPr>
        <w:t xml:space="preserve">                   </w:t>
      </w:r>
      <w:r>
        <w:rPr>
          <w:rStyle w:val="AttributeTok"/>
        </w:rPr>
        <w:t xml:space="preserve">Fvalue =</w:t>
      </w:r>
      <w:r>
        <w:rPr>
          <w:rStyle w:val="NormalTok"/>
        </w:rPr>
        <w:t xml:space="preserve"> </w:t>
      </w:r>
      <w:r>
        <w:rPr>
          <w:rStyle w:val="FloatTok"/>
        </w:rPr>
        <w:t xml:space="preserve">343.6263</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05</w:t>
      </w:r>
      <w:r>
        <w:rPr>
          <w:rStyle w:val="NormalTok"/>
        </w:rPr>
        <w:t xml:space="preserve">)</w:t>
      </w:r>
      <w:r>
        <w:br/>
      </w:r>
      <w:r>
        <w:br/>
      </w:r>
      <w:r>
        <w:rPr>
          <w:rStyle w:val="FunctionTok"/>
        </w:rPr>
        <w:t xml:space="preserve">data.frame</w:t>
      </w:r>
      <w:r>
        <w:rPr>
          <w:rStyle w:val="NormalTok"/>
        </w:rPr>
        <w:t xml:space="preserve">(</w:t>
      </w:r>
      <w:r>
        <w:rPr>
          <w:rStyle w:val="AttributeTok"/>
        </w:rPr>
        <w:t xml:space="preserve">eta_squared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w:t>
      </w:r>
      <w:r>
        <w:br/>
      </w:r>
      <w:r>
        <w:rPr>
          <w:rStyle w:val="NormalTok"/>
        </w:rPr>
        <w:t xml:space="preserve">           </w:t>
      </w:r>
      <w:r>
        <w:rPr>
          <w:rStyle w:val="AttributeTok"/>
        </w:rPr>
        <w:t xml:space="preserve">etalow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etalow),</w:t>
      </w:r>
      <w:r>
        <w:br/>
      </w:r>
      <w:r>
        <w:rPr>
          <w:rStyle w:val="NormalTok"/>
        </w:rPr>
        <w:t xml:space="preserve">           </w:t>
      </w:r>
      <w:r>
        <w:rPr>
          <w:rStyle w:val="AttributeTok"/>
        </w:rPr>
        <w:t xml:space="preserve">etahigh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etahigh))</w:t>
      </w:r>
    </w:p>
    <w:p>
      <w:pPr>
        <w:pStyle w:val="SourceCode"/>
      </w:pPr>
      <w:r>
        <w:rPr>
          <w:rStyle w:val="VerbatimChar"/>
        </w:rPr>
        <w:t xml:space="preserve">  eta_squared etalow etahigh</w:t>
      </w:r>
      <w:r>
        <w:br/>
      </w:r>
      <w:r>
        <w:rPr>
          <w:rStyle w:val="VerbatimChar"/>
        </w:rPr>
        <w:t xml:space="preserve">1       0.670  0.606   0.722</w:t>
      </w:r>
    </w:p>
    <w:p>
      <w:pPr>
        <w:pStyle w:val="FirstParagraph"/>
      </w:pPr>
      <w:r>
        <w:t xml:space="preserve">The example code outputs</w:t>
      </w:r>
      <w:r>
        <w:t xml:space="preserve"> </w:t>
      </w:r>
      <m:oMath>
        <m:sSup>
          <m:e>
            <m:r>
              <m:t>η</m:t>
            </m:r>
          </m:e>
          <m:sup>
            <m:r>
              <m:t>2</m:t>
            </m:r>
          </m:sup>
        </m:sSup>
      </m:oMath>
      <w:r>
        <w:t xml:space="preserve"> </w:t>
      </w:r>
      <w:r>
        <w:t xml:space="preserve">= .67 [.61, .72]. This suggests that species accounts for 67% of the total variation in body mass between penguins.</w:t>
      </w:r>
    </w:p>
    <w:bookmarkEnd w:id="133"/>
    <w:bookmarkStart w:id="136" w:name="X3d3b51b4de9ca01547cfccaef08c9bb8a4a7d29"/>
    <w:p>
      <w:pPr>
        <w:pStyle w:val="Heading3"/>
      </w:pPr>
      <w:r>
        <w:t xml:space="preserve">11.3.4 Calculating Cohen’s d for post-hoc comparisons</w:t>
      </w:r>
    </w:p>
    <w:p>
      <w:pPr>
        <w:pStyle w:val="FirstParagraph"/>
      </w:pPr>
      <w:r>
        <w:t xml:space="preserve">In an omnibus ANOVA, the p-value is telling us whether the means from all groups come from the same population mean, however this does not inform us about</w:t>
      </w:r>
      <w:r>
        <w:t xml:space="preserve"> </w:t>
      </w:r>
      <w:r>
        <w:rPr>
          <w:iCs/>
          <w:i/>
        </w:rPr>
        <w:t xml:space="preserve">which</w:t>
      </w:r>
      <w:r>
        <w:t xml:space="preserve"> </w:t>
      </w:r>
      <w:r>
        <w:t xml:space="preserve">groups differ and by how much. Using the same example as before, let’s say we want to answer a specific question such as: what is the difference in body mass between Adelie penguins and Gentoo penguins? To answer this question, we can calculate the raw mean difference between the two groups. In R, we can do that with the following code:</w:t>
      </w:r>
    </w:p>
    <w:p>
      <w:pPr>
        <w:pStyle w:val="SourceCode"/>
      </w:pPr>
      <w:r>
        <w:rPr>
          <w:rStyle w:val="NormalTok"/>
        </w:rPr>
        <w:t xml:space="preserve">Madelie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Mgentoo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br/>
      </w:r>
      <w:r>
        <w:rPr>
          <w:rStyle w:val="NormalTok"/>
        </w:rPr>
        <w:t xml:space="preserve">Mgentoo </w:t>
      </w:r>
      <w:r>
        <w:rPr>
          <w:rStyle w:val="SpecialCharTok"/>
        </w:rPr>
        <w:t xml:space="preserve">-</w:t>
      </w:r>
      <w:r>
        <w:rPr>
          <w:rStyle w:val="NormalTok"/>
        </w:rPr>
        <w:t xml:space="preserve"> Madelie</w:t>
      </w:r>
    </w:p>
    <w:p>
      <w:pPr>
        <w:pStyle w:val="SourceCode"/>
      </w:pPr>
      <w:r>
        <w:rPr>
          <w:rStyle w:val="VerbatimChar"/>
        </w:rPr>
        <w:t xml:space="preserve">[1] 1375.354</w:t>
      </w:r>
    </w:p>
    <w:p>
      <w:pPr>
        <w:pStyle w:val="FirstParagraph"/>
      </w:pPr>
      <w:r>
        <w:t xml:space="preserve">Based on the mean difference, Gentoo penguins are on average 1375 grams heavier than Adelia penguins in total body mass. We can also calculate a standardized mean difference using the</w:t>
      </w:r>
      <w:r>
        <w:t xml:space="preserve"> </w:t>
      </w:r>
      <w:r>
        <w:rPr>
          <w:rStyle w:val="VerbatimChar"/>
        </w:rPr>
        <w:t xml:space="preserve">escalc()</w:t>
      </w:r>
      <w:r>
        <w:t xml:space="preserve"> </w:t>
      </w:r>
      <w:r>
        <w:t xml:space="preserve">function in the</w:t>
      </w:r>
      <w:r>
        <w:t xml:space="preserve"> </w:t>
      </w:r>
      <w:r>
        <w:rPr>
          <w:rStyle w:val="VerbatimChar"/>
        </w:rPr>
        <w:t xml:space="preserve">metafor</w:t>
      </w:r>
      <w:r>
        <w:t xml:space="preserve"> </w:t>
      </w:r>
      <w:r>
        <w:t xml:space="preserve">package</w:t>
      </w:r>
      <w:r>
        <w:t xml:space="preserve"> </w:t>
      </w:r>
      <w:r>
        <w:t xml:space="preserve">(Viechtbauer 2010)</w:t>
      </w:r>
      <w:r>
        <w:t xml:space="preserve">.</w:t>
      </w:r>
    </w:p>
    <w:p>
      <w:pPr>
        <w:pStyle w:val="SourceCode"/>
      </w:pPr>
      <w:r>
        <w:rPr>
          <w:rStyle w:val="FunctionTok"/>
        </w:rPr>
        <w:t xml:space="preserve">library</w:t>
      </w:r>
      <w:r>
        <w:rPr>
          <w:rStyle w:val="NormalTok"/>
        </w:rPr>
        <w:t xml:space="preserve">(metafor)</w:t>
      </w:r>
      <w:r>
        <w:br/>
      </w:r>
      <w:r>
        <w:br/>
      </w:r>
      <w:r>
        <w:rPr>
          <w:rStyle w:val="CommentTok"/>
        </w:rPr>
        <w:t xml:space="preserve"># Means, SDs, and sample sizes for each group</w:t>
      </w:r>
      <w:r>
        <w:br/>
      </w:r>
      <w:r>
        <w:rPr>
          <w:rStyle w:val="NormalTok"/>
        </w:rPr>
        <w:t xml:space="preserve">Madelie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Mgentoo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rPr>
          <w:rStyle w:val="NormalTok"/>
        </w:rPr>
        <w:t xml:space="preserve">SDadelie </w:t>
      </w:r>
      <w:r>
        <w:rPr>
          <w:rStyle w:val="OtherTok"/>
        </w:rPr>
        <w:t xml:space="preserve">&lt;-</w:t>
      </w:r>
      <w:r>
        <w:rPr>
          <w:rStyle w:val="NormalTok"/>
        </w:rPr>
        <w:t xml:space="preserve"> </w:t>
      </w:r>
      <w:r>
        <w:rPr>
          <w:rStyle w:val="FunctionTok"/>
        </w:rPr>
        <w:t xml:space="preserve">sd</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SDgentoo </w:t>
      </w:r>
      <w:r>
        <w:rPr>
          <w:rStyle w:val="OtherTok"/>
        </w:rPr>
        <w:t xml:space="preserve">&lt;-</w:t>
      </w:r>
      <w:r>
        <w:rPr>
          <w:rStyle w:val="NormalTok"/>
        </w:rPr>
        <w:t xml:space="preserve"> </w:t>
      </w:r>
      <w:r>
        <w:rPr>
          <w:rStyle w:val="FunctionTok"/>
        </w:rPr>
        <w:t xml:space="preserve">sd</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rPr>
          <w:rStyle w:val="NormalTok"/>
        </w:rPr>
        <w:t xml:space="preserve">Nadelie </w:t>
      </w:r>
      <w:r>
        <w:rPr>
          <w:rStyle w:val="OtherTok"/>
        </w:rPr>
        <w:t xml:space="preserve">&lt;-</w:t>
      </w:r>
      <w:r>
        <w:rPr>
          <w:rStyle w:val="NormalTok"/>
        </w:rPr>
        <w:t xml:space="preserve"> </w:t>
      </w:r>
      <w:r>
        <w:rPr>
          <w:rStyle w:val="FunctionTok"/>
        </w:rPr>
        <w:t xml:space="preserve">sum</w:t>
      </w:r>
      <w:r>
        <w:rPr>
          <w:rStyle w:val="NormalTok"/>
        </w:rPr>
        <w:t xml:space="preserve">(penguins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Ngentoo </w:t>
      </w:r>
      <w:r>
        <w:rPr>
          <w:rStyle w:val="OtherTok"/>
        </w:rPr>
        <w:t xml:space="preserve">&lt;-</w:t>
      </w:r>
      <w:r>
        <w:rPr>
          <w:rStyle w:val="NormalTok"/>
        </w:rPr>
        <w:t xml:space="preserve"> </w:t>
      </w:r>
      <w:r>
        <w:rPr>
          <w:rStyle w:val="FunctionTok"/>
        </w:rPr>
        <w:t xml:space="preserve">sum</w:t>
      </w:r>
      <w:r>
        <w:rPr>
          <w:rStyle w:val="NormalTok"/>
        </w:rPr>
        <w:t xml:space="preserve">(penguins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br/>
      </w:r>
      <w:r>
        <w:rPr>
          <w:rStyle w:val="FunctionTok"/>
        </w:rPr>
        <w:t xml:space="preserve">summary</w:t>
      </w:r>
      <w:r>
        <w:rPr>
          <w:rStyle w:val="NormalTok"/>
        </w:rPr>
        <w:t xml:space="preserve">(</w:t>
      </w:r>
      <w:r>
        <w:br/>
      </w:r>
      <w:r>
        <w:rPr>
          <w:rStyle w:val="NormalTok"/>
        </w:rPr>
        <w:t xml:space="preserve">  </w:t>
      </w:r>
      <w:r>
        <w:rPr>
          <w:rStyle w:val="FunctionTok"/>
        </w:rPr>
        <w:t xml:space="preserve">escalc</w:t>
      </w:r>
      <w:r>
        <w:rPr>
          <w:rStyle w:val="NormalTok"/>
        </w:rPr>
        <w:t xml:space="preserve">(</w:t>
      </w:r>
      <w:r>
        <w:rPr>
          <w:rStyle w:val="AttributeTok"/>
        </w:rPr>
        <w:t xml:space="preserve">measure =</w:t>
      </w:r>
      <w:r>
        <w:rPr>
          <w:rStyle w:val="NormalTok"/>
        </w:rPr>
        <w:t xml:space="preserve"> </w:t>
      </w:r>
      <w:r>
        <w:rPr>
          <w:rStyle w:val="StringTok"/>
        </w:rPr>
        <w:t xml:space="preserve">'SMD'</w:t>
      </w:r>
      <w:r>
        <w:rPr>
          <w:rStyle w:val="NormalTok"/>
        </w:rPr>
        <w:t xml:space="preserve">,</w:t>
      </w:r>
      <w:r>
        <w:br/>
      </w:r>
      <w:r>
        <w:rPr>
          <w:rStyle w:val="NormalTok"/>
        </w:rPr>
        <w:t xml:space="preserve">         </w:t>
      </w:r>
      <w:r>
        <w:rPr>
          <w:rStyle w:val="AttributeTok"/>
        </w:rPr>
        <w:t xml:space="preserve">m1i =</w:t>
      </w:r>
      <w:r>
        <w:rPr>
          <w:rStyle w:val="NormalTok"/>
        </w:rPr>
        <w:t xml:space="preserve"> Mgentoo,</w:t>
      </w:r>
      <w:r>
        <w:br/>
      </w:r>
      <w:r>
        <w:rPr>
          <w:rStyle w:val="NormalTok"/>
        </w:rPr>
        <w:t xml:space="preserve">         </w:t>
      </w:r>
      <w:r>
        <w:rPr>
          <w:rStyle w:val="AttributeTok"/>
        </w:rPr>
        <w:t xml:space="preserve">m2i =</w:t>
      </w:r>
      <w:r>
        <w:rPr>
          <w:rStyle w:val="NormalTok"/>
        </w:rPr>
        <w:t xml:space="preserve"> Madelie,</w:t>
      </w:r>
      <w:r>
        <w:br/>
      </w:r>
      <w:r>
        <w:rPr>
          <w:rStyle w:val="NormalTok"/>
        </w:rPr>
        <w:t xml:space="preserve">         </w:t>
      </w:r>
      <w:r>
        <w:rPr>
          <w:rStyle w:val="AttributeTok"/>
        </w:rPr>
        <w:t xml:space="preserve">sd1i =</w:t>
      </w:r>
      <w:r>
        <w:rPr>
          <w:rStyle w:val="NormalTok"/>
        </w:rPr>
        <w:t xml:space="preserve"> SDgentoo,</w:t>
      </w:r>
      <w:r>
        <w:br/>
      </w:r>
      <w:r>
        <w:rPr>
          <w:rStyle w:val="NormalTok"/>
        </w:rPr>
        <w:t xml:space="preserve">         </w:t>
      </w:r>
      <w:r>
        <w:rPr>
          <w:rStyle w:val="AttributeTok"/>
        </w:rPr>
        <w:t xml:space="preserve">sd2i =</w:t>
      </w:r>
      <w:r>
        <w:rPr>
          <w:rStyle w:val="NormalTok"/>
        </w:rPr>
        <w:t xml:space="preserve"> SDadelie,</w:t>
      </w:r>
      <w:r>
        <w:br/>
      </w:r>
      <w:r>
        <w:rPr>
          <w:rStyle w:val="NormalTok"/>
        </w:rPr>
        <w:t xml:space="preserve">         </w:t>
      </w:r>
      <w:r>
        <w:rPr>
          <w:rStyle w:val="AttributeTok"/>
        </w:rPr>
        <w:t xml:space="preserve">n1i =</w:t>
      </w:r>
      <w:r>
        <w:rPr>
          <w:rStyle w:val="NormalTok"/>
        </w:rPr>
        <w:t xml:space="preserve"> Ngentoo,</w:t>
      </w:r>
      <w:r>
        <w:br/>
      </w:r>
      <w:r>
        <w:rPr>
          <w:rStyle w:val="NormalTok"/>
        </w:rPr>
        <w:t xml:space="preserve">         </w:t>
      </w:r>
      <w:r>
        <w:rPr>
          <w:rStyle w:val="AttributeTok"/>
        </w:rPr>
        <w:t xml:space="preserve">n2i =</w:t>
      </w:r>
      <w:r>
        <w:rPr>
          <w:rStyle w:val="NormalTok"/>
        </w:rPr>
        <w:t xml:space="preserve"> Nadelie)</w:t>
      </w:r>
      <w:r>
        <w:br/>
      </w:r>
      <w:r>
        <w:rPr>
          <w:rStyle w:val="NormalTok"/>
        </w:rPr>
        <w:t xml:space="preserve">)</w:t>
      </w:r>
    </w:p>
    <w:p>
      <w:pPr>
        <w:pStyle w:val="SourceCode"/>
      </w:pPr>
      <w:r>
        <w:br/>
      </w:r>
      <w:r>
        <w:rPr>
          <w:rStyle w:val="VerbatimChar"/>
        </w:rPr>
        <w:t xml:space="preserve">      yi     vi    sei      zi   pval  ci.lb  ci.ub </w:t>
      </w:r>
      <w:r>
        <w:br/>
      </w:r>
      <w:r>
        <w:rPr>
          <w:rStyle w:val="VerbatimChar"/>
        </w:rPr>
        <w:t xml:space="preserve">1 2.8602 0.0295 0.1716 16.6629 &lt;.0001 2.5237 3.1966 </w:t>
      </w:r>
    </w:p>
    <w:p>
      <w:pPr>
        <w:pStyle w:val="FirstParagraph"/>
      </w:pPr>
      <w:r>
        <w:t xml:space="preserve">The standardized mean difference between Adelie and Gentoo penguins is</w:t>
      </w:r>
      <w:r>
        <w:t xml:space="preserve"> </w:t>
      </w:r>
      <m:oMath>
        <m:r>
          <m:t>d</m:t>
        </m:r>
      </m:oMath>
      <w:r>
        <w:t xml:space="preserve"> </w:t>
      </w:r>
      <w:r>
        <w:t xml:space="preserve">= 2.86 [2.52, 3.19], demonstrating that Gentoo penguins have body mass 2.86 standard deviations larger than Adelie penguins.</w:t>
      </w:r>
    </w:p>
    <w:p>
      <w:pPr>
        <w:pStyle w:val="BodyText"/>
      </w:pPr>
      <w:r>
        <w:t xml:space="preserve">We can also quantify contrasts from summary statistics reported from the ANOVA table and the within group means. We can calculate the standardized mean difference using the means from both groups and the mean squared error (</w:t>
      </w:r>
      <m:oMath>
        <m:r>
          <m:t>M</m:t>
        </m:r>
        <m:r>
          <m:t>S</m:t>
        </m:r>
        <m:r>
          <m:t>E</m:t>
        </m:r>
      </m:oMath>
      <w:r>
        <w:t xml:space="preserve">) the following equation:</w:t>
      </w:r>
    </w:p>
    <w:p>
      <w:pPr>
        <w:pStyle w:val="BodyText"/>
      </w:pPr>
      <m:oMathPara>
        <m:oMathParaPr>
          <m:jc m:val="center"/>
        </m:oMathParaPr>
        <m:oMath>
          <m:r>
            <m:t>d</m:t>
          </m:r>
          <m:r>
            <m:rPr>
              <m:sty m:val="p"/>
            </m:rPr>
            <m:t>=</m:t>
          </m:r>
          <m:f>
            <m:fPr>
              <m:type m:val="bar"/>
            </m:fPr>
            <m:num>
              <m:sSub>
                <m:e>
                  <m:r>
                    <m:t>M</m:t>
                  </m:r>
                </m:e>
                <m:sub>
                  <m:r>
                    <m:t>1</m:t>
                  </m:r>
                </m:sub>
              </m:sSub>
              <m:r>
                <m:rPr>
                  <m:sty m:val="p"/>
                </m:rPr>
                <m:t>−</m:t>
              </m:r>
              <m:sSub>
                <m:e>
                  <m:r>
                    <m:t>M</m:t>
                  </m:r>
                </m:e>
                <m:sub>
                  <m:r>
                    <m:t>2</m:t>
                  </m:r>
                </m:sub>
              </m:sSub>
            </m:num>
            <m:den>
              <m:rad>
                <m:radPr>
                  <m:degHide m:val="1"/>
                </m:radPr>
                <m:deg/>
                <m:e>
                  <m:r>
                    <m:t>M</m:t>
                  </m:r>
                  <m:r>
                    <m:t>S</m:t>
                  </m:r>
                  <m:r>
                    <m:t>E</m:t>
                  </m:r>
                </m:e>
              </m:rad>
            </m:den>
          </m:f>
        </m:oMath>
      </m:oMathPara>
    </w:p>
    <w:p>
      <w:pPr>
        <w:pStyle w:val="FirstParagraph"/>
      </w:pPr>
      <w:r>
        <w:t xml:space="preserve">This method gives a standardized mean difference equivalent to the Cohen’s</w:t>
      </w:r>
      <w:r>
        <w:t xml:space="preserve"> </w:t>
      </w:r>
      <m:oMath>
        <m:r>
          <m:t>d</m:t>
        </m:r>
      </m:oMath>
      <w:r>
        <w:t xml:space="preserve"> </w:t>
      </w:r>
      <w:r>
        <w:t xml:space="preserve">with the pooled standard deviation in the denominator (see chapter on mean differences). Therefore if we obtain the mean squared errors (i.e., MS of residuals) from</w:t>
      </w:r>
      <w:r>
        <w:t xml:space="preserve"> </w:t>
      </w:r>
      <w:hyperlink w:anchor="sec-eta-table">
        <w:r>
          <w:rPr>
            <w:rStyle w:val="Hyperlink"/>
          </w:rPr>
          <w:t xml:space="preserve">Section 11.3.3</w:t>
        </w:r>
      </w:hyperlink>
      <w:r>
        <w:t xml:space="preserve"> </w:t>
      </w:r>
      <w:r>
        <w:t xml:space="preserve">and we obtain the means (means: Gentoo = 5076, Adelie = 3701), we can calculate the standardized mean difference as:</w:t>
      </w:r>
      <w:r>
        <w:t xml:space="preserve"> </w:t>
      </w:r>
      <m:oMath>
        <m:f>
          <m:fPr>
            <m:type m:val="bar"/>
          </m:fPr>
          <m:num>
            <m:r>
              <m:t>5076</m:t>
            </m:r>
            <m:r>
              <m:rPr>
                <m:sty m:val="p"/>
              </m:rPr>
              <m:t>−</m:t>
            </m:r>
            <m:r>
              <m:t>3701</m:t>
            </m:r>
          </m:num>
          <m:den>
            <m:rad>
              <m:radPr>
                <m:degHide m:val="1"/>
              </m:radPr>
              <m:deg/>
              <m:e>
                <m:r>
                  <m:t>213697.6</m:t>
                </m:r>
              </m:e>
            </m:rad>
          </m:den>
        </m:f>
        <m:r>
          <m:rPr>
            <m:sty m:val="p"/>
          </m:rPr>
          <m:t>=</m:t>
        </m:r>
        <m:f>
          <m:fPr>
            <m:type m:val="bar"/>
          </m:fPr>
          <m:num>
            <m:r>
              <m:t>1375</m:t>
            </m:r>
          </m:num>
          <m:den>
            <m:r>
              <m:t>462.27</m:t>
            </m:r>
          </m:den>
        </m:f>
        <m:r>
          <m:rPr>
            <m:sty m:val="p"/>
          </m:rPr>
          <m:t>=</m:t>
        </m:r>
        <m:r>
          <m:t>2.974</m:t>
        </m:r>
      </m:oMath>
      <w:r>
        <w:t xml:space="preserve">. The discrepency between the standardized mean difference provided by the</w:t>
      </w:r>
      <w:r>
        <w:t xml:space="preserve"> </w:t>
      </w:r>
      <w:r>
        <w:rPr>
          <w:rStyle w:val="VerbatimChar"/>
        </w:rPr>
        <w:t xml:space="preserve">escalc()</w:t>
      </w:r>
      <w:r>
        <w:t xml:space="preserve"> </w:t>
      </w:r>
      <w:r>
        <w:t xml:space="preserve">function is due to the fact that the function automatically applies a small sample correction factor thus reducing the overall effect.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146864214</w:t>
            </w:r>
          </w:p>
        </w:tc>
        <w:tc>
          <w:tcPr/>
          <w:p>
            <w:pPr>
              <w:pStyle w:val="Compact"/>
              <w:jc w:val="right"/>
            </w:pPr>
            <w:r>
              <w:t xml:space="preserve">73432107.1</w:t>
            </w:r>
          </w:p>
        </w:tc>
        <w:tc>
          <w:tcPr/>
          <w:p>
            <w:pPr>
              <w:pStyle w:val="Compact"/>
              <w:jc w:val="right"/>
            </w:pPr>
            <w:r>
              <w:t xml:space="preserve">343.6263</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339</w:t>
            </w:r>
          </w:p>
        </w:tc>
        <w:tc>
          <w:tcPr/>
          <w:p>
            <w:pPr>
              <w:pStyle w:val="Compact"/>
              <w:jc w:val="right"/>
            </w:pPr>
            <w:r>
              <w:t xml:space="preserve">72443483</w:t>
            </w:r>
          </w:p>
        </w:tc>
        <w:tc>
          <w:tcPr/>
          <w:p>
            <w:pPr>
              <w:pStyle w:val="Compact"/>
              <w:jc w:val="right"/>
            </w:pPr>
            <w:r>
              <w:t xml:space="preserve">213697.6</w:t>
            </w:r>
          </w:p>
        </w:tc>
        <w:tc>
          <w:tcPr/>
          <w:p>
            <w:pPr>
              <w:pStyle w:val="Compact"/>
              <w:jc w:val="right"/>
            </w:pPr>
            <w:r>
              <w:t xml:space="preserve">NA</w:t>
            </w:r>
          </w:p>
        </w:tc>
        <w:tc>
          <w:tcPr/>
          <w:p>
            <w:pPr>
              <w:pStyle w:val="Compact"/>
              <w:jc w:val="right"/>
            </w:pPr>
            <w:r>
              <w:t xml:space="preserve">NA</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4" name="Picture"/>
                  <a:graphic>
                    <a:graphicData uri="http://schemas.openxmlformats.org/drawingml/2006/picture">
                      <pic:pic>
                        <pic:nvPicPr>
                          <pic:cNvPr descr="/Applications/quarto/share/formats/docx/note.png" id="135"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Beware the assumptions.</w:t>
            </w:r>
          </w:p>
        </w:tc>
      </w:tr>
      <w:tr>
        <w:trPr>
          <w:cantSplit/>
        </w:trPr>
        <w:tc>
          <w:tcPr>
            <w:tcMar>
              <w:top w:w="108" w:type="dxa"/>
              <w:bottom w:w="108" w:type="dxa"/>
            </w:tcMar>
          </w:tcPr>
          <w:p>
            <w:pPr>
              <w:pStyle w:val="BodyText"/>
            </w:pPr>
            <w:pPr>
              <w:spacing w:before="16"/>
            </w:pPr>
            <w:r>
              <w:t xml:space="preserve">Note that this method is ONLY valid when you are willing to assume equal variances among groups (homoscedasticity), and when you conduct a Fisher’s one-way ANOVA (rather than Welch’s). This method is also impractical if you are calculating from reported statistics, and MSE is not reported (which is typically the case).</w:t>
            </w:r>
          </w:p>
          <w:p>
            <w:pPr>
              <w:pStyle w:val="BodyText"/>
            </w:pPr>
            <w:pPr>
              <w:spacing w:after="16"/>
            </w:pPr>
            <w:r>
              <w:t xml:space="preserve">If you are unwilling to assume homogeneity of variances, then calculate Cohen’s d between groups as if there are only two groups for comparison. However, you should know that it also makes little sense to conduct a Fisher’s ANOVA in such situations. You may want to switch to Welch’s ANOVA, which does not assume homoscedasticity. If variances differ greatly, you may want to use alternative standardized effect size measures, such as Glass’ delta, and calculate confidence intervals using bootstrap.</w:t>
            </w:r>
          </w:p>
        </w:tc>
      </w:tr>
    </w:tbl>
    <w:bookmarkEnd w:id="136"/>
    <w:bookmarkEnd w:id="137"/>
    <w:bookmarkStart w:id="143" w:name="one-way-repeated-measures-anova"/>
    <w:p>
      <w:pPr>
        <w:pStyle w:val="Heading2"/>
      </w:pPr>
      <w:r>
        <w:t xml:space="preserve">11.4 One-way repeated measures ANOVA</w:t>
      </w:r>
    </w:p>
    <w:p>
      <w:pPr>
        <w:pStyle w:val="FirstParagraph"/>
      </w:pPr>
      <w:r>
        <w:t xml:space="preserve">One-way repeated measures ANOVA (rmANOVA) is an extension of paired-samples t-tests, with the difference being it can be used in two or more groups.</w:t>
      </w:r>
    </w:p>
    <w:bookmarkStart w:id="138" w:name="determining-degrees-of-freedom-1"/>
    <w:p>
      <w:pPr>
        <w:pStyle w:val="Heading3"/>
      </w:pPr>
      <w:r>
        <w:t xml:space="preserve">11.4.1 Determining degrees of freedom</w:t>
      </w:r>
    </w:p>
    <w:p>
      <w:pPr>
        <w:pStyle w:val="FirstParagraph"/>
      </w:pPr>
      <w:r>
        <w:t xml:space="preserve">Please refer to the following table to determine the degrees of freedom for repeated measure ANOVA effects.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Within-subject ANOVA (repeated measures)</w:t>
            </w:r>
          </w:p>
        </w:tc>
        <w:tc>
          <w:tcPr/>
          <w:p>
            <w:pPr>
              <w:pStyle w:val="Compact"/>
            </w:pPr>
          </w:p>
        </w:tc>
      </w:tr>
      <w:tr>
        <w:tc>
          <w:tcPr/>
          <w:p>
            <w:pPr>
              <w:pStyle w:val="Compact"/>
              <w:jc w:val="left"/>
            </w:pPr>
            <w:r>
              <w:t xml:space="preserve">Effect</w:t>
            </w:r>
          </w:p>
        </w:tc>
        <w:tc>
          <w:tcPr/>
          <w:p>
            <w:pPr>
              <w:pStyle w:val="Compact"/>
              <w:jc w:val="center"/>
            </w:pPr>
            <m:oMath>
              <m:r>
                <m:t>k</m:t>
              </m:r>
              <m:r>
                <m:rPr>
                  <m:sty m:val="p"/>
                </m:rPr>
                <m:t>−</m:t>
              </m:r>
              <m:r>
                <m:t>1</m:t>
              </m:r>
            </m:oMath>
          </w:p>
        </w:tc>
      </w:tr>
      <w:tr>
        <w:tc>
          <w:tcPr/>
          <w:p>
            <w:pPr>
              <w:pStyle w:val="Compact"/>
              <w:jc w:val="left"/>
            </w:pPr>
            <w:r>
              <w:t xml:space="preserve">Error-between</w:t>
            </w:r>
          </w:p>
        </w:tc>
        <w:tc>
          <w:tcPr/>
          <w:p>
            <w:pPr>
              <w:pStyle w:val="Compact"/>
              <w:jc w:val="center"/>
            </w:pPr>
            <m:oMath>
              <m:d>
                <m:dPr>
                  <m:begChr m:val="("/>
                  <m:endChr m:val=")"/>
                  <m:sepChr m:val=""/>
                  <m:grow/>
                </m:dPr>
                <m:e>
                  <m:r>
                    <m:t>n</m:t>
                  </m:r>
                  <m:r>
                    <m:rPr>
                      <m:sty m:val="p"/>
                    </m:rPr>
                    <m:t>−</m:t>
                  </m:r>
                  <m:r>
                    <m:t>1</m:t>
                  </m:r>
                </m:e>
              </m:d>
              <m:r>
                <m:rPr>
                  <m:sty m:val="p"/>
                </m:rPr>
                <m:t>×</m:t>
              </m:r>
              <m:d>
                <m:dPr>
                  <m:begChr m:val="("/>
                  <m:endChr m:val=")"/>
                  <m:sepChr m:val=""/>
                  <m:grow/>
                </m:dPr>
                <m:e>
                  <m:r>
                    <m:t>k</m:t>
                  </m:r>
                  <m:r>
                    <m:rPr>
                      <m:sty m:val="p"/>
                    </m:rPr>
                    <m:t>−</m:t>
                  </m:r>
                  <m:r>
                    <m:t>1</m:t>
                  </m:r>
                </m:e>
              </m:d>
            </m:oMath>
          </w:p>
        </w:tc>
      </w:tr>
      <w:tr>
        <w:tc>
          <w:tcPr/>
          <w:p>
            <w:pPr>
              <w:pStyle w:val="Compact"/>
              <w:jc w:val="left"/>
            </w:pPr>
            <w:r>
              <w:t xml:space="preserve">Error-within</w:t>
            </w:r>
          </w:p>
        </w:tc>
        <w:tc>
          <w:tcPr/>
          <w:p>
            <w:pPr>
              <w:pStyle w:val="Compact"/>
              <w:jc w:val="center"/>
            </w:pPr>
            <m:oMath>
              <m:d>
                <m:dPr>
                  <m:begChr m:val="("/>
                  <m:endChr m:val=")"/>
                  <m:sepChr m:val=""/>
                  <m:grow/>
                </m:dPr>
                <m:e>
                  <m:r>
                    <m:t>n</m:t>
                  </m:r>
                  <m:r>
                    <m:rPr>
                      <m:sty m:val="p"/>
                    </m:rPr>
                    <m:t>−</m:t>
                  </m:r>
                  <m:r>
                    <m:t>1</m:t>
                  </m:r>
                </m:e>
              </m:d>
              <m:r>
                <m:rPr>
                  <m:sty m:val="p"/>
                </m:rPr>
                <m:t>⋅</m:t>
              </m:r>
              <m:d>
                <m:dPr>
                  <m:begChr m:val="("/>
                  <m:endChr m:val=")"/>
                  <m:sepChr m:val=""/>
                  <m:grow/>
                </m:dPr>
                <m:e>
                  <m:r>
                    <m:t>k</m:t>
                  </m:r>
                  <m:r>
                    <m:rPr>
                      <m:sty m:val="p"/>
                    </m:rPr>
                    <m:t>−</m:t>
                  </m:r>
                  <m:r>
                    <m:t>1</m:t>
                  </m:r>
                </m:e>
              </m:d>
            </m:oMath>
          </w:p>
        </w:tc>
      </w:tr>
      <w:tr>
        <w:tc>
          <w:tcPr/>
          <w:p>
            <w:pPr>
              <w:pStyle w:val="Compact"/>
              <w:jc w:val="left"/>
            </w:pPr>
            <w:r>
              <w:t xml:space="preserve">Total (within)</w:t>
            </w:r>
          </w:p>
        </w:tc>
        <w:tc>
          <w:tcPr/>
          <w:p>
            <w:pPr>
              <w:pStyle w:val="Compact"/>
              <w:jc w:val="center"/>
            </w:pPr>
            <m:oMath>
              <m:r>
                <m:t>n</m:t>
              </m:r>
              <m:r>
                <m:rPr>
                  <m:sty m:val="p"/>
                </m:rPr>
                <m:t>⋅</m:t>
              </m:r>
              <m:d>
                <m:dPr>
                  <m:begChr m:val="("/>
                  <m:endChr m:val=")"/>
                  <m:sepChr m:val=""/>
                  <m:grow/>
                </m:dPr>
                <m:e>
                  <m:r>
                    <m:t>k</m:t>
                  </m:r>
                  <m:r>
                    <m:rPr>
                      <m:sty m:val="p"/>
                    </m:rPr>
                    <m:t>−</m:t>
                  </m:r>
                  <m:r>
                    <m:t>1</m:t>
                  </m:r>
                </m:e>
              </m:d>
            </m:oMath>
          </w:p>
        </w:tc>
      </w:tr>
    </w:tbl>
    <w:bookmarkEnd w:id="138"/>
    <w:bookmarkStart w:id="142" w:name="eta-squared-from-rmanova-statistics"/>
    <w:p>
      <w:pPr>
        <w:pStyle w:val="Heading3"/>
      </w:pPr>
      <w:r>
        <w:t xml:space="preserve">11.4.2 Eta-squared from rmANOVA statistics</w:t>
      </w:r>
    </w:p>
    <w:p>
      <w:pPr>
        <w:pStyle w:val="FirstParagraph"/>
      </w:pPr>
      <w:r>
        <w:t xml:space="preserve">Commonly, we use eta-squared (</w:t>
      </w:r>
      <m:oMath>
        <m:sSup>
          <m:e>
            <m:r>
              <m:t>η</m:t>
            </m:r>
          </m:e>
          <m:sup>
            <m:r>
              <m:t>2</m:t>
            </m:r>
          </m:sup>
        </m:sSup>
      </m:oMath>
      <w:r>
        <w:t xml:space="preserve">) or partial eta-squared (</w:t>
      </w:r>
      <m:oMath>
        <m:sSubSup>
          <m:e>
            <m:r>
              <m:t>η</m:t>
            </m:r>
          </m:e>
          <m:sub>
            <m:r>
              <m:t>p</m:t>
            </m:r>
          </m:sub>
          <m:sup>
            <m:r>
              <m:t>2</m:t>
            </m:r>
          </m:sup>
        </m:sSubSup>
      </m:oMath>
      <w:r>
        <w:t xml:space="preserve">) as the effect size measure for one-way rmANOVAs, for which these two are in fact equal. Let’s construct an rmANOVA model use example data from the</w:t>
      </w:r>
      <w:r>
        <w:t xml:space="preserve"> </w:t>
      </w:r>
      <w:r>
        <w:rPr>
          <w:rStyle w:val="VerbatimChar"/>
        </w:rPr>
        <w:t xml:space="preserve">datarium</w:t>
      </w:r>
      <w:r>
        <w:t xml:space="preserve"> </w:t>
      </w:r>
      <w:r>
        <w:t xml:space="preserve">package</w:t>
      </w:r>
      <w:r>
        <w:t xml:space="preserve"> </w:t>
      </w:r>
      <w:r>
        <w:t xml:space="preserve">(Kassambara 2019)</w:t>
      </w:r>
      <w:r>
        <w:t xml:space="preserve">. The</w:t>
      </w:r>
      <w:r>
        <w:t xml:space="preserve"> </w:t>
      </w:r>
      <w:r>
        <w:rPr>
          <w:rStyle w:val="VerbatimChar"/>
        </w:rPr>
        <w:t xml:space="preserve">selfesteem</w:t>
      </w:r>
      <w:r>
        <w:t xml:space="preserve"> </w:t>
      </w:r>
      <w:r>
        <w:t xml:space="preserve">data set simply shows self-esteem scores over three repeated measurements within the same subjects.</w:t>
      </w:r>
    </w:p>
    <w:p>
      <w:pPr>
        <w:pStyle w:val="SourceCode"/>
      </w:pPr>
      <w:r>
        <w:rPr>
          <w:rStyle w:val="DocumentationTok"/>
        </w:rPr>
        <w:t xml:space="preserve">### load in and re-format data</w:t>
      </w:r>
      <w:r>
        <w:br/>
      </w: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"selfesteem"</w:t>
      </w:r>
      <w:r>
        <w:rPr>
          <w:rStyle w:val="NormalTok"/>
        </w:rPr>
        <w:t xml:space="preserve">, </w:t>
      </w:r>
      <w:r>
        <w:rPr>
          <w:rStyle w:val="AttributeTok"/>
        </w:rPr>
        <w:t xml:space="preserve">package =</w:t>
      </w:r>
      <w:r>
        <w:rPr>
          <w:rStyle w:val="NormalTok"/>
        </w:rPr>
        <w:t xml:space="preserve"> </w:t>
      </w:r>
      <w:r>
        <w:rPr>
          <w:rStyle w:val="StringTok"/>
        </w:rPr>
        <w:t xml:space="preserve">"datarium"</w:t>
      </w:r>
      <w:r>
        <w:rPr>
          <w:rStyle w:val="NormalTok"/>
        </w:rPr>
        <w:t xml:space="preserve">)</w:t>
      </w:r>
      <w:r>
        <w:br/>
      </w:r>
      <w:r>
        <w:rPr>
          <w:rStyle w:val="NormalTok"/>
        </w:rPr>
        <w:t xml:space="preserve">selfesteem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(selfesteem,</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"t1"</w:t>
      </w:r>
      <w:r>
        <w:rPr>
          <w:rStyle w:val="NormalTok"/>
        </w:rPr>
        <w:t xml:space="preserve">,</w:t>
      </w:r>
      <w:r>
        <w:rPr>
          <w:rStyle w:val="StringTok"/>
        </w:rPr>
        <w:t xml:space="preserve">"t2"</w:t>
      </w:r>
      <w:r>
        <w:rPr>
          <w:rStyle w:val="NormalTok"/>
        </w:rPr>
        <w:t xml:space="preserve">,</w:t>
      </w:r>
      <w:r>
        <w:rPr>
          <w:rStyle w:val="StringTok"/>
        </w:rPr>
        <w:t xml:space="preserve">"t3"</w:t>
      </w:r>
      <w:r>
        <w:rPr>
          <w:rStyle w:val="NormalTok"/>
        </w:rPr>
        <w:t xml:space="preserve">))</w:t>
      </w:r>
      <w:r>
        <w:br/>
      </w:r>
      <w:r>
        <w:rPr>
          <w:rStyle w:val="FunctionTok"/>
        </w:rPr>
        <w:t xml:space="preserve">colnames</w:t>
      </w:r>
      <w:r>
        <w:rPr>
          <w:rStyle w:val="NormalTok"/>
        </w:rPr>
        <w:t xml:space="preserve">(selfesteem)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"time"</w:t>
      </w:r>
      <w:r>
        <w:rPr>
          <w:rStyle w:val="NormalTok"/>
        </w:rPr>
        <w:t xml:space="preserve">,</w:t>
      </w:r>
      <w:r>
        <w:rPr>
          <w:rStyle w:val="StringTok"/>
        </w:rPr>
        <w:t xml:space="preserve">"self_esteem"</w:t>
      </w:r>
      <w:r>
        <w:rPr>
          <w:rStyle w:val="NormalTok"/>
        </w:rPr>
        <w:t xml:space="preserve">)</w:t>
      </w:r>
      <w:r>
        <w:br/>
      </w:r>
      <w:r>
        <w:rPr>
          <w:rStyle w:val="DocumentationTok"/>
        </w:rPr>
        <w:t xml:space="preserve">####</w:t>
      </w:r>
      <w:r>
        <w:br/>
      </w:r>
      <w:r>
        <w:br/>
      </w:r>
      <w:r>
        <w:rPr>
          <w:rStyle w:val="NormalTok"/>
        </w:rPr>
        <w:t xml:space="preserve">rmANOVA_mdl </w:t>
      </w:r>
      <w:r>
        <w:rPr>
          <w:rStyle w:val="OtherTok"/>
        </w:rPr>
        <w:t xml:space="preserve">=</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self_esteem </w:t>
      </w:r>
      <w:r>
        <w:rPr>
          <w:rStyle w:val="SpecialCharTok"/>
        </w:rPr>
        <w:t xml:space="preserve">~</w:t>
      </w:r>
      <w:r>
        <w:rPr>
          <w:rStyle w:val="NormalTok"/>
        </w:rPr>
        <w:t xml:space="preserve"> time </w:t>
      </w:r>
      <w:r>
        <w:rPr>
          <w:rStyle w:val="SpecialCharTok"/>
        </w:rPr>
        <w:t xml:space="preserve">+</w:t>
      </w:r>
      <w:r>
        <w:rPr>
          <w:rStyle w:val="NormalTok"/>
        </w:rPr>
        <w:t xml:space="preserve"> </w:t>
      </w:r>
      <w:r>
        <w:rPr>
          <w:rStyle w:val="FunctionTok"/>
        </w:rPr>
        <w:t xml:space="preserve">Error</w:t>
      </w:r>
      <w:r>
        <w:rPr>
          <w:rStyle w:val="NormalTok"/>
        </w:rPr>
        <w:t xml:space="preserve">(subject),</w:t>
      </w:r>
      <w:r>
        <w:br/>
      </w:r>
      <w:r>
        <w:rPr>
          <w:rStyle w:val="NormalTok"/>
        </w:rPr>
        <w:t xml:space="preserve">                  </w:t>
      </w:r>
      <w:r>
        <w:rPr>
          <w:rStyle w:val="AttributeTok"/>
        </w:rPr>
        <w:t xml:space="preserve">data =</w:t>
      </w:r>
      <w:r>
        <w:rPr>
          <w:rStyle w:val="NormalTok"/>
        </w:rPr>
        <w:t xml:space="preserve"> selfesteem)</w:t>
      </w:r>
      <w:r>
        <w:br/>
      </w:r>
      <w:r>
        <w:rPr>
          <w:rStyle w:val="FunctionTok"/>
        </w:rPr>
        <w:t xml:space="preserve">summary</w:t>
      </w:r>
      <w:r>
        <w:rPr>
          <w:rStyle w:val="NormalTok"/>
        </w:rPr>
        <w:t xml:space="preserve">(rmANOVA_mdl)</w:t>
      </w:r>
    </w:p>
    <w:p>
      <w:pPr>
        <w:pStyle w:val="SourceCode"/>
      </w:pPr>
      <w:r>
        <w:br/>
      </w:r>
      <w:r>
        <w:rPr>
          <w:rStyle w:val="VerbatimChar"/>
        </w:rPr>
        <w:t xml:space="preserve">Error: subject</w:t>
      </w:r>
      <w:r>
        <w:br/>
      </w:r>
      <w:r>
        <w:rPr>
          <w:rStyle w:val="VerbatimChar"/>
        </w:rPr>
        <w:t xml:space="preserve">          Df  Sum Sq Mean Sq F value Pr(&gt;F)</w:t>
      </w:r>
      <w:r>
        <w:br/>
      </w:r>
      <w:r>
        <w:rPr>
          <w:rStyle w:val="VerbatimChar"/>
        </w:rPr>
        <w:t xml:space="preserve">Residuals  1 0.07667 0.07667               </w:t>
      </w:r>
      <w:r>
        <w:br/>
      </w:r>
      <w:r>
        <w:br/>
      </w:r>
      <w:r>
        <w:rPr>
          <w:rStyle w:val="VerbatimChar"/>
        </w:rPr>
        <w:t xml:space="preserve">Error: Within</w:t>
      </w:r>
      <w:r>
        <w:br/>
      </w:r>
      <w:r>
        <w:rPr>
          <w:rStyle w:val="VerbatimChar"/>
        </w:rPr>
        <w:t xml:space="preserve">          Df Sum Sq Mean Sq F value   Pr(&gt;F)    </w:t>
      </w:r>
      <w:r>
        <w:br/>
      </w:r>
      <w:r>
        <w:rPr>
          <w:rStyle w:val="VerbatimChar"/>
        </w:rPr>
        <w:t xml:space="preserve">time       2 102.46   51.23   63.07 1.06e-10 ***</w:t>
      </w:r>
      <w:r>
        <w:br/>
      </w:r>
      <w:r>
        <w:rPr>
          <w:rStyle w:val="VerbatimChar"/>
        </w:rPr>
        <w:t xml:space="preserve">Residuals 26  21.12    0.81                     </w:t>
      </w:r>
      <w:r>
        <w:br/>
      </w:r>
      <w:r>
        <w:rPr>
          <w:rStyle w:val="VerbatimChar"/>
        </w:rPr>
        <w:t xml:space="preserve">---</w:t>
      </w:r>
      <w:r>
        <w:br/>
      </w:r>
      <w:r>
        <w:rPr>
          <w:rStyle w:val="VerbatimChar"/>
        </w:rPr>
        <w:t xml:space="preserve">Signif. codes:  0 '***' 0.001 '**' 0.01 '*' 0.05 '.' 0.1 ' ' 1</w:t>
      </w:r>
    </w:p>
    <w:p>
      <w:pPr>
        <w:pStyle w:val="FirstParagraph"/>
      </w:pPr>
      <w:r>
        <w:drawing>
          <wp:inline>
            <wp:extent cx="5334000" cy="4267200"/>
            <wp:effectExtent b="0" l="0" r="0" t="0"/>
            <wp:docPr descr="" title="" id="140" name="Picture"/>
            <a:graphic>
              <a:graphicData uri="http://schemas.openxmlformats.org/drawingml/2006/picture">
                <pic:pic>
                  <pic:nvPicPr>
                    <pic:cNvPr descr="Effect-Sizes-for-ANOVAs_files/figure-docx/unnamed-chunk-9-1.png" id="141" name="Picture"/>
                    <pic:cNvPicPr>
                      <a:picLocks noChangeArrowheads="1" noChangeAspect="1"/>
                    </pic:cNvPicPr>
                  </pic:nvPicPr>
                  <pic:blipFill>
                    <a:blip r:embed="rId1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two tables displayed here, the table on top displays the between subject effects and the table below shows the within subject effects.The equations and functions to calculate</w:t>
      </w:r>
      <w:r>
        <w:t xml:space="preserve"> </w:t>
      </w:r>
      <m:oMath>
        <m:sSup>
          <m:e>
            <m:r>
              <m:t>η</m:t>
            </m:r>
          </m:e>
          <m:sup>
            <m:r>
              <m:t>2</m:t>
            </m:r>
          </m:sup>
        </m:sSup>
      </m:oMath>
      <w:r>
        <w:t xml:space="preserve"> </w:t>
      </w:r>
      <w:r>
        <w:t xml:space="preserve">mentioned in the one-way between-subjects ANOVAs section also apply here:</w:t>
      </w:r>
    </w:p>
    <w:p>
      <w:pPr>
        <w:pStyle w:val="BodyText"/>
      </w:pPr>
      <m:oMathPara>
        <m:oMathParaPr>
          <m:jc m:val="center"/>
        </m:oMathParaPr>
        <m:oMath>
          <m:sSup>
            <m:e>
              <m:r>
                <m:t>η</m:t>
              </m:r>
            </m:e>
            <m:sup>
              <m:r>
                <m:t>2</m:t>
              </m:r>
            </m:sup>
          </m:sSup>
          <m:r>
            <m:rPr>
              <m:sty m:val="p"/>
            </m:rPr>
            <m:t>=</m:t>
          </m:r>
          <m:f>
            <m:fPr>
              <m:type m:val="bar"/>
            </m:fPr>
            <m:num>
              <m:r>
                <m:t>d</m:t>
              </m:r>
              <m:sSub>
                <m:e>
                  <m:r>
                    <m:t>f</m:t>
                  </m:r>
                </m:e>
                <m:sub>
                  <m:r>
                    <m:rPr>
                      <m:nor/>
                      <m:sty m:val="p"/>
                    </m:rPr>
                    <m:t>effect</m:t>
                  </m:r>
                </m:sub>
              </m:sSub>
              <m:r>
                <m:rPr>
                  <m:sty m:val="p"/>
                </m:rPr>
                <m:t>×</m:t>
              </m:r>
              <m:r>
                <m:t>F</m:t>
              </m:r>
            </m:num>
            <m:den>
              <m:r>
                <m:t>d</m:t>
              </m:r>
              <m:sSub>
                <m:e>
                  <m:r>
                    <m:t>f</m:t>
                  </m:r>
                </m:e>
                <m:sub>
                  <m:r>
                    <m:rPr>
                      <m:nor/>
                      <m:sty m:val="p"/>
                    </m:rPr>
                    <m:t>effect</m:t>
                  </m:r>
                </m:sub>
              </m:sSub>
              <m:r>
                <m:rPr>
                  <m:sty m:val="p"/>
                </m:rPr>
                <m:t>×</m:t>
              </m:r>
              <m:r>
                <m:t>F</m:t>
              </m:r>
              <m:r>
                <m:rPr>
                  <m:sty m:val="p"/>
                </m:rPr>
                <m:t>+</m:t>
              </m:r>
              <m:r>
                <m:t>d</m:t>
              </m:r>
              <m:sSub>
                <m:e>
                  <m:r>
                    <m:t>f</m:t>
                  </m:r>
                </m:e>
                <m:sub>
                  <m:r>
                    <m:rPr>
                      <m:nor/>
                      <m:sty m:val="p"/>
                    </m:rPr>
                    <m:t>error-within</m:t>
                  </m:r>
                </m:sub>
              </m:sSub>
            </m:den>
          </m:f>
          <m:r>
            <m:rPr>
              <m:sty m:val="p"/>
            </m:rPr>
            <m:t>,</m:t>
          </m:r>
        </m:oMath>
      </m:oMathPara>
    </w:p>
    <w:p>
      <w:pPr>
        <w:pStyle w:val="FirstParagraph"/>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Note that here</w:t>
      </w:r>
      <w:r>
        <w:t xml:space="preserve"> </w:t>
      </w:r>
      <m:oMath>
        <m:r>
          <m:t>S</m:t>
        </m:r>
        <m:sSub>
          <m:e>
            <m:r>
              <m:t>S</m:t>
            </m:r>
          </m:e>
          <m:sub>
            <m:r>
              <m:rPr>
                <m:nor/>
                <m:sty m:val="p"/>
              </m:rPr>
              <m:t>total</m:t>
            </m:r>
          </m:sub>
        </m:sSub>
      </m:oMath>
      <w:r>
        <w:t xml:space="preserve"> </w:t>
      </w:r>
      <w:r>
        <w:t xml:space="preserve">does not include</w:t>
      </w:r>
      <w:r>
        <w:t xml:space="preserve"> </w:t>
      </w:r>
      <m:oMath>
        <m:r>
          <m:t>S</m:t>
        </m:r>
        <m:sSub>
          <m:e>
            <m:r>
              <m:t>S</m:t>
            </m:r>
          </m:e>
          <m:sub>
            <m:r>
              <m:rPr>
                <m:nor/>
                <m:sty m:val="p"/>
              </m:rPr>
              <m:t>error-between</m:t>
            </m:r>
          </m:sub>
        </m:sSub>
      </m:oMath>
      <w:r>
        <w:t xml:space="preserve"> </w:t>
      </w:r>
      <w:r>
        <w:t xml:space="preserve">because we are not interested in it by conducting a rmANOVA. This analysis targets an effect that we think should happen on each subject, regardless of how these subjects will vary from each other. In other words, between-subjects variance can be large or small, but we do not care about it when we examine whether there is an effect or not across repeated measures. Therefore the total sum of squares can be defined as</w:t>
      </w:r>
    </w:p>
    <w:p>
      <w:pPr>
        <w:pStyle w:val="BodyText"/>
      </w:pPr>
      <m:oMathPara>
        <m:oMathParaPr>
          <m:jc m:val="center"/>
        </m:oMathParaP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error-within</m:t>
              </m:r>
            </m:sub>
          </m:sSub>
        </m:oMath>
      </m:oMathPara>
    </w:p>
    <w:p>
      <w:pPr>
        <w:pStyle w:val="FirstParagraph"/>
      </w:pPr>
      <w:r>
        <w:t xml:space="preserve">Therefore we can calculate</w:t>
      </w:r>
      <w:r>
        <w:t xml:space="preserve"> </w:t>
      </w:r>
      <m:oMath>
        <m:sSup>
          <m:e>
            <m:r>
              <m:t>η</m:t>
            </m:r>
          </m:e>
          <m:sup>
            <m:r>
              <m:t>2</m:t>
            </m:r>
          </m:sup>
        </m:sSup>
      </m:oMath>
      <w:r>
        <w:t xml:space="preserve"> </w:t>
      </w:r>
      <w:r>
        <w:t xml:space="preserve">from the rmANOVA table as,</w:t>
      </w:r>
    </w:p>
    <w:p>
      <w:pPr>
        <w:pStyle w:val="BodyText"/>
      </w:pPr>
      <m:oMathPara>
        <m:oMathParaPr>
          <m:jc m:val="center"/>
        </m:oMathParaPr>
        <m:oMath>
          <m:sSup>
            <m:e>
              <m:r>
                <m:t>η</m:t>
              </m:r>
            </m:e>
            <m:sup>
              <m:r>
                <m:t>2</m:t>
              </m:r>
            </m:sup>
          </m:sSup>
          <m:r>
            <m:rPr>
              <m:sty m:val="p"/>
            </m:rPr>
            <m:t>=</m:t>
          </m:r>
          <m:f>
            <m:fPr>
              <m:type m:val="bar"/>
            </m:fPr>
            <m:num>
              <m:r>
                <m:t>102.46</m:t>
              </m:r>
            </m:num>
            <m:den>
              <m:r>
                <m:t>21.12</m:t>
              </m:r>
              <m:r>
                <m:rPr>
                  <m:sty m:val="p"/>
                </m:rPr>
                <m:t>+</m:t>
              </m:r>
              <m:r>
                <m:t>102.46</m:t>
              </m:r>
            </m:den>
          </m:f>
          <m:r>
            <m:rPr>
              <m:sty m:val="p"/>
            </m:rPr>
            <m:t>=</m:t>
          </m:r>
          <m:r>
            <m:t>.83</m:t>
          </m:r>
        </m:oMath>
      </m:oMathPara>
    </w:p>
    <w:p>
      <w:pPr>
        <w:pStyle w:val="FirstParagraph"/>
      </w:pPr>
      <w:r>
        <w:t xml:space="preserve">We can plug the rmANOVA model into the</w:t>
      </w:r>
      <w:r>
        <w:t xml:space="preserve"> </w:t>
      </w:r>
      <w:r>
        <w:rPr>
          <w:rStyle w:val="VerbatimChar"/>
        </w:rPr>
        <w:t xml:space="preserve">eta_squared()</w:t>
      </w:r>
      <w:r>
        <w:t xml:space="preserve"> </w:t>
      </w:r>
      <w:r>
        <w:t xml:space="preserve">function from the</w:t>
      </w:r>
      <w:r>
        <w:t xml:space="preserve"> </w:t>
      </w:r>
      <w:r>
        <w:rPr>
          <w:rStyle w:val="VerbatimChar"/>
        </w:rPr>
        <w:t xml:space="preserve">effectsize</w:t>
      </w:r>
      <w:r>
        <w:t xml:space="preserve"> </w:t>
      </w:r>
      <w:r>
        <w:t xml:space="preserve">package in R</w:t>
      </w:r>
      <w:r>
        <w:t xml:space="preserve"> </w:t>
      </w:r>
      <w:r>
        <w:t xml:space="preserve">(Ben-Shachar, Lüdecke, and Makowski 2020)</w:t>
      </w:r>
      <w:r>
        <w:t xml:space="preserve"> </w:t>
      </w:r>
      <w:r>
        <w:t xml:space="preserve">to calculate</w:t>
      </w:r>
      <w:r>
        <w:t xml:space="preserve"> </w:t>
      </w:r>
      <m:oMath>
        <m:sSup>
          <m:e>
            <m:r>
              <m:t>η</m:t>
            </m:r>
          </m:e>
          <m:sup>
            <m:r>
              <m:t>2</m:t>
            </m:r>
          </m:sup>
        </m:sSup>
      </m:oMath>
      <w:r>
        <w:t xml:space="preserve">.</w:t>
      </w:r>
    </w:p>
    <w:p>
      <w:pPr>
        <w:pStyle w:val="SourceCode"/>
      </w:pPr>
      <w:r>
        <w:rPr>
          <w:rStyle w:val="FunctionTok"/>
        </w:rPr>
        <w:t xml:space="preserve">library</w:t>
      </w:r>
      <w:r>
        <w:rPr>
          <w:rStyle w:val="NormalTok"/>
        </w:rPr>
        <w:t xml:space="preserve">(effectsize)</w:t>
      </w:r>
      <w:r>
        <w:br/>
      </w:r>
      <w:r>
        <w:br/>
      </w:r>
      <w:r>
        <w:rPr>
          <w:rStyle w:val="FunctionTok"/>
        </w:rPr>
        <w:t xml:space="preserve">eta_squared</w:t>
      </w:r>
      <w:r>
        <w:rPr>
          <w:rStyle w:val="NormalTok"/>
        </w:rPr>
        <w:t xml:space="preserve">(rmANOVA_mdl,</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Group  | Parameter | Eta2 (partial) |       95% CI</w:t>
      </w:r>
      <w:r>
        <w:br/>
      </w:r>
      <w:r>
        <w:rPr>
          <w:rStyle w:val="VerbatimChar"/>
        </w:rPr>
        <w:t xml:space="preserve">--------------------------------------------------</w:t>
      </w:r>
      <w:r>
        <w:br/>
      </w:r>
      <w:r>
        <w:rPr>
          <w:rStyle w:val="VerbatimChar"/>
        </w:rPr>
        <w:t xml:space="preserve">Within |      time |           0.83 | [0.69, 0.89]</w:t>
      </w:r>
    </w:p>
    <w:p>
      <w:pPr>
        <w:pStyle w:val="FirstParagraph"/>
      </w:pPr>
      <w:r>
        <w:t xml:space="preserve">As expected, we find the same point-estimate from our hand calculation. To calculate</w:t>
      </w:r>
      <w:r>
        <w:t xml:space="preserve"> </w:t>
      </w:r>
      <m:oMath>
        <m:sSup>
          <m:e>
            <m:r>
              <m:t>η</m:t>
            </m:r>
          </m:e>
          <m:sup>
            <m:r>
              <m:t>2</m:t>
            </m:r>
          </m:sup>
        </m:sSup>
      </m:oMath>
      <w:r>
        <w:t xml:space="preserve"> </w:t>
      </w:r>
      <w:r>
        <w:t xml:space="preserve">from the F-statistic and degrees of freedom we can use the</w:t>
      </w:r>
      <w:r>
        <w:t xml:space="preserve"> </w:t>
      </w:r>
      <w:r>
        <w:rPr>
          <w:rStyle w:val="VerbatimChar"/>
        </w:rPr>
        <w:t xml:space="preserve">MOTE</w:t>
      </w:r>
      <w:r>
        <w:t xml:space="preserve"> </w:t>
      </w:r>
      <w:r>
        <w:t xml:space="preserve">package</w:t>
      </w:r>
      <w:r>
        <w:t xml:space="preserve"> </w:t>
      </w:r>
      <w:r>
        <w:t xml:space="preserve">(Buchanan et al. 2019)</w:t>
      </w:r>
      <w:r>
        <w:t xml:space="preserve"> </w:t>
      </w:r>
      <w:r>
        <w:t xml:space="preserve">as we did in</w:t>
      </w:r>
      <w:r>
        <w:t xml:space="preserve"> </w:t>
      </w:r>
      <w:hyperlink w:anchor="sec-eta-table">
        <w:r>
          <w:rPr>
            <w:rStyle w:val="Hyperlink"/>
          </w:rPr>
          <w:t xml:space="preserve">Section 11.3.3</w:t>
        </w:r>
      </w:hyperlink>
    </w:p>
    <w:p>
      <w:pPr>
        <w:pStyle w:val="SourceCode"/>
      </w:pPr>
      <w:r>
        <w:rPr>
          <w:rStyle w:val="FunctionTok"/>
        </w:rPr>
        <w:t xml:space="preserve">library</w:t>
      </w:r>
      <w:r>
        <w:rPr>
          <w:rStyle w:val="NormalTok"/>
        </w:rPr>
        <w:t xml:space="preserve">(MOTE)</w:t>
      </w:r>
      <w:r>
        <w:br/>
      </w:r>
      <w:r>
        <w:br/>
      </w:r>
      <w:r>
        <w:rPr>
          <w:rStyle w:val="NormalTok"/>
        </w:rPr>
        <w:t xml:space="preserve">eta </w:t>
      </w:r>
      <w:r>
        <w:rPr>
          <w:rStyle w:val="OtherTok"/>
        </w:rPr>
        <w:t xml:space="preserve">&lt;-</w:t>
      </w:r>
      <w:r>
        <w:rPr>
          <w:rStyle w:val="NormalTok"/>
        </w:rPr>
        <w:t xml:space="preserve"> </w:t>
      </w:r>
      <w:r>
        <w:rPr>
          <w:rStyle w:val="FunctionTok"/>
        </w:rPr>
        <w:t xml:space="preserve">eta.full.SS</w:t>
      </w:r>
      <w:r>
        <w:rPr>
          <w:rStyle w:val="NormalTok"/>
        </w:rPr>
        <w:t xml:space="preserve">(</w:t>
      </w:r>
      <w:r>
        <w:rPr>
          <w:rStyle w:val="AttributeTok"/>
        </w:rPr>
        <w:t xml:space="preserve">dfm =</w:t>
      </w:r>
      <w:r>
        <w:rPr>
          <w:rStyle w:val="NormalTok"/>
        </w:rPr>
        <w:t xml:space="preserve"> </w:t>
      </w:r>
      <w:r>
        <w:rPr>
          <w:rStyle w:val="DecValTok"/>
        </w:rPr>
        <w:t xml:space="preserve">2</w:t>
      </w:r>
      <w:r>
        <w:rPr>
          <w:rStyle w:val="NormalTok"/>
        </w:rPr>
        <w:t xml:space="preserve">,  </w:t>
      </w:r>
      <w:r>
        <w:rPr>
          <w:rStyle w:val="CommentTok"/>
        </w:rPr>
        <w:t xml:space="preserve"># effect degrees of freedom</w:t>
      </w:r>
      <w:r>
        <w:br/>
      </w:r>
      <w:r>
        <w:rPr>
          <w:rStyle w:val="NormalTok"/>
        </w:rPr>
        <w:t xml:space="preserve">                   </w:t>
      </w:r>
      <w:r>
        <w:rPr>
          <w:rStyle w:val="AttributeTok"/>
        </w:rPr>
        <w:t xml:space="preserve">dfe =</w:t>
      </w:r>
      <w:r>
        <w:rPr>
          <w:rStyle w:val="NormalTok"/>
        </w:rPr>
        <w:t xml:space="preserve"> </w:t>
      </w:r>
      <w:r>
        <w:rPr>
          <w:rStyle w:val="DecValTok"/>
        </w:rPr>
        <w:t xml:space="preserve">26</w:t>
      </w:r>
      <w:r>
        <w:rPr>
          <w:rStyle w:val="NormalTok"/>
        </w:rPr>
        <w:t xml:space="preserve">, </w:t>
      </w:r>
      <w:r>
        <w:rPr>
          <w:rStyle w:val="CommentTok"/>
        </w:rPr>
        <w:t xml:space="preserve"># error degrees of freedom</w:t>
      </w:r>
      <w:r>
        <w:br/>
      </w:r>
      <w:r>
        <w:rPr>
          <w:rStyle w:val="NormalTok"/>
        </w:rPr>
        <w:t xml:space="preserve">                   </w:t>
      </w:r>
      <w:r>
        <w:rPr>
          <w:rStyle w:val="AttributeTok"/>
        </w:rPr>
        <w:t xml:space="preserve">ssm =</w:t>
      </w:r>
      <w:r>
        <w:rPr>
          <w:rStyle w:val="NormalTok"/>
        </w:rPr>
        <w:t xml:space="preserve"> </w:t>
      </w:r>
      <w:r>
        <w:rPr>
          <w:rStyle w:val="FloatTok"/>
        </w:rPr>
        <w:t xml:space="preserve">102.46</w:t>
      </w:r>
      <w:r>
        <w:rPr>
          <w:rStyle w:val="NormalTok"/>
        </w:rPr>
        <w:t xml:space="preserve">, </w:t>
      </w:r>
      <w:r>
        <w:rPr>
          <w:rStyle w:val="CommentTok"/>
        </w:rPr>
        <w:t xml:space="preserve"># sum of squares for the effect</w:t>
      </w:r>
      <w:r>
        <w:br/>
      </w:r>
      <w:r>
        <w:rPr>
          <w:rStyle w:val="NormalTok"/>
        </w:rPr>
        <w:t xml:space="preserve">                   </w:t>
      </w:r>
      <w:r>
        <w:rPr>
          <w:rStyle w:val="AttributeTok"/>
        </w:rPr>
        <w:t xml:space="preserve">sst =</w:t>
      </w:r>
      <w:r>
        <w:rPr>
          <w:rStyle w:val="NormalTok"/>
        </w:rPr>
        <w:t xml:space="preserve"> </w:t>
      </w:r>
      <w:r>
        <w:rPr>
          <w:rStyle w:val="FloatTok"/>
        </w:rPr>
        <w:t xml:space="preserve">102.46</w:t>
      </w:r>
      <w:r>
        <w:rPr>
          <w:rStyle w:val="NormalTok"/>
        </w:rPr>
        <w:t xml:space="preserve"> </w:t>
      </w:r>
      <w:r>
        <w:rPr>
          <w:rStyle w:val="SpecialCharTok"/>
        </w:rPr>
        <w:t xml:space="preserve">+</w:t>
      </w:r>
      <w:r>
        <w:rPr>
          <w:rStyle w:val="NormalTok"/>
        </w:rPr>
        <w:t xml:space="preserve"> </w:t>
      </w:r>
      <w:r>
        <w:rPr>
          <w:rStyle w:val="FloatTok"/>
        </w:rPr>
        <w:t xml:space="preserve">21.12</w:t>
      </w:r>
      <w:r>
        <w:rPr>
          <w:rStyle w:val="NormalTok"/>
        </w:rPr>
        <w:t xml:space="preserve">, </w:t>
      </w:r>
      <w:r>
        <w:rPr>
          <w:rStyle w:val="CommentTok"/>
        </w:rPr>
        <w:t xml:space="preserve"># total sum of squares</w:t>
      </w:r>
      <w:r>
        <w:br/>
      </w:r>
      <w:r>
        <w:rPr>
          <w:rStyle w:val="NormalTok"/>
        </w:rPr>
        <w:t xml:space="preserve">                   </w:t>
      </w:r>
      <w:r>
        <w:rPr>
          <w:rStyle w:val="AttributeTok"/>
        </w:rPr>
        <w:t xml:space="preserve">Fvalue =</w:t>
      </w:r>
      <w:r>
        <w:rPr>
          <w:rStyle w:val="NormalTok"/>
        </w:rPr>
        <w:t xml:space="preserve"> </w:t>
      </w:r>
      <w:r>
        <w:rPr>
          <w:rStyle w:val="FloatTok"/>
        </w:rPr>
        <w:t xml:space="preserve">63.07</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05</w:t>
      </w:r>
      <w:r>
        <w:rPr>
          <w:rStyle w:val="NormalTok"/>
        </w:rPr>
        <w:t xml:space="preserve">)</w:t>
      </w:r>
      <w:r>
        <w:br/>
      </w:r>
      <w:r>
        <w:br/>
      </w:r>
      <w:r>
        <w:rPr>
          <w:rStyle w:val="FunctionTok"/>
        </w:rPr>
        <w:t xml:space="preserve">data.frame</w:t>
      </w:r>
      <w:r>
        <w:rPr>
          <w:rStyle w:val="NormalTok"/>
        </w:rPr>
        <w:t xml:space="preserve">(</w:t>
      </w:r>
      <w:r>
        <w:rPr>
          <w:rStyle w:val="AttributeTok"/>
        </w:rPr>
        <w:t xml:space="preserve">eta_squared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w:t>
      </w:r>
      <w:r>
        <w:br/>
      </w:r>
      <w:r>
        <w:rPr>
          <w:rStyle w:val="NormalTok"/>
        </w:rPr>
        <w:t xml:space="preserve">           </w:t>
      </w:r>
      <w:r>
        <w:rPr>
          <w:rStyle w:val="AttributeTok"/>
        </w:rPr>
        <w:t xml:space="preserve">etalow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etalow),</w:t>
      </w:r>
      <w:r>
        <w:br/>
      </w:r>
      <w:r>
        <w:rPr>
          <w:rStyle w:val="NormalTok"/>
        </w:rPr>
        <w:t xml:space="preserve">           </w:t>
      </w:r>
      <w:r>
        <w:rPr>
          <w:rStyle w:val="AttributeTok"/>
        </w:rPr>
        <w:t xml:space="preserve">etahigh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etahigh))</w:t>
      </w:r>
    </w:p>
    <w:p>
      <w:pPr>
        <w:pStyle w:val="SourceCode"/>
      </w:pPr>
      <w:r>
        <w:rPr>
          <w:rStyle w:val="VerbatimChar"/>
        </w:rPr>
        <w:t xml:space="preserve">  eta_squared etalow etahigh</w:t>
      </w:r>
      <w:r>
        <w:br/>
      </w:r>
      <w:r>
        <w:rPr>
          <w:rStyle w:val="VerbatimChar"/>
        </w:rPr>
        <w:t xml:space="preserve">1       0.829  0.644   0.910</w:t>
      </w:r>
    </w:p>
    <w:p>
      <w:pPr>
        <w:pStyle w:val="FirstParagraph"/>
      </w:pPr>
      <w:r>
        <w:t xml:space="preserve">Note the discrepency between confidence intervals returned by</w:t>
      </w:r>
      <w:r>
        <w:t xml:space="preserve"> </w:t>
      </w:r>
      <w:r>
        <w:rPr>
          <w:rStyle w:val="VerbatimChar"/>
        </w:rPr>
        <w:t xml:space="preserve">MOTE</w:t>
      </w:r>
      <w:r>
        <w:t xml:space="preserve"> </w:t>
      </w:r>
      <w:r>
        <w:t xml:space="preserve">and</w:t>
      </w:r>
      <w:r>
        <w:t xml:space="preserve"> </w:t>
      </w:r>
      <w:r>
        <w:rPr>
          <w:rStyle w:val="VerbatimChar"/>
        </w:rPr>
        <w:t xml:space="preserve">effectsize</w:t>
      </w:r>
      <w:r>
        <w:t xml:space="preserve"> </w:t>
      </w:r>
      <w:r>
        <w:t xml:space="preserve">this is due to differences in the calculation.</w:t>
      </w:r>
    </w:p>
    <w:bookmarkEnd w:id="142"/>
    <w:bookmarkEnd w:id="143"/>
    <w:bookmarkStart w:id="149" w:name="two-way-between-subjects-anova"/>
    <w:p>
      <w:pPr>
        <w:pStyle w:val="Heading2"/>
      </w:pPr>
      <w:r>
        <w:t xml:space="preserve">11.5 Two-Way between-subjects ANOVA</w:t>
      </w:r>
    </w:p>
    <w:p>
      <w:pPr>
        <w:pStyle w:val="FirstParagraph"/>
      </w:pPr>
      <w:r>
        <w:t xml:space="preserve">Two-way between-subjects ANOVA is used when there are two predictor grouping variables in the model. Note again that between subjects means that each group contain different subjects.</w:t>
      </w:r>
    </w:p>
    <w:bookmarkStart w:id="144" w:name="determining-degrees-of-freedom-2"/>
    <w:p>
      <w:pPr>
        <w:pStyle w:val="Heading3"/>
      </w:pPr>
      <w:r>
        <w:t xml:space="preserve">11.5.1 Determining degrees of freedom</w:t>
      </w:r>
    </w:p>
    <w:p>
      <w:pPr>
        <w:pStyle w:val="FirstParagraph"/>
      </w:pPr>
      <w:r>
        <w:t xml:space="preserve">Please refer to the following table to determine the degrees of freedom for two-way ANOVA effects</w:t>
      </w:r>
      <w:r>
        <w:t xml:space="preserve"> </w:t>
      </w:r>
      <w:r>
        <w:t xml:space="preserve">(Morse 2018)</w:t>
      </w:r>
      <w:r>
        <w:t xml:space="preserve">. Note that</w:t>
      </w:r>
      <w:r>
        <w:t xml:space="preserve"> </w:t>
      </w:r>
      <m:oMath>
        <m:sSub>
          <m:e>
            <m:r>
              <m:t>k</m:t>
            </m:r>
          </m:e>
          <m:sub>
            <m:r>
              <m:t>1</m:t>
            </m:r>
          </m:sub>
        </m:sSub>
      </m:oMath>
      <w:r>
        <w:t xml:space="preserve"> </w:t>
      </w:r>
      <w:r>
        <w:t xml:space="preserve">is the number of groups in the first variable, and</w:t>
      </w:r>
      <w:r>
        <w:t xml:space="preserve"> </w:t>
      </w:r>
      <m:oMath>
        <m:sSub>
          <m:e>
            <m:r>
              <m:t>k</m:t>
            </m:r>
          </m:e>
          <m:sub>
            <m:r>
              <m:t>2</m:t>
            </m:r>
          </m:sub>
        </m:sSub>
      </m:oMath>
      <w:r>
        <w:t xml:space="preserve"> </w:t>
      </w:r>
      <w:r>
        <w:t xml:space="preserve">is the number of groups in the second variable.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Within subjects ANOVA</w:t>
            </w:r>
          </w:p>
        </w:tc>
        <w:tc>
          <w:tcPr/>
          <w:p>
            <w:pPr>
              <w:pStyle w:val="Compact"/>
            </w:pPr>
          </w:p>
        </w:tc>
      </w:tr>
      <w:tr>
        <w:tc>
          <w:tcPr/>
          <w:p>
            <w:pPr>
              <w:pStyle w:val="Compact"/>
              <w:jc w:val="left"/>
            </w:pPr>
            <w:r>
              <w:t xml:space="preserve">Main Effect (of one variable)</w:t>
            </w:r>
          </w:p>
        </w:tc>
        <w:tc>
          <w:tcPr/>
          <w:p>
            <w:pPr>
              <w:pStyle w:val="Compact"/>
              <w:jc w:val="center"/>
            </w:pPr>
            <m:oMath>
              <m:sSub>
                <m:e>
                  <m:r>
                    <m:t>k</m:t>
                  </m:r>
                </m:e>
                <m:sub>
                  <m:r>
                    <m:t>1</m:t>
                  </m:r>
                </m:sub>
              </m:sSub>
              <m:r>
                <m:rPr>
                  <m:sty m:val="p"/>
                </m:rPr>
                <m:t>−</m:t>
              </m:r>
              <m:r>
                <m:t>1</m:t>
              </m:r>
            </m:oMath>
            <w:r>
              <w:t xml:space="preserve"> </w:t>
            </w:r>
            <w:r>
              <w:t xml:space="preserve">or</w:t>
            </w:r>
            <w:r>
              <w:t xml:space="preserve"> </w:t>
            </w:r>
            <m:oMath>
              <m:sSub>
                <m:e>
                  <m:r>
                    <m:t>k</m:t>
                  </m:r>
                </m:e>
                <m:sub>
                  <m:r>
                    <m:t>2</m:t>
                  </m:r>
                </m:sub>
              </m:sSub>
              <m:r>
                <m:rPr>
                  <m:sty m:val="p"/>
                </m:rPr>
                <m:t>−</m:t>
              </m:r>
              <m:r>
                <m:t>1</m:t>
              </m:r>
            </m:oMath>
          </w:p>
        </w:tc>
      </w:tr>
      <w:tr>
        <w:tc>
          <w:tcPr/>
          <w:p>
            <w:pPr>
              <w:pStyle w:val="Compact"/>
              <w:jc w:val="left"/>
            </w:pPr>
            <w:r>
              <w:t xml:space="preserve">Interaction Effect</w:t>
            </w:r>
          </w:p>
        </w:tc>
        <w:tc>
          <w:tcPr/>
          <w:p>
            <w:pPr>
              <w:pStyle w:val="Compact"/>
              <w:jc w:val="center"/>
            </w:pPr>
            <m:oMath>
              <m:d>
                <m:dPr>
                  <m:begChr m:val="("/>
                  <m:endChr m:val=")"/>
                  <m:sepChr m:val=""/>
                  <m:grow/>
                </m:dPr>
                <m:e>
                  <m:sSub>
                    <m:e>
                      <m:r>
                        <m:t>k</m:t>
                      </m:r>
                    </m:e>
                    <m:sub>
                      <m:r>
                        <m:t>1</m:t>
                      </m:r>
                    </m:sub>
                  </m:sSub>
                  <m:r>
                    <m:rPr>
                      <m:sty m:val="p"/>
                    </m:rPr>
                    <m:t>−</m:t>
                  </m:r>
                  <m:r>
                    <m:t>1</m:t>
                  </m:r>
                </m:e>
              </m:d>
              <m:r>
                <m:rPr>
                  <m:sty m:val="p"/>
                </m:rPr>
                <m:t>×</m:t>
              </m:r>
              <m:d>
                <m:dPr>
                  <m:begChr m:val="("/>
                  <m:endChr m:val=")"/>
                  <m:sepChr m:val=""/>
                  <m:grow/>
                </m:dPr>
                <m:e>
                  <m:sSub>
                    <m:e>
                      <m:r>
                        <m:t>k</m:t>
                      </m:r>
                    </m:e>
                    <m:sub>
                      <m:r>
                        <m:t>2</m:t>
                      </m:r>
                    </m:sub>
                  </m:sSub>
                  <m:r>
                    <m:rPr>
                      <m:sty m:val="p"/>
                    </m:rPr>
                    <m:t>−</m:t>
                  </m:r>
                  <m:r>
                    <m:t>1</m:t>
                  </m:r>
                </m:e>
              </m:d>
            </m:oMath>
          </w:p>
        </w:tc>
      </w:tr>
      <w:tr>
        <w:tc>
          <w:tcPr/>
          <w:p>
            <w:pPr>
              <w:pStyle w:val="Compact"/>
              <w:jc w:val="left"/>
            </w:pPr>
            <w:r>
              <w:t xml:space="preserve">Error</w:t>
            </w:r>
          </w:p>
        </w:tc>
        <w:tc>
          <w:tcPr/>
          <w:p>
            <w:pPr>
              <w:pStyle w:val="Compact"/>
              <w:jc w:val="center"/>
            </w:pPr>
            <m:oMath>
              <m:r>
                <m:t>n</m:t>
              </m:r>
              <m:r>
                <m:rPr>
                  <m:sty m:val="p"/>
                </m:rPr>
                <m:t>−</m:t>
              </m:r>
              <m:sSub>
                <m:e>
                  <m:r>
                    <m:t>k</m:t>
                  </m:r>
                </m:e>
                <m:sub>
                  <m:r>
                    <m:t>1</m:t>
                  </m:r>
                </m:sub>
              </m:sSub>
              <m:r>
                <m:rPr>
                  <m:sty m:val="p"/>
                </m:rPr>
                <m:t>⋅</m:t>
              </m:r>
              <m:sSub>
                <m:e>
                  <m:r>
                    <m:t>k</m:t>
                  </m:r>
                </m:e>
                <m:sub>
                  <m:r>
                    <m:t>2</m:t>
                  </m:r>
                </m:sub>
              </m:sSub>
            </m:oMath>
          </w:p>
        </w:tc>
      </w:tr>
      <w:tr>
        <w:tc>
          <w:tcPr/>
          <w:p>
            <w:pPr>
              <w:pStyle w:val="Compact"/>
              <w:jc w:val="left"/>
            </w:pPr>
            <w:r>
              <w:t xml:space="preserve">Total</w:t>
            </w:r>
          </w:p>
        </w:tc>
        <w:tc>
          <w:tcPr/>
          <w:p>
            <w:pPr>
              <w:pStyle w:val="Compact"/>
              <w:jc w:val="center"/>
            </w:pPr>
            <m:oMath>
              <m:r>
                <m:t>n</m:t>
              </m:r>
              <m:r>
                <m:rPr>
                  <m:sty m:val="p"/>
                </m:rPr>
                <m:t>−</m:t>
              </m:r>
              <m:r>
                <m:t>1</m:t>
              </m:r>
            </m:oMath>
          </w:p>
        </w:tc>
      </w:tr>
    </w:tbl>
    <w:bookmarkEnd w:id="144"/>
    <w:bookmarkStart w:id="148" w:name="X68476090bd714407b04a30933badb1921737df8"/>
    <w:p>
      <w:pPr>
        <w:pStyle w:val="Heading3"/>
      </w:pPr>
      <w:r>
        <w:t xml:space="preserve">11.5.2 Eta-squared from Two-Way ANOVA statistics</w:t>
      </w:r>
    </w:p>
    <w:p>
      <w:pPr>
        <w:pStyle w:val="FirstParagraph"/>
      </w:pPr>
      <w:r>
        <w:t xml:space="preserve">For Two-way ANOVAs we can obtain</w:t>
      </w:r>
      <w:r>
        <w:t xml:space="preserve"> </w:t>
      </w:r>
      <m:oMath>
        <m:sSubSup>
          <m:e>
            <m:r>
              <m:t>η</m:t>
            </m:r>
          </m:e>
          <m:sub>
            <m:r>
              <m:t>p</m:t>
            </m:r>
          </m:sub>
          <m:sup>
            <m:r>
              <m:t>2</m:t>
            </m:r>
          </m:sup>
        </m:sSubSup>
      </m:oMath>
      <w:r>
        <w:t xml:space="preserve"> </w:t>
      </w:r>
      <w:r>
        <w:t xml:space="preserve">for each predictor in the model. Let’s construct our ANOVA model using data from the</w:t>
      </w:r>
      <w:r>
        <w:t xml:space="preserve"> </w:t>
      </w:r>
      <w:r>
        <w:rPr>
          <w:rStyle w:val="VerbatimChar"/>
        </w:rPr>
        <w:t xml:space="preserve">palmerpenguins</w:t>
      </w:r>
      <w:r>
        <w:t xml:space="preserve"> </w:t>
      </w:r>
      <w:r>
        <w:t xml:space="preserve">dataset</w:t>
      </w:r>
      <w:r>
        <w:t xml:space="preserve"> </w:t>
      </w:r>
      <w:r>
        <w:t xml:space="preserve">(Horst, Hill, and Gorman 2020)</w:t>
      </w:r>
      <w:r>
        <w:t xml:space="preserve">. In this example we want to see how the species and the sex of the penguin explains variance in body mass.</w:t>
      </w:r>
    </w:p>
    <w:p>
      <w:pPr>
        <w:pStyle w:val="SourceCode"/>
      </w:pPr>
      <w:r>
        <w:rPr>
          <w:rStyle w:val="FunctionTok"/>
        </w:rPr>
        <w:t xml:space="preserve">library</w:t>
      </w:r>
      <w:r>
        <w:rPr>
          <w:rStyle w:val="NormalTok"/>
        </w:rPr>
        <w:t xml:space="preserve">(palmerpenguins)</w:t>
      </w:r>
      <w:r>
        <w:br/>
      </w:r>
      <w:r>
        <w:br/>
      </w:r>
      <w:r>
        <w:rPr>
          <w:rStyle w:val="NormalTok"/>
        </w:rPr>
        <w:t xml:space="preserve">ANOVA2_mdl </w:t>
      </w:r>
      <w:r>
        <w:rPr>
          <w:rStyle w:val="OtherTok"/>
        </w:rPr>
        <w:t xml:space="preserve">&lt;-</w:t>
      </w:r>
      <w:r>
        <w:rPr>
          <w:rStyle w:val="NormalTok"/>
        </w:rPr>
        <w:t xml:space="preserve"> </w:t>
      </w:r>
      <w:r>
        <w:rPr>
          <w:rStyle w:val="FunctionTok"/>
        </w:rPr>
        <w:t xml:space="preserve">aov</w:t>
      </w:r>
      <w:r>
        <w:rPr>
          <w:rStyle w:val="NormalTok"/>
        </w:rPr>
        <w:t xml:space="preserve">(body_mass_g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rPr>
          <w:rStyle w:val="SpecialCharTok"/>
        </w:rPr>
        <w:t xml:space="preserve">+</w:t>
      </w:r>
      <w:r>
        <w:rPr>
          <w:rStyle w:val="NormalTok"/>
        </w:rPr>
        <w:t xml:space="preserve"> species</w:t>
      </w:r>
      <w:r>
        <w:rPr>
          <w:rStyle w:val="SpecialCharTok"/>
        </w:rPr>
        <w:t xml:space="preserve">:</w:t>
      </w:r>
      <w:r>
        <w:rPr>
          <w:rStyle w:val="NormalTok"/>
        </w:rPr>
        <w:t xml:space="preserve">sex,</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summary</w:t>
      </w:r>
      <w:r>
        <w:rPr>
          <w:rStyle w:val="NormalTok"/>
        </w:rPr>
        <w:t xml:space="preserve">(ANOVA2_mdl)</w:t>
      </w:r>
    </w:p>
    <w:p>
      <w:pPr>
        <w:pStyle w:val="SourceCode"/>
      </w:pPr>
      <w:r>
        <w:rPr>
          <w:rStyle w:val="VerbatimChar"/>
        </w:rPr>
        <w:t xml:space="preserve">             Df    Sum Sq  Mean Sq F value   Pr(&gt;F)    </w:t>
      </w:r>
      <w:r>
        <w:br/>
      </w:r>
      <w:r>
        <w:rPr>
          <w:rStyle w:val="VerbatimChar"/>
        </w:rPr>
        <w:t xml:space="preserve">species       2 145190219 72595110 758.358  &lt; 2e-16 ***</w:t>
      </w:r>
      <w:r>
        <w:br/>
      </w:r>
      <w:r>
        <w:rPr>
          <w:rStyle w:val="VerbatimChar"/>
        </w:rPr>
        <w:t xml:space="preserve">sex           1  37090262 37090262 387.460  &lt; 2e-16 ***</w:t>
      </w:r>
      <w:r>
        <w:br/>
      </w:r>
      <w:r>
        <w:rPr>
          <w:rStyle w:val="VerbatimChar"/>
        </w:rPr>
        <w:t xml:space="preserve">species:sex   2   1676557   838278   8.757 0.000197 ***</w:t>
      </w:r>
      <w:r>
        <w:br/>
      </w:r>
      <w:r>
        <w:rPr>
          <w:rStyle w:val="VerbatimChar"/>
        </w:rPr>
        <w:t xml:space="preserve">Residuals   327  31302628    95727                     </w:t>
      </w:r>
      <w:r>
        <w:br/>
      </w:r>
      <w:r>
        <w:rPr>
          <w:rStyle w:val="VerbatimChar"/>
        </w:rPr>
        <w:t xml:space="preserve">---</w:t>
      </w:r>
      <w:r>
        <w:br/>
      </w:r>
      <w:r>
        <w:rPr>
          <w:rStyle w:val="VerbatimChar"/>
        </w:rPr>
        <w:t xml:space="preserve">Signif. codes:  0 '***' 0.001 '**' 0.01 '*' 0.05 '.' 0.1 ' ' 1</w:t>
      </w:r>
      <w:r>
        <w:br/>
      </w:r>
      <w:r>
        <w:rPr>
          <w:rStyle w:val="VerbatimChar"/>
        </w:rPr>
        <w:t xml:space="preserve">11 observations deleted due to missingness</w:t>
      </w:r>
    </w:p>
    <w:p>
      <w:pPr>
        <w:pStyle w:val="FirstParagraph"/>
      </w:pPr>
      <w:r>
        <w:drawing>
          <wp:inline>
            <wp:extent cx="5334000" cy="4267200"/>
            <wp:effectExtent b="0" l="0" r="0" t="0"/>
            <wp:docPr descr="" title="" id="146" name="Picture"/>
            <a:graphic>
              <a:graphicData uri="http://schemas.openxmlformats.org/drawingml/2006/picture">
                <pic:pic>
                  <pic:nvPicPr>
                    <pic:cNvPr descr="Effect-Sizes-for-ANOVAs_files/figure-docx/unnamed-chunk-13-1.png" id="147" name="Picture"/>
                    <pic:cNvPicPr>
                      <a:picLocks noChangeArrowheads="1" noChangeAspect="1"/>
                    </pic:cNvPicPr>
                  </pic:nvPicPr>
                  <pic:blipFill>
                    <a:blip r:embed="rId1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results show that species, sex, and the interaction between the two account for substantial variance in body mass. We can obtain the contributions of species, sex, and their interaction by computing the partial eta-squared value (</w:t>
      </w:r>
      <m:oMath>
        <m:sSubSup>
          <m:e>
            <m:r>
              <m:t>η</m:t>
            </m:r>
          </m:e>
          <m:sub>
            <m:r>
              <m:t>p</m:t>
            </m:r>
          </m:sub>
          <m:sup>
            <m:r>
              <m:t>2</m:t>
            </m:r>
          </m:sup>
        </m:sSubSup>
      </m:oMath>
      <w:r>
        <w:t xml:space="preserve">). To do this using similar formulas to</w:t>
      </w:r>
      <w:r>
        <w:t xml:space="preserve"> </w:t>
      </w:r>
      <m:oMath>
        <m:sSup>
          <m:e>
            <m:r>
              <m:t>η</m:t>
            </m:r>
          </m:e>
          <m:sup>
            <m:r>
              <m:t>2</m:t>
            </m:r>
          </m:sup>
        </m:sSup>
      </m:oMath>
      <w:r>
        <w:t xml:space="preserve"> </w:t>
      </w:r>
      <w:r>
        <w:t xml:space="preserve">from the one-way ANOVAs. The difference between the formulas for</w:t>
      </w:r>
      <w:r>
        <w:t xml:space="preserve"> </w:t>
      </w:r>
      <m:oMath>
        <m:sSubSup>
          <m:e>
            <m:r>
              <m:t>η</m:t>
            </m:r>
          </m:e>
          <m:sub>
            <m:r>
              <m:t>p</m:t>
            </m:r>
          </m:sub>
          <m:sup>
            <m:r>
              <m:t>2</m:t>
            </m:r>
          </m:sup>
        </m:sSubSup>
      </m:oMath>
      <w:r>
        <w:t xml:space="preserve"> </w:t>
      </w:r>
      <w:r>
        <w:t xml:space="preserve">anf</w:t>
      </w:r>
      <w:r>
        <w:t xml:space="preserve"> </w:t>
      </w:r>
      <m:oMath>
        <m:sSup>
          <m:e>
            <m:r>
              <m:t>η</m:t>
            </m:r>
          </m:e>
          <m:sup>
            <m:r>
              <m:t>2</m:t>
            </m:r>
          </m:sup>
        </m:sSup>
      </m:oMath>
      <w:r>
        <w:t xml:space="preserve"> </w:t>
      </w:r>
      <w:r>
        <w:t xml:space="preserve">is that</w:t>
      </w:r>
      <w:r>
        <w:t xml:space="preserve"> </w:t>
      </w:r>
      <m:oMath>
        <m:sSubSup>
          <m:e>
            <m:r>
              <m:t>η</m:t>
            </m:r>
          </m:e>
          <m:sub>
            <m:r>
              <m:t>p</m:t>
            </m:r>
          </m:sub>
          <m:sup>
            <m:r>
              <m:t>2</m:t>
            </m:r>
          </m:sup>
        </m:sSubSup>
      </m:oMath>
      <w:r>
        <w:t xml:space="preserve"> </w:t>
      </w:r>
      <w:r>
        <w:t xml:space="preserve">does not use the total sum of squares in the denominator, instead it uses the residual sum of squares (</w:t>
      </w:r>
      <m:oMath>
        <m:r>
          <m:t>S</m:t>
        </m:r>
        <m:sSub>
          <m:e>
            <m:r>
              <m:t>S</m:t>
            </m:r>
          </m:e>
          <m:sub>
            <m:r>
              <m:rPr>
                <m:nor/>
                <m:sty m:val="p"/>
              </m:rPr>
              <m:t>error</m:t>
            </m:r>
          </m:sub>
        </m:sSub>
      </m:oMath>
      <w:r>
        <w:t xml:space="preserve">) and the sum of squares from the effect of interest (</w:t>
      </w:r>
      <m:oMath>
        <m:r>
          <m:t>S</m:t>
        </m:r>
        <m:sSub>
          <m:e>
            <m:r>
              <m:t>S</m:t>
            </m:r>
          </m:e>
          <m:sub>
            <m:r>
              <m:rPr>
                <m:nor/>
                <m:sty m:val="p"/>
              </m:rPr>
              <m:t>effect</m:t>
            </m:r>
          </m:sub>
        </m:sSub>
      </m:oMath>
      <w:r>
        <w:t xml:space="preserve">; i.e., species or sex but not both). For example,</w:t>
      </w:r>
    </w:p>
    <w:p>
      <w:pPr>
        <w:pStyle w:val="BodyText"/>
      </w:pPr>
      <w:r>
        <w:t xml:space="preserve">$$
\small{\text{For species:}\;\;\;\; \eta_p^2= \frac{SS_\text{effect}}{SS_\text{effect} + SS_\text{error}} = \frac{145190219}{145190219+ 31302628} = .82}
$$</w:t>
      </w:r>
    </w:p>
    <w:p>
      <w:pPr>
        <w:pStyle w:val="FirstParagraph"/>
      </w:pPr>
      <w:r>
        <w:t xml:space="preserve">$$
\small{\text{For sex:}\;\;\;\; \eta_p^2= \frac{SS_\text{effect}}{SS_\text{effect} + SS_\text{error}} = \frac{37090262}{37090262 + 31302628} = .54}
$$</w:t>
      </w:r>
    </w:p>
    <w:p>
      <w:pPr>
        <w:pStyle w:val="FirstParagraph"/>
      </w:pPr>
      <w:r>
        <w:t xml:space="preserve">$$
\small{\text{For sex}\times\text{species:}\;\;\;\; \eta_p^2= \frac{SS_\text{effect}}{SS_\text{effect} + SS_\text{error}} = \frac{1676557}{1676557+ 31302628} = .05}
$$</w:t>
      </w:r>
    </w:p>
    <w:p>
      <w:pPr>
        <w:pStyle w:val="FirstParagraph"/>
      </w:pPr>
      <w:r>
        <w:t xml:space="preserve">We can also easily do this in R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 </w:t>
      </w:r>
      <w:r>
        <w:t xml:space="preserve">and setting the argument</w:t>
      </w:r>
      <w:r>
        <w:t xml:space="preserve"> </w:t>
      </w:r>
      <w:r>
        <w:rPr>
          <w:rStyle w:val="VerbatimChar"/>
        </w:rPr>
        <w:t xml:space="preserve">partial = TRUE</w:t>
      </w:r>
      <w:r>
        <w:t xml:space="preserve">.</w:t>
      </w:r>
    </w:p>
    <w:p>
      <w:pPr>
        <w:pStyle w:val="SourceCode"/>
      </w:pPr>
      <w:r>
        <w:rPr>
          <w:rStyle w:val="FunctionTok"/>
        </w:rPr>
        <w:t xml:space="preserve">library</w:t>
      </w:r>
      <w:r>
        <w:rPr>
          <w:rStyle w:val="NormalTok"/>
        </w:rPr>
        <w:t xml:space="preserve">(effectsize)</w:t>
      </w:r>
      <w:r>
        <w:br/>
      </w:r>
      <w:r>
        <w:br/>
      </w:r>
      <w:r>
        <w:rPr>
          <w:rStyle w:val="FunctionTok"/>
        </w:rPr>
        <w:t xml:space="preserve">eta_squared</w:t>
      </w:r>
      <w:r>
        <w:rPr>
          <w:rStyle w:val="NormalTok"/>
        </w:rPr>
        <w:t xml:space="preserve">(ANOVA2_mdl,</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0.82 | [0.79, 0.85]</w:t>
      </w:r>
      <w:r>
        <w:br/>
      </w:r>
      <w:r>
        <w:rPr>
          <w:rStyle w:val="VerbatimChar"/>
        </w:rPr>
        <w:t xml:space="preserve">sex         |           0.54 | [0.48, 0.60]</w:t>
      </w:r>
      <w:r>
        <w:br/>
      </w:r>
      <w:r>
        <w:rPr>
          <w:rStyle w:val="VerbatimChar"/>
        </w:rPr>
        <w:t xml:space="preserve">species:sex |           0.05 | [0.01, 0.10]</w:t>
      </w:r>
    </w:p>
    <w:bookmarkEnd w:id="148"/>
    <w:bookmarkEnd w:id="149"/>
    <w:bookmarkStart w:id="150" w:name="two-way-repeated-measures-anova"/>
    <w:p>
      <w:pPr>
        <w:pStyle w:val="Heading2"/>
      </w:pPr>
      <w:r>
        <w:t xml:space="preserve">11.6 Two-way repeated measures ANOVA</w:t>
      </w:r>
    </w:p>
    <w:p>
      <w:pPr>
        <w:pStyle w:val="FirstParagraph"/>
      </w:pPr>
      <w:r>
        <w:t xml:space="preserve">A two-way repeated measures ANOVA (rmANOVA) would indicate that subjects are exposed to each condition along two variables.</w:t>
      </w:r>
    </w:p>
    <w:bookmarkEnd w:id="150"/>
    <w:bookmarkStart w:id="155" w:name="determing-degrees-of-freedom"/>
    <w:p>
      <w:pPr>
        <w:pStyle w:val="Heading2"/>
      </w:pPr>
      <w:r>
        <w:t xml:space="preserve">11.7 Determing degrees of freedom</w:t>
      </w:r>
    </w:p>
    <w:p>
      <w:pPr>
        <w:pStyle w:val="FirstParagraph"/>
      </w:pPr>
      <w:r>
        <w:t xml:space="preserve">Please refer to the following table to determine the degrees of freedom for two-way rmANOVA effects</w:t>
      </w:r>
      <w:r>
        <w:t xml:space="preserve"> </w:t>
      </w:r>
      <w:r>
        <w:t xml:space="preserve">(Morse 2018)</w:t>
      </w:r>
      <w:r>
        <w:t xml:space="preserve">. Note that</w:t>
      </w:r>
      <w:r>
        <w:t xml:space="preserve"> </w:t>
      </w:r>
      <m:oMath>
        <m:sSub>
          <m:e>
            <m:r>
              <m:t>k</m:t>
            </m:r>
          </m:e>
          <m:sub>
            <m:r>
              <m:t>1</m:t>
            </m:r>
          </m:sub>
        </m:sSub>
      </m:oMath>
      <w:r>
        <w:t xml:space="preserve"> </w:t>
      </w:r>
      <w:r>
        <w:t xml:space="preserve">is the number of groups in the first variable, and</w:t>
      </w:r>
      <w:r>
        <w:t xml:space="preserve"> </w:t>
      </w:r>
      <m:oMath>
        <m:sSub>
          <m:e>
            <m:r>
              <m:t>k</m:t>
            </m:r>
          </m:e>
          <m:sub>
            <m:r>
              <m:t>2</m:t>
            </m:r>
          </m:sub>
        </m:sSub>
      </m:oMath>
      <w:r>
        <w:t xml:space="preserve"> </w:t>
      </w:r>
      <w:r>
        <w:t xml:space="preserve">is the number of groups in the second variable.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Between subjects ANOVA</w:t>
            </w:r>
          </w:p>
        </w:tc>
        <w:tc>
          <w:tcPr/>
          <w:p>
            <w:pPr>
              <w:pStyle w:val="Compact"/>
            </w:pPr>
          </w:p>
        </w:tc>
      </w:tr>
      <w:tr>
        <w:tc>
          <w:tcPr/>
          <w:p>
            <w:pPr>
              <w:pStyle w:val="Compact"/>
              <w:jc w:val="left"/>
            </w:pPr>
            <w:r>
              <w:t xml:space="preserve">Main Effect (of one variable)</w:t>
            </w:r>
          </w:p>
        </w:tc>
        <w:tc>
          <w:tcPr/>
          <w:p>
            <w:pPr>
              <w:pStyle w:val="Compact"/>
              <w:jc w:val="center"/>
            </w:pPr>
            <m:oMath>
              <m:sSub>
                <m:e>
                  <m:r>
                    <m:t>k</m:t>
                  </m:r>
                </m:e>
                <m:sub>
                  <m:r>
                    <m:t>1</m:t>
                  </m:r>
                </m:sub>
              </m:sSub>
              <m:r>
                <m:rPr>
                  <m:sty m:val="p"/>
                </m:rPr>
                <m:t>−</m:t>
              </m:r>
              <m:r>
                <m:t>1</m:t>
              </m:r>
            </m:oMath>
            <w:r>
              <w:t xml:space="preserve"> </w:t>
            </w:r>
            <w:r>
              <w:t xml:space="preserve">or</w:t>
            </w:r>
            <w:r>
              <w:t xml:space="preserve"> </w:t>
            </w:r>
            <m:oMath>
              <m:sSub>
                <m:e>
                  <m:r>
                    <m:t>k</m:t>
                  </m:r>
                </m:e>
                <m:sub>
                  <m:r>
                    <m:t>2</m:t>
                  </m:r>
                </m:sub>
              </m:sSub>
              <m:r>
                <m:rPr>
                  <m:sty m:val="p"/>
                </m:rPr>
                <m:t>−</m:t>
              </m:r>
              <m:r>
                <m:t>1</m:t>
              </m:r>
            </m:oMath>
          </w:p>
        </w:tc>
      </w:tr>
      <w:tr>
        <w:tc>
          <w:tcPr/>
          <w:p>
            <w:pPr>
              <w:pStyle w:val="Compact"/>
              <w:jc w:val="left"/>
            </w:pPr>
            <w:r>
              <w:t xml:space="preserve">Interaction Effect</w:t>
            </w:r>
          </w:p>
        </w:tc>
        <w:tc>
          <w:tcPr/>
          <w:p>
            <w:pPr>
              <w:pStyle w:val="Compact"/>
              <w:jc w:val="center"/>
            </w:pPr>
            <m:oMath>
              <m:d>
                <m:dPr>
                  <m:begChr m:val="("/>
                  <m:endChr m:val=")"/>
                  <m:sepChr m:val=""/>
                  <m:grow/>
                </m:dPr>
                <m:e>
                  <m:sSub>
                    <m:e>
                      <m:r>
                        <m:t>k</m:t>
                      </m:r>
                    </m:e>
                    <m:sub>
                      <m:r>
                        <m:t>1</m:t>
                      </m:r>
                    </m:sub>
                  </m:sSub>
                  <m:r>
                    <m:rPr>
                      <m:sty m:val="p"/>
                    </m:rPr>
                    <m:t>−</m:t>
                  </m:r>
                  <m:r>
                    <m:t>1</m:t>
                  </m:r>
                </m:e>
              </m:d>
              <m:r>
                <m:rPr>
                  <m:sty m:val="p"/>
                </m:rPr>
                <m:t>×</m:t>
              </m:r>
              <m:d>
                <m:dPr>
                  <m:begChr m:val="("/>
                  <m:endChr m:val=")"/>
                  <m:sepChr m:val=""/>
                  <m:grow/>
                </m:dPr>
                <m:e>
                  <m:sSub>
                    <m:e>
                      <m:r>
                        <m:t>k</m:t>
                      </m:r>
                    </m:e>
                    <m:sub>
                      <m:r>
                        <m:t>2</m:t>
                      </m:r>
                    </m:sub>
                  </m:sSub>
                  <m:r>
                    <m:rPr>
                      <m:sty m:val="p"/>
                    </m:rPr>
                    <m:t>−</m:t>
                  </m:r>
                  <m:r>
                    <m:t>1</m:t>
                  </m:r>
                </m:e>
              </m:d>
            </m:oMath>
          </w:p>
        </w:tc>
      </w:tr>
      <w:tr>
        <w:tc>
          <w:tcPr/>
          <w:p>
            <w:pPr>
              <w:pStyle w:val="Compact"/>
              <w:jc w:val="left"/>
            </w:pPr>
            <w:r>
              <w:t xml:space="preserve">Error-between</w:t>
            </w:r>
          </w:p>
        </w:tc>
        <w:tc>
          <w:tcPr/>
          <w:p>
            <w:pPr>
              <w:pStyle w:val="Compact"/>
              <w:jc w:val="center"/>
            </w:pPr>
            <m:oMath>
              <m:d>
                <m:dPr>
                  <m:begChr m:val="("/>
                  <m:endChr m:val=")"/>
                  <m:sepChr m:val=""/>
                  <m:grow/>
                </m:dPr>
                <m:e>
                  <m:sSub>
                    <m:e>
                      <m:r>
                        <m:t>k</m:t>
                      </m:r>
                    </m:e>
                    <m:sub>
                      <m:r>
                        <m:t>1</m:t>
                      </m:r>
                    </m:sub>
                  </m:sSub>
                  <m:r>
                    <m:rPr>
                      <m:sty m:val="p"/>
                    </m:rPr>
                    <m:t>⋅</m:t>
                  </m:r>
                  <m:sSub>
                    <m:e>
                      <m:r>
                        <m:t>k</m:t>
                      </m:r>
                    </m:e>
                    <m:sub>
                      <m:r>
                        <m:t>2</m:t>
                      </m:r>
                    </m:sub>
                  </m:sSub>
                </m:e>
              </m:d>
              <m:r>
                <m:rPr>
                  <m:sty m:val="p"/>
                </m:rPr>
                <m:t>−</m:t>
              </m:r>
              <m:r>
                <m:t>1</m:t>
              </m:r>
            </m:oMath>
          </w:p>
        </w:tc>
      </w:tr>
      <w:tr>
        <w:tc>
          <w:tcPr/>
          <w:p>
            <w:pPr>
              <w:pStyle w:val="Compact"/>
              <w:jc w:val="left"/>
            </w:pPr>
            <w:r>
              <w:t xml:space="preserve">Error-within</w:t>
            </w:r>
          </w:p>
        </w:tc>
        <w:tc>
          <w:tcPr/>
          <w:p>
            <w:pPr>
              <w:pStyle w:val="Compact"/>
              <w:jc w:val="center"/>
            </w:pPr>
            <m:oMath>
              <m:d>
                <m:dPr>
                  <m:begChr m:val="("/>
                  <m:endChr m:val=")"/>
                  <m:sepChr m:val=""/>
                  <m:grow/>
                </m:dPr>
                <m:e>
                  <m:r>
                    <m:t>n</m:t>
                  </m:r>
                  <m:r>
                    <m:rPr>
                      <m:sty m:val="p"/>
                    </m:rPr>
                    <m:t>−</m:t>
                  </m:r>
                  <m:r>
                    <m:t>1</m:t>
                  </m:r>
                </m:e>
              </m:d>
              <m:r>
                <m:rPr>
                  <m:sty m:val="p"/>
                </m:rPr>
                <m:t>×</m:t>
              </m:r>
              <m:d>
                <m:dPr>
                  <m:begChr m:val="("/>
                  <m:endChr m:val=")"/>
                  <m:sepChr m:val=""/>
                  <m:grow/>
                </m:dPr>
                <m:e>
                  <m:sSub>
                    <m:e>
                      <m:r>
                        <m:t>k</m:t>
                      </m:r>
                    </m:e>
                    <m:sub>
                      <m:r>
                        <m:t>1</m:t>
                      </m:r>
                    </m:sub>
                  </m:sSub>
                  <m:r>
                    <m:rPr>
                      <m:sty m:val="p"/>
                    </m:rPr>
                    <m:t>⋅</m:t>
                  </m:r>
                  <m:sSub>
                    <m:e>
                      <m:r>
                        <m:t>k</m:t>
                      </m:r>
                    </m:e>
                    <m:sub>
                      <m:r>
                        <m:t>2</m:t>
                      </m:r>
                    </m:sub>
                  </m:sSub>
                  <m:r>
                    <m:rPr>
                      <m:sty m:val="p"/>
                    </m:rPr>
                    <m:t>−</m:t>
                  </m:r>
                  <m:r>
                    <m:t>1</m:t>
                  </m:r>
                </m:e>
              </m:d>
            </m:oMath>
          </w:p>
        </w:tc>
      </w:tr>
      <w:tr>
        <w:tc>
          <w:tcPr/>
          <w:p>
            <w:pPr>
              <w:pStyle w:val="Compact"/>
              <w:jc w:val="left"/>
            </w:pPr>
            <w:r>
              <w:t xml:space="preserve">Total</w:t>
            </w:r>
          </w:p>
        </w:tc>
        <w:tc>
          <w:tcPr/>
          <w:p>
            <w:pPr>
              <w:pStyle w:val="Compact"/>
              <w:jc w:val="center"/>
            </w:pPr>
            <m:oMath>
              <m:r>
                <m:t>n</m:t>
              </m:r>
              <m:r>
                <m:rPr>
                  <m:sty m:val="p"/>
                </m:rPr>
                <m:t>−</m:t>
              </m:r>
              <m:r>
                <m:t>1</m:t>
              </m:r>
            </m:oMath>
          </w:p>
        </w:tc>
      </w:tr>
    </w:tbl>
    <w:bookmarkStart w:id="154" w:name="eta-squared-from-two-way-rmanova"/>
    <w:p>
      <w:pPr>
        <w:pStyle w:val="Heading3"/>
      </w:pPr>
      <w:r>
        <w:t xml:space="preserve">11.7.1 Eta-squared from Two-way rmANOVA</w:t>
      </w:r>
    </w:p>
    <w:p>
      <w:pPr>
        <w:pStyle w:val="FirstParagraph"/>
      </w:pPr>
      <w:r>
        <w:t xml:space="preserve">For a two-way repeated measures ANOVA, we can use the</w:t>
      </w:r>
      <w:r>
        <w:t xml:space="preserve"> </w:t>
      </w:r>
      <w:r>
        <w:rPr>
          <w:rStyle w:val="VerbatimChar"/>
        </w:rPr>
        <w:t xml:space="preserve">weightloss</w:t>
      </w:r>
      <w:r>
        <w:t xml:space="preserve"> </w:t>
      </w:r>
      <w:r>
        <w:t xml:space="preserve">data set from the</w:t>
      </w:r>
      <w:r>
        <w:t xml:space="preserve"> </w:t>
      </w:r>
      <w:r>
        <w:rPr>
          <w:rStyle w:val="VerbatimChar"/>
        </w:rPr>
        <w:t xml:space="preserve">datarius</w:t>
      </w:r>
      <w:r>
        <w:t xml:space="preserve"> </w:t>
      </w:r>
      <w:r>
        <w:t xml:space="preserve">package</w:t>
      </w:r>
      <w:r>
        <w:t xml:space="preserve"> </w:t>
      </w:r>
      <w:r>
        <w:t xml:space="preserve">(Kassambara 2019)</w:t>
      </w:r>
      <w:r>
        <w:t xml:space="preserve">. This data set contains a diet condition and a control condition that tracked subjects across time (3 time points) for each of condition.</w:t>
      </w:r>
    </w:p>
    <w:p>
      <w:pPr>
        <w:pStyle w:val="SourceCode"/>
      </w:pPr>
      <w:r>
        <w:rPr>
          <w:rStyle w:val="DocumentationTok"/>
        </w:rPr>
        <w:t xml:space="preserve">### load in and re-format data</w:t>
      </w:r>
      <w:r>
        <w:br/>
      </w: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"weightloss"</w:t>
      </w:r>
      <w:r>
        <w:rPr>
          <w:rStyle w:val="NormalTok"/>
        </w:rPr>
        <w:t xml:space="preserve">, </w:t>
      </w:r>
      <w:r>
        <w:rPr>
          <w:rStyle w:val="AttributeTok"/>
        </w:rPr>
        <w:t xml:space="preserve">package =</w:t>
      </w:r>
      <w:r>
        <w:rPr>
          <w:rStyle w:val="NormalTok"/>
        </w:rPr>
        <w:t xml:space="preserve"> </w:t>
      </w:r>
      <w:r>
        <w:rPr>
          <w:rStyle w:val="StringTok"/>
        </w:rPr>
        <w:t xml:space="preserve">"datarium"</w:t>
      </w:r>
      <w:r>
        <w:rPr>
          <w:rStyle w:val="NormalTok"/>
        </w:rPr>
        <w:t xml:space="preserve">)</w:t>
      </w:r>
      <w:r>
        <w:br/>
      </w:r>
      <w:r>
        <w:rPr>
          <w:rStyle w:val="NormalTok"/>
        </w:rPr>
        <w:t xml:space="preserve">weightloss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(weightloss,</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"t1"</w:t>
      </w:r>
      <w:r>
        <w:rPr>
          <w:rStyle w:val="NormalTok"/>
        </w:rPr>
        <w:t xml:space="preserve">,</w:t>
      </w:r>
      <w:r>
        <w:rPr>
          <w:rStyle w:val="StringTok"/>
        </w:rPr>
        <w:t xml:space="preserve">"t2"</w:t>
      </w:r>
      <w:r>
        <w:rPr>
          <w:rStyle w:val="NormalTok"/>
        </w:rPr>
        <w:t xml:space="preserve">,</w:t>
      </w:r>
      <w:r>
        <w:rPr>
          <w:rStyle w:val="StringTok"/>
        </w:rPr>
        <w:t xml:space="preserve">"t3"</w:t>
      </w:r>
      <w:r>
        <w:rPr>
          <w:rStyle w:val="NormalTok"/>
        </w:rPr>
        <w:t xml:space="preserve">))</w:t>
      </w:r>
      <w:r>
        <w:br/>
      </w:r>
      <w:r>
        <w:rPr>
          <w:rStyle w:val="FunctionTok"/>
        </w:rPr>
        <w:t xml:space="preserve">colnames</w:t>
      </w:r>
      <w:r>
        <w:rPr>
          <w:rStyle w:val="NormalTok"/>
        </w:rPr>
        <w:t xml:space="preserve">(weightloss)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"diet"</w:t>
      </w:r>
      <w:r>
        <w:rPr>
          <w:rStyle w:val="NormalTok"/>
        </w:rPr>
        <w:t xml:space="preserve">,</w:t>
      </w:r>
      <w:r>
        <w:rPr>
          <w:rStyle w:val="StringTok"/>
        </w:rPr>
        <w:t xml:space="preserve">"exercises"</w:t>
      </w:r>
      <w:r>
        <w:rPr>
          <w:rStyle w:val="NormalTok"/>
        </w:rPr>
        <w:t xml:space="preserve">,</w:t>
      </w:r>
      <w:r>
        <w:rPr>
          <w:rStyle w:val="StringTok"/>
        </w:rPr>
        <w:t xml:space="preserve">"time"</w:t>
      </w:r>
      <w:r>
        <w:rPr>
          <w:rStyle w:val="NormalTok"/>
        </w:rPr>
        <w:t xml:space="preserve">, </w:t>
      </w:r>
      <w:r>
        <w:rPr>
          <w:rStyle w:val="StringTok"/>
        </w:rPr>
        <w:t xml:space="preserve">"weight_loss"</w:t>
      </w:r>
      <w:r>
        <w:rPr>
          <w:rStyle w:val="NormalTok"/>
        </w:rPr>
        <w:t xml:space="preserve">)</w:t>
      </w:r>
      <w:r>
        <w:br/>
      </w:r>
      <w:r>
        <w:rPr>
          <w:rStyle w:val="NormalTok"/>
        </w:rPr>
        <w:t xml:space="preserve">weightloss </w:t>
      </w:r>
      <w:r>
        <w:rPr>
          <w:rStyle w:val="OtherTok"/>
        </w:rPr>
        <w:t xml:space="preserve">&lt;-</w:t>
      </w:r>
      <w:r>
        <w:rPr>
          <w:rStyle w:val="NormalTok"/>
        </w:rPr>
        <w:t xml:space="preserve"> weightloss[weightloss</w:t>
      </w:r>
      <w:r>
        <w:rPr>
          <w:rStyle w:val="SpecialCharTok"/>
        </w:rPr>
        <w:t xml:space="preserve">$</w:t>
      </w:r>
      <w:r>
        <w:rPr>
          <w:rStyle w:val="NormalTok"/>
        </w:rPr>
        <w:t xml:space="preserve">diet</w:t>
      </w:r>
      <w:r>
        <w:rPr>
          <w:rStyle w:val="SpecialCharTok"/>
        </w:rPr>
        <w:t xml:space="preserve">==</w:t>
      </w:r>
      <w:r>
        <w:rPr>
          <w:rStyle w:val="StringTok"/>
        </w:rPr>
        <w:t xml:space="preserve">'no'</w:t>
      </w:r>
      <w:r>
        <w:rPr>
          <w:rStyle w:val="NormalTok"/>
        </w:rPr>
        <w:t xml:space="preserve">,] </w:t>
      </w:r>
      <w:r>
        <w:rPr>
          <w:rStyle w:val="CommentTok"/>
        </w:rPr>
        <w:t xml:space="preserve"># remove the diet intervention trials</w:t>
      </w:r>
      <w:r>
        <w:br/>
      </w:r>
      <w:r>
        <w:rPr>
          <w:rStyle w:val="DocumentationTok"/>
        </w:rPr>
        <w:t xml:space="preserve">####</w:t>
      </w:r>
      <w:r>
        <w:br/>
      </w:r>
      <w:r>
        <w:br/>
      </w:r>
      <w:r>
        <w:rPr>
          <w:rStyle w:val="NormalTok"/>
        </w:rPr>
        <w:t xml:space="preserve">rmANOVA2_mdl </w:t>
      </w:r>
      <w:r>
        <w:rPr>
          <w:rStyle w:val="OtherTok"/>
        </w:rPr>
        <w:t xml:space="preserve">=</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weight_loss </w:t>
      </w:r>
      <w:r>
        <w:rPr>
          <w:rStyle w:val="SpecialCharTok"/>
        </w:rPr>
        <w:t xml:space="preserve">~</w:t>
      </w:r>
      <w:r>
        <w:rPr>
          <w:rStyle w:val="NormalTok"/>
        </w:rPr>
        <w:t xml:space="preserve"> time </w:t>
      </w:r>
      <w:r>
        <w:rPr>
          <w:rStyle w:val="SpecialCharTok"/>
        </w:rPr>
        <w:t xml:space="preserve">+</w:t>
      </w:r>
      <w:r>
        <w:rPr>
          <w:rStyle w:val="NormalTok"/>
        </w:rPr>
        <w:t xml:space="preserve"> exercises </w:t>
      </w:r>
      <w:r>
        <w:rPr>
          <w:rStyle w:val="SpecialCharTok"/>
        </w:rPr>
        <w:t xml:space="preserve">+</w:t>
      </w:r>
      <w:r>
        <w:rPr>
          <w:rStyle w:val="NormalTok"/>
        </w:rPr>
        <w:t xml:space="preserve"> time</w:t>
      </w:r>
      <w:r>
        <w:rPr>
          <w:rStyle w:val="SpecialCharTok"/>
        </w:rPr>
        <w:t xml:space="preserve">:</w:t>
      </w:r>
      <w:r>
        <w:rPr>
          <w:rStyle w:val="NormalTok"/>
        </w:rPr>
        <w:t xml:space="preserve">exercises </w:t>
      </w:r>
      <w:r>
        <w:rPr>
          <w:rStyle w:val="SpecialCharTok"/>
        </w:rPr>
        <w:t xml:space="preserve">+</w:t>
      </w:r>
      <w:r>
        <w:rPr>
          <w:rStyle w:val="NormalTok"/>
        </w:rPr>
        <w:t xml:space="preserve"> </w:t>
      </w:r>
      <w:r>
        <w:rPr>
          <w:rStyle w:val="FunctionTok"/>
        </w:rPr>
        <w:t xml:space="preserve">Error</w:t>
      </w:r>
      <w:r>
        <w:rPr>
          <w:rStyle w:val="NormalTok"/>
        </w:rPr>
        <w:t xml:space="preserve">(subject),</w:t>
      </w:r>
      <w:r>
        <w:br/>
      </w:r>
      <w:r>
        <w:rPr>
          <w:rStyle w:val="NormalTok"/>
        </w:rPr>
        <w:t xml:space="preserve">                   </w:t>
      </w:r>
      <w:r>
        <w:rPr>
          <w:rStyle w:val="AttributeTok"/>
        </w:rPr>
        <w:t xml:space="preserve">data =</w:t>
      </w:r>
      <w:r>
        <w:rPr>
          <w:rStyle w:val="NormalTok"/>
        </w:rPr>
        <w:t xml:space="preserve"> weightloss)</w:t>
      </w:r>
      <w:r>
        <w:br/>
      </w:r>
      <w:r>
        <w:rPr>
          <w:rStyle w:val="FunctionTok"/>
        </w:rPr>
        <w:t xml:space="preserve">summary</w:t>
      </w:r>
      <w:r>
        <w:rPr>
          <w:rStyle w:val="NormalTok"/>
        </w:rPr>
        <w:t xml:space="preserve">(rmANOVA2_mdl)</w:t>
      </w:r>
    </w:p>
    <w:p>
      <w:pPr>
        <w:pStyle w:val="SourceCode"/>
      </w:pPr>
      <w:r>
        <w:br/>
      </w:r>
      <w:r>
        <w:rPr>
          <w:rStyle w:val="VerbatimChar"/>
        </w:rPr>
        <w:t xml:space="preserve">Error: subject</w:t>
      </w:r>
      <w:r>
        <w:br/>
      </w:r>
      <w:r>
        <w:rPr>
          <w:rStyle w:val="VerbatimChar"/>
        </w:rPr>
        <w:t xml:space="preserve">          Df Sum Sq Mean Sq F value Pr(&gt;F)</w:t>
      </w:r>
      <w:r>
        <w:br/>
      </w:r>
      <w:r>
        <w:rPr>
          <w:rStyle w:val="VerbatimChar"/>
        </w:rPr>
        <w:t xml:space="preserve">Residuals 11  20.64   1.877               </w:t>
      </w:r>
      <w:r>
        <w:br/>
      </w:r>
      <w:r>
        <w:br/>
      </w:r>
      <w:r>
        <w:rPr>
          <w:rStyle w:val="VerbatimChar"/>
        </w:rPr>
        <w:t xml:space="preserve">Error: Within</w:t>
      </w:r>
      <w:r>
        <w:br/>
      </w:r>
      <w:r>
        <w:rPr>
          <w:rStyle w:val="VerbatimChar"/>
        </w:rPr>
        <w:t xml:space="preserve">               Df Sum Sq Mean Sq F value   Pr(&gt;F)    </w:t>
      </w:r>
      <w:r>
        <w:br/>
      </w:r>
      <w:r>
        <w:rPr>
          <w:rStyle w:val="VerbatimChar"/>
        </w:rPr>
        <w:t xml:space="preserve">time            2 129.26   64.63   50.57 3.45e-13 ***</w:t>
      </w:r>
      <w:r>
        <w:br/>
      </w:r>
      <w:r>
        <w:rPr>
          <w:rStyle w:val="VerbatimChar"/>
        </w:rPr>
        <w:t xml:space="preserve">exercises       1 101.03  101.03   79.05 3.16e-12 ***</w:t>
      </w:r>
      <w:r>
        <w:br/>
      </w:r>
      <w:r>
        <w:rPr>
          <w:rStyle w:val="VerbatimChar"/>
        </w:rPr>
        <w:t xml:space="preserve">time:exercises  2  92.55   46.28   36.21 9.26e-11 ***</w:t>
      </w:r>
      <w:r>
        <w:br/>
      </w:r>
      <w:r>
        <w:rPr>
          <w:rStyle w:val="VerbatimChar"/>
        </w:rPr>
        <w:t xml:space="preserve">Residuals      55  70.29    1.28                     </w:t>
      </w:r>
      <w:r>
        <w:br/>
      </w:r>
      <w:r>
        <w:rPr>
          <w:rStyle w:val="VerbatimChar"/>
        </w:rPr>
        <w:t xml:space="preserve">---</w:t>
      </w:r>
      <w:r>
        <w:br/>
      </w:r>
      <w:r>
        <w:rPr>
          <w:rStyle w:val="VerbatimChar"/>
        </w:rPr>
        <w:t xml:space="preserve">Signif. codes:  0 '***' 0.001 '**' 0.01 '*' 0.05 '.' 0.1 ' ' 1</w:t>
      </w:r>
    </w:p>
    <w:p>
      <w:pPr>
        <w:pStyle w:val="FirstParagraph"/>
      </w:pPr>
      <w:r>
        <w:drawing>
          <wp:inline>
            <wp:extent cx="5334000" cy="4267200"/>
            <wp:effectExtent b="0" l="0" r="0" t="0"/>
            <wp:docPr descr="" title="" id="152" name="Picture"/>
            <a:graphic>
              <a:graphicData uri="http://schemas.openxmlformats.org/drawingml/2006/picture">
                <pic:pic>
                  <pic:nvPicPr>
                    <pic:cNvPr descr="Effect-Sizes-for-ANOVAs_files/figure-docx/unnamed-chunk-16-1.png" id="153" name="Picture"/>
                    <pic:cNvPicPr>
                      <a:picLocks noChangeArrowheads="1" noChangeAspect="1"/>
                    </pic:cNvPicPr>
                  </pic:nvPicPr>
                  <pic:blipFill>
                    <a:blip r:embed="rId1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table and graph above, we can see that there is substantial within-person change in weight loss under the exercise condition and no discernible increase in weight loss without exercising. This suggests that there is a substantial interaction effect. Like we did in the between-subjects two-way ANOVA, we can calculate the partial eta squared values from the ANOVA table</w:t>
      </w:r>
    </w:p>
    <w:p>
      <w:pPr>
        <w:pStyle w:val="BodyText"/>
      </w:pPr>
      <w:r>
        <w:t xml:space="preserve">$$
\small{\text{For time:}\;\;\;\; \eta_p^2= \frac{SS_\text{effect}}{SS_\text{effect} + SS_\text{error-within}} = \frac{129.26}{129.26+ 70.29} = .65}
$$</w:t>
      </w:r>
    </w:p>
    <w:p>
      <w:pPr>
        <w:pStyle w:val="FirstParagraph"/>
      </w:pPr>
      <w:r>
        <w:t xml:space="preserve">$$
\small{\text{For exercise:}\;\;\;\; \eta_p^2= \frac{SS_\text{effect}}{SS_\text{effect} + SS_\text{error-within}} = \frac{101.03}{101.03 + 70.29} = .59}
$$</w:t>
      </w:r>
    </w:p>
    <w:p>
      <w:pPr>
        <w:pStyle w:val="FirstParagraph"/>
      </w:pPr>
      <w:r>
        <w:t xml:space="preserve">$$
\small{\text{For sex}\times\text{species:}\;\;\;\; \eta_p^2= \frac{SS_\text{effect}}{SS_\text{effect} + SS_\text{error-within}} = \frac{92.55}{92.55+ 70.29} = .57}
$$</w:t>
      </w:r>
    </w:p>
    <w:p>
      <w:pPr>
        <w:pStyle w:val="FirstParagraph"/>
      </w:pPr>
      <w:r>
        <w:t xml:space="preserve">Remember for the partial eta-squared, the denominator is not the total sum of squares rather it is the effect sum of squares and the error. In the repeated measures ANOVA, the error should only be for the within subject error because the variance between subjects is not something we are interested about. We can also calculate this in R using the</w:t>
      </w:r>
      <w:r>
        <w:t xml:space="preserve"> </w:t>
      </w:r>
      <w:r>
        <w:rPr>
          <w:rStyle w:val="VerbatimChar"/>
        </w:rPr>
        <w:t xml:space="preserve">eta_squared()</w:t>
      </w:r>
      <w:r>
        <w:t xml:space="preserve"> </w:t>
      </w:r>
      <w:r>
        <w:t xml:space="preserve">function again.</w:t>
      </w:r>
    </w:p>
    <w:p>
      <w:pPr>
        <w:pStyle w:val="SourceCode"/>
      </w:pPr>
      <w:r>
        <w:rPr>
          <w:rStyle w:val="FunctionTok"/>
        </w:rPr>
        <w:t xml:space="preserve">library</w:t>
      </w:r>
      <w:r>
        <w:rPr>
          <w:rStyle w:val="NormalTok"/>
        </w:rPr>
        <w:t xml:space="preserve">(effectsize)</w:t>
      </w:r>
      <w:r>
        <w:br/>
      </w:r>
      <w:r>
        <w:br/>
      </w:r>
      <w:r>
        <w:rPr>
          <w:rStyle w:val="FunctionTok"/>
        </w:rPr>
        <w:t xml:space="preserve">eta_squared</w:t>
      </w:r>
      <w:r>
        <w:rPr>
          <w:rStyle w:val="NormalTok"/>
        </w:rPr>
        <w:t xml:space="preserve">(rmANOVA2_mdl,</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Group  |      Parameter | Eta2 (partial) |       95% CI</w:t>
      </w:r>
      <w:r>
        <w:br/>
      </w:r>
      <w:r>
        <w:rPr>
          <w:rStyle w:val="VerbatimChar"/>
        </w:rPr>
        <w:t xml:space="preserve">-------------------------------------------------------</w:t>
      </w:r>
      <w:r>
        <w:br/>
      </w:r>
      <w:r>
        <w:rPr>
          <w:rStyle w:val="VerbatimChar"/>
        </w:rPr>
        <w:t xml:space="preserve">Within |           time |           0.65 | [0.49, 0.75]</w:t>
      </w:r>
      <w:r>
        <w:br/>
      </w:r>
      <w:r>
        <w:rPr>
          <w:rStyle w:val="VerbatimChar"/>
        </w:rPr>
        <w:t xml:space="preserve">Within |      exercises |           0.59 | [0.42, 0.70]</w:t>
      </w:r>
      <w:r>
        <w:br/>
      </w:r>
      <w:r>
        <w:rPr>
          <w:rStyle w:val="VerbatimChar"/>
        </w:rPr>
        <w:t xml:space="preserve">Within | time:exercises |           0.57 | [0.39, 0.69]</w:t>
      </w:r>
    </w:p>
    <w:bookmarkEnd w:id="154"/>
    <w:bookmarkEnd w:id="155"/>
    <w:bookmarkStart w:id="161" w:name="effect-sizes-for-anovas-1"/>
    <w:p>
      <w:pPr>
        <w:pStyle w:val="Heading2"/>
      </w:pPr>
      <w:r>
        <w:t xml:space="preserve">11.8 Effect Sizes for ANOVAs</w:t>
      </w:r>
    </w:p>
    <w:p>
      <w:pPr>
        <w:pStyle w:val="FirstParagraph"/>
      </w:pPr>
      <w:r>
        <w:t xml:space="preserve">ANOVA (Analysis of Variance) is a statistical method used to compare means across multiple groups or conditions. It is mostly used when the outcome variable is continuous and the predictor variables are categorical. Commonly used effect size measures for ANOVAs / F-tests include: eta-squared (</w:t>
      </w:r>
      <m:oMath>
        <m:sSup>
          <m:e>
            <m:r>
              <m:t>η</m:t>
            </m:r>
          </m:e>
          <m:sup>
            <m:r>
              <m:t>2</m:t>
            </m:r>
          </m:sup>
        </m:sSup>
      </m:oMath>
      <w:r>
        <w:t xml:space="preserve">), partial eta-squared (</w:t>
      </w:r>
      <m:oMath>
        <m:sSubSup>
          <m:e>
            <m:r>
              <m:t>η</m:t>
            </m:r>
          </m:e>
          <m:sub>
            <m:r>
              <m:t>p</m:t>
            </m:r>
          </m:sub>
          <m:sup>
            <m:r>
              <m:t>2</m:t>
            </m:r>
          </m:sup>
        </m:sSubSup>
      </m:oMath>
      <w:r>
        <w:t xml:space="preserve">), generalized eta-squared (</w:t>
      </w:r>
      <m:oMath>
        <m:sSubSup>
          <m:e>
            <m:r>
              <m:t>η</m:t>
            </m:r>
          </m:e>
          <m:sub>
            <m:r>
              <m:t>G</m:t>
            </m:r>
          </m:sub>
          <m:sup>
            <m:r>
              <m:t>2</m:t>
            </m:r>
          </m:sup>
        </m:sSubSup>
      </m:oMath>
      <w:r>
        <w:t xml:space="preserve">), omega-squared (</w:t>
      </w:r>
      <m:oMath>
        <m:sSup>
          <m:e>
            <m:r>
              <m:t>ω</m:t>
            </m:r>
          </m:e>
          <m:sup>
            <m:r>
              <m:t>2</m:t>
            </m:r>
          </m:sup>
        </m:sSup>
      </m:oMath>
      <w:r>
        <w:t xml:space="preserve">), partial omega-squared (</w:t>
      </w:r>
      <m:oMath>
        <m:r>
          <m:t>ω</m:t>
        </m:r>
      </m:oMath>
      <w:r>
        <w:t xml:space="preserve">), generalized omega-squared (</w:t>
      </w:r>
      <m:oMath>
        <m:sSubSup>
          <m:e>
            <m:r>
              <m:t>ω</m:t>
            </m:r>
          </m:e>
          <m:sub>
            <m:r>
              <m:t>G</m:t>
            </m:r>
          </m:sub>
          <m:sup>
            <m:r>
              <m:t>2</m:t>
            </m:r>
          </m:sup>
        </m:sSubSup>
      </m:oMath>
      <w:r>
        <w:t xml:space="preserve">), Cohen’s</w:t>
      </w:r>
      <w:r>
        <w:t xml:space="preserve"> </w:t>
      </w:r>
      <m:oMath>
        <m:r>
          <m:t>f</m:t>
        </m:r>
      </m:oMath>
      <w:r>
        <w:t xml:space="preserve">.</w:t>
      </w:r>
    </w:p>
    <w:bookmarkStart w:id="156" w:name="sec-eta-squared"/>
    <w:p>
      <w:pPr>
        <w:pStyle w:val="Heading3"/>
      </w:pPr>
      <w:r>
        <w:t xml:space="preserve">11.8.1 Eta-Squared (</w:t>
      </w:r>
      <m:oMath>
        <m:sSup>
          <m:e>
            <m:r>
              <m:t>η</m:t>
            </m:r>
          </m:e>
          <m:sup>
            <m:r>
              <m:t>2</m:t>
            </m:r>
          </m:sup>
        </m:sSup>
      </m:oMath>
      <w:r>
        <w:t xml:space="preserve">)</w:t>
      </w:r>
    </w:p>
    <w:p>
      <w:pPr>
        <w:pStyle w:val="FirstParagraph"/>
      </w:pPr>
      <w:r>
        <w:t xml:space="preserve">Eta-squared is the ratio between the between-group variance and the total variance. It describes the proportion of the total variability in the data that are accounted for by a particular factor. Therefore, it is a measure of</w:t>
      </w:r>
      <w:r>
        <w:t xml:space="preserve"> </w:t>
      </w:r>
      <w:r>
        <w:rPr>
          <w:iCs/>
          <w:i/>
        </w:rPr>
        <w:t xml:space="preserve">variance explained</w:t>
      </w:r>
      <w:r>
        <w:t xml:space="preserve">. To calculate eta-squared (</w:t>
      </w:r>
      <m:oMath>
        <m:sSup>
          <m:e>
            <m:r>
              <m:t>η</m:t>
            </m:r>
          </m:e>
          <m:sup>
            <m:r>
              <m:t>2</m:t>
            </m:r>
          </m:sup>
        </m:sSup>
      </m:oMath>
      <w:r>
        <w:t xml:space="preserve">) we need to first calculate the total sum of squares (</w:t>
      </w:r>
      <m:oMath>
        <m:r>
          <m:t>S</m:t>
        </m:r>
        <m:sSub>
          <m:e>
            <m:r>
              <m:t>S</m:t>
            </m:r>
          </m:e>
          <m:sub>
            <m:r>
              <m:rPr>
                <m:nor/>
                <m:sty m:val="p"/>
              </m:rPr>
              <m:t>total</m:t>
            </m:r>
          </m:sub>
        </m:sSub>
      </m:oMath>
      <w:r>
        <w:t xml:space="preserve">) and the effect sum of squares (</w:t>
      </w:r>
      <m:oMath>
        <m:r>
          <m:t>S</m:t>
        </m:r>
        <m:sSub>
          <m:e>
            <m:r>
              <m:t>S</m:t>
            </m:r>
          </m:e>
          <m:sub>
            <m:r>
              <m:rPr>
                <m:nor/>
                <m:sty m:val="p"/>
              </m:rPr>
              <m:t>effect</m:t>
            </m:r>
          </m:sub>
        </m:sSub>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m:oMathPara>
    </w:p>
    <w:p>
      <w:pPr>
        <w:pStyle w:val="FirstParagraph"/>
      </w:pPr>
      <w:r>
        <w:t xml:space="preserve">Where</w:t>
      </w:r>
      <w:r>
        <w:t xml:space="preserve"> </w:t>
      </w:r>
      <m:oMath>
        <m:acc>
          <m:accPr>
            <m:chr m:val="‾"/>
          </m:accPr>
          <m:e>
            <m:r>
              <m:t>y</m:t>
            </m:r>
          </m:e>
        </m:acc>
      </m:oMath>
      <w:r>
        <w:t xml:space="preserve"> </w:t>
      </w:r>
      <w:r>
        <w:t xml:space="preserve">is the grand mean (i.e., the mean of all data points collapsed across groups). To calculate the sum of squares of the effect, we can take the predicted</w:t>
      </w:r>
      <w:r>
        <w:t xml:space="preserve"> </w:t>
      </w:r>
      <m:oMath>
        <m:r>
          <m:t>y</m:t>
        </m:r>
      </m:oMath>
      <w:r>
        <w:t xml:space="preserve"> </w:t>
      </w:r>
      <w:r>
        <w:t xml:space="preserve">values (</w:t>
      </w:r>
      <m:oMath>
        <m:sSub>
          <m:e>
            <m:acc>
              <m:accPr>
                <m:chr m:val="̂"/>
              </m:accPr>
              <m:e>
                <m:r>
                  <m:t>y</m:t>
                </m:r>
              </m:e>
            </m:acc>
          </m:e>
          <m:sub>
            <m:r>
              <m:t>i</m:t>
            </m:r>
          </m:sub>
        </m:sSub>
      </m:oMath>
      <w:r>
        <w:t xml:space="preserve">). In the case of categorical predictors,</w:t>
      </w:r>
      <w:r>
        <w:t xml:space="preserve"> </w:t>
      </w:r>
      <m:oMath>
        <m:sSub>
          <m:e>
            <m:acc>
              <m:accPr>
                <m:chr m:val="̂"/>
              </m:accPr>
              <m:e>
                <m:r>
                  <m:t>y</m:t>
                </m:r>
              </m:e>
            </m:acc>
          </m:e>
          <m:sub>
            <m:r>
              <m:t>i</m:t>
            </m:r>
          </m:sub>
        </m:sSub>
      </m:oMath>
      <w:r>
        <w:t xml:space="preserve"> </w:t>
      </w:r>
      <w:r>
        <w:t xml:space="preserve">is equal to the mean of the outcome</w:t>
      </w:r>
      <w:r>
        <w:t xml:space="preserve"> </w:t>
      </w:r>
      <w:r>
        <w:rPr>
          <w:iCs/>
          <w:i/>
        </w:rPr>
        <w:t xml:space="preserve">within</w:t>
      </w:r>
      <w:r>
        <w:t xml:space="preserve"> </w:t>
      </w:r>
      <w:r>
        <w:t xml:space="preserve">that individual’s respective group. Therefore the sum of squares of the effect can be calculated using the following formula:</w:t>
      </w:r>
    </w:p>
    <w:p>
      <w:pPr>
        <w:pStyle w:val="BodyText"/>
      </w:pPr>
      <m:oMathPara>
        <m:oMathParaPr>
          <m:jc m:val="center"/>
        </m:oMathParaPr>
        <m:oMath>
          <m:r>
            <m:t>S</m:t>
          </m:r>
          <m:sSub>
            <m:e>
              <m:r>
                <m:t>S</m:t>
              </m:r>
            </m:e>
            <m:sub>
              <m:r>
                <m:rPr>
                  <m:nor/>
                  <m:sty m:val="p"/>
                </m:rPr>
                <m:t>effect</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r>
            <m:rPr>
              <m:sty m:val="p"/>
            </m:rPr>
            <m:t>.</m:t>
          </m:r>
        </m:oMath>
      </m:oMathPara>
    </w:p>
    <w:p>
      <w:pPr>
        <w:pStyle w:val="FirstParagraph"/>
      </w:pPr>
      <w:r>
        <w:t xml:space="preserve">Now we can calculate the eta-squared value,</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The standard error of eta-square can be approximated from</w:t>
      </w:r>
      <w:r>
        <w:t xml:space="preserve"> </w:t>
      </w:r>
      <w:r>
        <w:t xml:space="preserve">Olkin and Finn (1995)</w:t>
      </w:r>
      <w:r>
        <w:t xml:space="preserve">:</w:t>
      </w:r>
    </w:p>
    <w:p>
      <w:pPr>
        <w:pStyle w:val="BodyText"/>
      </w:pPr>
      <m:oMathPara>
        <m:oMathParaPr>
          <m:jc m:val="center"/>
        </m:oMathParaPr>
        <m:oMath>
          <m:r>
            <m:t>S</m:t>
          </m:r>
          <m:sSub>
            <m:e>
              <m:r>
                <m:t>E</m:t>
              </m:r>
            </m:e>
            <m:sub>
              <m:sSup>
                <m:e>
                  <m:r>
                    <m:t>η</m:t>
                  </m:r>
                </m:e>
                <m:sup>
                  <m:r>
                    <m:t>2</m:t>
                  </m:r>
                </m:sup>
              </m:sSup>
            </m:sub>
          </m:sSub>
          <m:r>
            <m:rPr>
              <m:sty m:val="p"/>
            </m:rPr>
            <m:t>=</m:t>
          </m:r>
          <m:rad>
            <m:radPr>
              <m:degHide m:val="1"/>
            </m:radPr>
            <m:deg/>
            <m:e>
              <m:f>
                <m:fPr>
                  <m:type m:val="bar"/>
                </m:fPr>
                <m:num>
                  <m:r>
                    <m:t>4</m:t>
                  </m:r>
                  <m:sSup>
                    <m:e>
                      <m:r>
                        <m:t>η</m:t>
                      </m:r>
                    </m:e>
                    <m:sup>
                      <m:r>
                        <m:t>2</m:t>
                      </m:r>
                    </m:sup>
                  </m:sSup>
                  <m:sSup>
                    <m:e>
                      <m:d>
                        <m:dPr>
                          <m:begChr m:val="("/>
                          <m:endChr m:val=")"/>
                          <m:sepChr m:val=""/>
                          <m:grow/>
                        </m:dPr>
                        <m:e>
                          <m:r>
                            <m:t>1</m:t>
                          </m:r>
                          <m:r>
                            <m:rPr>
                              <m:sty m:val="p"/>
                            </m:rPr>
                            <m:t>−</m:t>
                          </m:r>
                          <m:sSup>
                            <m:e>
                              <m:r>
                                <m:t>η</m:t>
                              </m:r>
                            </m:e>
                            <m:sup>
                              <m:r>
                                <m:t>2</m:t>
                              </m:r>
                            </m:sup>
                          </m:sSup>
                        </m:e>
                      </m:d>
                    </m:e>
                    <m:sup>
                      <m:r>
                        <m:t>2</m:t>
                      </m:r>
                    </m:sup>
                  </m:sSup>
                  <m:sSup>
                    <m:e>
                      <m:d>
                        <m:dPr>
                          <m:begChr m:val="("/>
                          <m:endChr m:val=")"/>
                          <m:sepChr m:val=""/>
                          <m:grow/>
                        </m:dPr>
                        <m:e>
                          <m:r>
                            <m:t>n</m:t>
                          </m:r>
                          <m:r>
                            <m:rPr>
                              <m:sty m:val="p"/>
                            </m:rPr>
                            <m:t>+</m:t>
                          </m:r>
                          <m:r>
                            <m:t>k</m:t>
                          </m:r>
                          <m:r>
                            <m:rPr>
                              <m:sty m:val="p"/>
                            </m:rPr>
                            <m:t>−</m:t>
                          </m:r>
                          <m:r>
                            <m:t>1</m:t>
                          </m:r>
                        </m:e>
                      </m:d>
                    </m:e>
                    <m:sup>
                      <m:r>
                        <m:t>2</m:t>
                      </m:r>
                    </m:sup>
                  </m:sSup>
                </m:num>
                <m:den>
                  <m:d>
                    <m:dPr>
                      <m:begChr m:val="("/>
                      <m:endChr m:val=")"/>
                      <m:sepChr m:val=""/>
                      <m:grow/>
                    </m:dPr>
                    <m:e>
                      <m:sSup>
                        <m:e>
                          <m:r>
                            <m:t>n</m:t>
                          </m:r>
                        </m:e>
                        <m:sup>
                          <m:r>
                            <m:t>2</m:t>
                          </m:r>
                        </m:sup>
                      </m:sSup>
                      <m:r>
                        <m:rPr>
                          <m:sty m:val="p"/>
                        </m:rPr>
                        <m:t>−</m:t>
                      </m:r>
                      <m:r>
                        <m:t>1</m:t>
                      </m:r>
                    </m:e>
                  </m:d>
                  <m:d>
                    <m:dPr>
                      <m:begChr m:val="("/>
                      <m:endChr m:val=")"/>
                      <m:sepChr m:val=""/>
                      <m:grow/>
                    </m:dPr>
                    <m:e>
                      <m:r>
                        <m:t>3</m:t>
                      </m:r>
                      <m:r>
                        <m:rPr>
                          <m:sty m:val="p"/>
                        </m:rPr>
                        <m:t>+</m:t>
                      </m:r>
                      <m:r>
                        <m:t>n</m:t>
                      </m:r>
                    </m:e>
                  </m:d>
                </m:den>
              </m:f>
            </m:e>
          </m:rad>
        </m:oMath>
      </m:oMathPara>
    </w:p>
    <w:p>
      <w:pPr>
        <w:pStyle w:val="FirstParagraph"/>
      </w:pPr>
      <w:r>
        <w:t xml:space="preserve">The sampling distribution for</w:t>
      </w:r>
      <w:r>
        <w:t xml:space="preserve"> </w:t>
      </w:r>
      <m:oMath>
        <m:sSup>
          <m:e>
            <m:r>
              <m:t>η</m:t>
            </m:r>
          </m:e>
          <m:sup>
            <m:r>
              <m:t>2</m:t>
            </m:r>
          </m:sup>
        </m:sSup>
      </m:oMath>
      <w:r>
        <w:t xml:space="preserve"> </w:t>
      </w:r>
      <w:r>
        <w:t xml:space="preserve">is asymmetric as all the values are bounded in the range, 0 to 1. The confidence interval surrounding</w:t>
      </w:r>
      <w:r>
        <w:t xml:space="preserve"> </w:t>
      </w:r>
      <m:oMath>
        <m:sSup>
          <m:e>
            <m:r>
              <m:t>η</m:t>
            </m:r>
          </m:e>
          <m:sup>
            <m:r>
              <m:t>2</m:t>
            </m:r>
          </m:sup>
        </m:sSup>
      </m:oMath>
      <w:r>
        <w:t xml:space="preserve"> </w:t>
      </w:r>
      <w:r>
        <w:t xml:space="preserve">will likewise be asymmetric so instead of calculating the confidence interval from the standard error, we can instead use a non-central F-distribution using the degrees of freedom between groups (e.g., for three groups:</w:t>
      </w:r>
      <w:r>
        <w:t xml:space="preserve"> </w:t>
      </w:r>
      <m:oMath>
        <m:r>
          <m:t>d</m:t>
        </m:r>
        <m:sSub>
          <m:e>
            <m:r>
              <m:t>f</m:t>
            </m:r>
          </m:e>
          <m:sub>
            <m:r>
              <m:t>b</m:t>
            </m:r>
          </m:sub>
        </m:sSub>
        <m:r>
          <m:rPr>
            <m:sty m:val="p"/>
          </m:rPr>
          <m:t>=</m:t>
        </m:r>
        <m:r>
          <m:t>k</m:t>
        </m:r>
        <m:r>
          <m:rPr>
            <m:sty m:val="p"/>
          </m:rPr>
          <m:t>−</m:t>
        </m:r>
        <m:r>
          <m:t>1</m:t>
        </m:r>
        <m:r>
          <m:rPr>
            <m:sty m:val="p"/>
          </m:rPr>
          <m:t>=</m:t>
        </m:r>
        <m:r>
          <m:t>3</m:t>
        </m:r>
        <m:r>
          <m:rPr>
            <m:sty m:val="p"/>
          </m:rPr>
          <m:t>−</m:t>
        </m:r>
        <m:r>
          <m:t>1</m:t>
        </m:r>
        <m:r>
          <m:rPr>
            <m:sty m:val="p"/>
          </m:rPr>
          <m:t>=</m:t>
        </m:r>
        <m:r>
          <m:t>2</m:t>
        </m:r>
      </m:oMath>
      <w:r>
        <w:t xml:space="preserve">) and the degrees of freedom within groups (e.g., for 100 subjects and three groups:</w:t>
      </w:r>
      <w:r>
        <w:t xml:space="preserve"> </w:t>
      </w:r>
      <m:oMath>
        <m:r>
          <m:t>d</m:t>
        </m:r>
        <m:sSub>
          <m:e>
            <m:r>
              <m:t>f</m:t>
            </m:r>
          </m:e>
          <m:sub>
            <m:r>
              <m:t>b</m:t>
            </m:r>
          </m:sub>
        </m:sSub>
        <m:r>
          <m:rPr>
            <m:sty m:val="p"/>
          </m:rPr>
          <m:t>=</m:t>
        </m:r>
        <m:r>
          <m:t>n</m:t>
        </m:r>
        <m:r>
          <m:rPr>
            <m:sty m:val="p"/>
          </m:rPr>
          <m:t>−</m:t>
        </m:r>
        <m:r>
          <m:t>k</m:t>
        </m:r>
        <m:r>
          <m:rPr>
            <m:sty m:val="p"/>
          </m:rPr>
          <m:t>=</m:t>
        </m:r>
        <m:r>
          <m:t>100</m:t>
        </m:r>
        <m:r>
          <m:rPr>
            <m:sty m:val="p"/>
          </m:rPr>
          <m:t>−</m:t>
        </m:r>
        <m:r>
          <m:t>3</m:t>
        </m:r>
        <m:r>
          <m:rPr>
            <m:sty m:val="p"/>
          </m:rPr>
          <m:t>=</m:t>
        </m:r>
        <m:r>
          <m:t>97</m:t>
        </m:r>
      </m:oMath>
      <w:r>
        <w:t xml:space="preserve">) to obtain the confidence intervals. Another option is to use bootstrapping procedure</w:t>
      </w:r>
      <w:r>
        <w:t xml:space="preserve"> </w:t>
      </w:r>
      <w:r>
        <w:t xml:space="preserve">(i.e., resampling the observed data points to construct a sampling distribution around</w:t>
      </w:r>
      <w:r>
        <w:t xml:space="preserve"> </w:t>
      </w:r>
      <m:oMath>
        <m:sSup>
          <m:e>
            <m:r>
              <m:t>η</m:t>
            </m:r>
          </m:e>
          <m:sup>
            <m:r>
              <m:t>2</m:t>
            </m:r>
          </m:sup>
        </m:sSup>
      </m:oMath>
      <w:r>
        <w:t xml:space="preserve">, see Kirby and Gerlanc 2013)</w:t>
      </w:r>
      <w:r>
        <w:t xml:space="preserve"> </w:t>
      </w:r>
      <w:r>
        <w:t xml:space="preserve">and then take the .025 and .975 quantiles of that distribution. The R code below will compute the proper confidence interval.</w:t>
      </w:r>
    </w:p>
    <w:p>
      <w:pPr>
        <w:pStyle w:val="BodyText"/>
      </w:pPr>
      <w:r>
        <w:t xml:space="preserve">Where</w:t>
      </w:r>
      <w:r>
        <w:t xml:space="preserve"> </w:t>
      </w:r>
      <m:oMath>
        <m:r>
          <m:t>n</m:t>
        </m:r>
      </m:oMath>
      <w:r>
        <w:t xml:space="preserve"> </w:t>
      </w:r>
      <w:r>
        <w:t xml:space="preserve">is the total sample size and</w:t>
      </w:r>
      <w:r>
        <w:t xml:space="preserve"> </w:t>
      </w:r>
      <m:oMath>
        <m:r>
          <m:t>k</m:t>
        </m:r>
      </m:oMath>
      <w:r>
        <w:t xml:space="preserve"> </w:t>
      </w:r>
      <w:r>
        <w:t xml:space="preserve">is the number of predictors. In R, we can calculate</w:t>
      </w:r>
      <w:r>
        <w:t xml:space="preserve"> </w:t>
      </w:r>
      <m:oMath>
        <m:sSup>
          <m:e>
            <m:r>
              <m:t>η</m:t>
            </m:r>
          </m:e>
          <m:sup>
            <m:r>
              <m:t>2</m:t>
            </m:r>
          </m:sup>
        </m:sSup>
      </m:oMath>
      <w:r>
        <w:t xml:space="preserve"> </w:t>
      </w:r>
      <w:r>
        <w:t xml:space="preserve">from a one-way ANOVA using the penguin data set from the</w:t>
      </w:r>
      <w:r>
        <w:t xml:space="preserve"> </w:t>
      </w:r>
      <w:r>
        <w:rPr>
          <w:rStyle w:val="VerbatimChar"/>
        </w:rPr>
        <w:t xml:space="preserve">palmerpenguins</w:t>
      </w:r>
      <w:r>
        <w:t xml:space="preserve"> </w:t>
      </w:r>
      <w:r>
        <w:t xml:space="preserve">data package. The</w:t>
      </w:r>
      <w:r>
        <w:t xml:space="preserve"> </w:t>
      </w:r>
      <w:r>
        <w:rPr>
          <w:rStyle w:val="VerbatimChar"/>
        </w:rPr>
        <w:t xml:space="preserve">aov</w:t>
      </w:r>
      <w:r>
        <w:t xml:space="preserve"> </w:t>
      </w:r>
      <w:r>
        <w:t xml:space="preserve">function in base R allows the analyst to model an ANOVA with categorical predictors on the right side (species) of the</w:t>
      </w:r>
      <w:r>
        <w:t xml:space="preserve"> </w:t>
      </w:r>
      <w:r>
        <w:rPr>
          <w:rStyle w:val="VerbatimChar"/>
        </w:rPr>
        <w:t xml:space="preserve">~</w:t>
      </w:r>
      <w:r>
        <w:t xml:space="preserve"> </w:t>
      </w:r>
      <w:r>
        <w:t xml:space="preserve">and the outcome on the left side (body mass of penguin). We can then use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to calculate the point estimate and confidence intervals.</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rPr>
          <w:rStyle w:val="FunctionTok"/>
        </w:rPr>
        <w:t xml:space="preserve">library</w:t>
      </w:r>
      <w:r>
        <w:rPr>
          <w:rStyle w:val="NormalTok"/>
        </w:rPr>
        <w:t xml:space="preserve">(effectsize)</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an eta-squared value of</w:t>
      </w:r>
      <w:r>
        <w:t xml:space="preserve"> </w:t>
      </w:r>
      <m:oMath>
        <m:sSup>
          <m:e>
            <m:r>
              <m:t>η</m:t>
            </m:r>
          </m:e>
          <m:sup>
            <m:r>
              <m:t>2</m:t>
            </m:r>
          </m:sup>
        </m:s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FirstParagraph"/>
      </w:pPr>
      <w:r>
        <w:t xml:space="preserve">Notice that the</w:t>
      </w:r>
      <w:r>
        <w:t xml:space="preserve"> </w:t>
      </w:r>
      <m:oMath>
        <m:sSup>
          <m:e>
            <m:r>
              <m:t>η</m:t>
            </m:r>
          </m:e>
          <m:sup>
            <m:r>
              <m:t>2</m:t>
            </m:r>
          </m:sup>
        </m:sSup>
      </m:oMath>
      <w:r>
        <w:t xml:space="preserve"> </w:t>
      </w:r>
      <w:r>
        <w:t xml:space="preserve">does not change for species since the sum of squares is divided by the total sum of squares rather than the residual sum of squares (see partial eta squared). The example shows an eta-squared value for species of</w:t>
      </w:r>
      <w:r>
        <w:t xml:space="preserve"> </w:t>
      </w:r>
      <m:oMath>
        <m:sSup>
          <m:e>
            <m:r>
              <m:t>η</m:t>
            </m:r>
          </m:e>
          <m:sup>
            <m:r>
              <m:t>2</m:t>
            </m:r>
          </m:sup>
        </m:sSup>
      </m:oMath>
      <w:r>
        <w:t xml:space="preserve"> </w:t>
      </w:r>
      <w:r>
        <w:t xml:space="preserve">= .67 [.62, .72] and for sex</w:t>
      </w:r>
      <w:r>
        <w:t xml:space="preserve"> </w:t>
      </w:r>
      <m:oMath>
        <m:sSup>
          <m:e>
            <m:r>
              <m:t>η</m:t>
            </m:r>
          </m:e>
          <m:sup>
            <m:r>
              <m:t>2</m:t>
            </m:r>
          </m:sup>
        </m:sSup>
      </m:oMath>
      <w:r>
        <w:t xml:space="preserve"> </w:t>
      </w:r>
      <w:r>
        <w:t xml:space="preserve">= .17 [.10, .24].</w:t>
      </w:r>
    </w:p>
    <w:bookmarkEnd w:id="156"/>
    <w:bookmarkStart w:id="157" w:name="partial-eta-squared-eta2_p"/>
    <w:p>
      <w:pPr>
        <w:pStyle w:val="Heading3"/>
      </w:pPr>
      <w:r>
        <w:t xml:space="preserve">11.8.2 Partial Eta-Squared (</w:t>
      </w:r>
      <m:oMath>
        <m:sSubSup>
          <m:e>
            <m:r>
              <m:t>η</m:t>
            </m:r>
          </m:e>
          <m:sub>
            <m:r>
              <m:t>p</m:t>
            </m:r>
          </m:sub>
          <m:sup>
            <m:r>
              <m:t>2</m:t>
            </m:r>
          </m:sup>
        </m:sSubSup>
      </m:oMath>
      <w:r>
        <w:t xml:space="preserve">)</w:t>
      </w:r>
    </w:p>
    <w:p>
      <w:pPr>
        <w:pStyle w:val="FirstParagraph"/>
      </w:pPr>
      <w:r>
        <w:t xml:space="preserve">Partial eta-squared is the most commonly reported effect size measure for F-tests. It describes the proportion of variability associated with an effect when the variability associated with all other effects identified in the analysis has been removed from consideration (hence, it is</w:t>
      </w:r>
      <w:r>
        <w:t xml:space="preserve"> </w:t>
      </w:r>
      <w:r>
        <w:t xml:space="preserve">“</w:t>
      </w:r>
      <w:r>
        <w:t xml:space="preserve">partial</w:t>
      </w:r>
      <w:r>
        <w:t xml:space="preserve">”</w:t>
      </w:r>
      <w:r>
        <w:t xml:space="preserve">). If you have access to an ANOVA table, the partial eta-squared for an effect is calculated as:</w:t>
      </w:r>
    </w:p>
    <w:p>
      <w:pPr>
        <w:pStyle w:val="BodyText"/>
      </w:pPr>
      <m:oMathPara>
        <m:oMathParaPr>
          <m:jc m:val="center"/>
        </m:oMathParaPr>
        <m:oMath>
          <m:sSubSup>
            <m:e>
              <m:r>
                <m:t>η</m:t>
              </m:r>
            </m:e>
            <m:sub>
              <m:r>
                <m:t>p</m:t>
              </m:r>
            </m:sub>
            <m:sup>
              <m:r>
                <m:t>2</m:t>
              </m:r>
            </m:sup>
          </m:sSubSup>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There are two things to take note of here:</w:t>
      </w:r>
    </w:p>
    <w:p>
      <w:pPr>
        <w:numPr>
          <w:ilvl w:val="0"/>
          <w:numId w:val="1011"/>
        </w:numPr>
        <w:pStyle w:val="Compact"/>
      </w:pPr>
      <w:r>
        <w:t xml:space="preserve">In a one-way ANOVA (one categorical predictor), partial eta-squared and eta-squared are equivalent since</w:t>
      </w:r>
      <w:r>
        <w:t xml:space="preserve">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p>
    <w:p>
      <w:pPr>
        <w:numPr>
          <w:ilvl w:val="0"/>
          <w:numId w:val="1011"/>
        </w:numPr>
        <w:pStyle w:val="Compact"/>
      </w:pPr>
      <w:r>
        <w:t xml:space="preserve">If there are multiple predictors, the denominator will only include the sum of squares of the effect of interest rather than the effect of all predictors (which is the case for the non-partial eta squared).</w:t>
      </w:r>
    </w:p>
    <w:p>
      <w:pPr>
        <w:pStyle w:val="FirstParagraph"/>
      </w:pPr>
      <w:r>
        <w:t xml:space="preserve">In R, let us compare the partial eta-squared values for a one-way ANOVA and a two-way ANOVA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 partial eta-squared value of</w:t>
      </w:r>
      <w:r>
        <w:t xml:space="preserve"> </w:t>
      </w:r>
      <m:oMath>
        <m:sSup>
          <m:e>
            <m:r>
              <m:t>η</m:t>
            </m:r>
          </m:e>
          <m:sup>
            <m:r>
              <m:t>2</m:t>
            </m:r>
          </m:sup>
        </m:sSup>
      </m:oMath>
      <w:r>
        <w:t xml:space="preserve"> </w:t>
      </w:r>
      <w:r>
        <w:t xml:space="preserve">=</w:t>
      </w:r>
      <w:r>
        <w:t xml:space="preserve"> </w:t>
      </w:r>
      <m:oMath>
        <m:sSubSup>
          <m:e>
            <m:r>
              <m:t>η</m:t>
            </m:r>
          </m:e>
          <m:sub>
            <m:r>
              <m:t>p</m:t>
            </m:r>
          </m:sub>
          <m:sup>
            <m:r>
              <m:t>2</m:t>
            </m:r>
          </m:sup>
        </m:sSub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0.81 | [0.78, 0.84]</w:t>
      </w:r>
      <w:r>
        <w:br/>
      </w:r>
      <w:r>
        <w:rPr>
          <w:rStyle w:val="VerbatimChar"/>
        </w:rPr>
        <w:t xml:space="preserve">sex       |           0.53 | [0.46, 0.59]</w:t>
      </w:r>
    </w:p>
    <w:p>
      <w:pPr>
        <w:pStyle w:val="FirstParagraph"/>
      </w:pPr>
      <w:r>
        <w:t xml:space="preserve">Once we run a two-way ANOVA, the eta-squared value for species begins to differ. The example shows a partial eta-squared value for species of</w:t>
      </w:r>
      <w:r>
        <w:t xml:space="preserve"> </w:t>
      </w:r>
      <m:oMath>
        <m:sSubSup>
          <m:e>
            <m:r>
              <m:t>η</m:t>
            </m:r>
          </m:e>
          <m:sub>
            <m:r>
              <m:t>p</m:t>
            </m:r>
          </m:sub>
          <m:sup>
            <m:r>
              <m:t>2</m:t>
            </m:r>
          </m:sup>
        </m:sSubSup>
      </m:oMath>
      <w:r>
        <w:t xml:space="preserve"> </w:t>
      </w:r>
      <w:r>
        <w:t xml:space="preserve">= .81 [.78, .84] and for sex</w:t>
      </w:r>
      <w:r>
        <w:t xml:space="preserve"> </w:t>
      </w:r>
      <m:oMath>
        <m:sSup>
          <m:e>
            <m:r>
              <m:t>η</m:t>
            </m:r>
          </m:e>
          <m:sup>
            <m:r>
              <m:t>2</m:t>
            </m:r>
          </m:sup>
        </m:sSup>
      </m:oMath>
      <w:r>
        <w:t xml:space="preserve"> </w:t>
      </w:r>
      <w:r>
        <w:t xml:space="preserve">= .53 [.46, .59].</w:t>
      </w:r>
    </w:p>
    <w:bookmarkEnd w:id="157"/>
    <w:bookmarkStart w:id="158" w:name="generalized-eta-squared-eta2_g"/>
    <w:p>
      <w:pPr>
        <w:pStyle w:val="Heading3"/>
      </w:pPr>
      <w:r>
        <w:t xml:space="preserve">11.8.3 Generalized Eta-Squared (</w:t>
      </w:r>
      <m:oMath>
        <m:sSubSup>
          <m:e>
            <m:r>
              <m:t>η</m:t>
            </m:r>
          </m:e>
          <m:sub>
            <m:r>
              <m:t>G</m:t>
            </m:r>
          </m:sub>
          <m:sup>
            <m:r>
              <m:t>2</m:t>
            </m:r>
          </m:sup>
        </m:sSubSup>
      </m:oMath>
      <w:r>
        <w:t xml:space="preserve">)</w:t>
      </w:r>
    </w:p>
    <w:p>
      <w:pPr>
        <w:pStyle w:val="FirstParagraph"/>
      </w:pPr>
      <w:r>
        <w:t xml:space="preserve">Generalized eta-squared was devised to allow effect size comparisons across studies with different designs, which eta-squared and partial eta-squared cannot help with (refer to for details). If you can (either you are confident that you calculated it right, or the statistical software that you use just happens to return this measure), report generalized eta-squared in addition to eta-squared or partial eta-squared. The biggest advantage of generalized eta-squared is that it facilitates meta-analysis, which is important for the accumulation of knowledge. To calculate generalized eta-squared, the denominator should be the sums of squares of all the non-manipulated variables (i.e., variance of purely individual differences in the outcome rather than individual differences in treatment effects). Note the formula will depend on the design of the study. In R,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supports the calculation of generalized eta-squared by using the</w:t>
      </w:r>
      <w:r>
        <w:t xml:space="preserve"> </w:t>
      </w:r>
      <w:r>
        <w:rPr>
          <w:rStyle w:val="VerbatimChar"/>
        </w:rPr>
        <w:t xml:space="preserve">generalized=TRUE</w:t>
      </w:r>
      <w:r>
        <w:t xml:space="preserve"> </w:t>
      </w:r>
      <w:r>
        <w:t xml:space="preserve">argument.</w:t>
      </w:r>
    </w:p>
    <w:bookmarkEnd w:id="158"/>
    <w:bookmarkStart w:id="159" w:name="Xc42d082a42e3ae846c458ca93bfeb52673c8518"/>
    <w:p>
      <w:pPr>
        <w:pStyle w:val="Heading3"/>
      </w:pPr>
      <w:r>
        <w:t xml:space="preserve">11.8.4 Omega squared corrections (</w:t>
      </w:r>
      <m:oMath>
        <m:sSup>
          <m:e>
            <m:r>
              <m:t>ω</m:t>
            </m:r>
          </m:e>
          <m:sup>
            <m:r>
              <m:t>2</m:t>
            </m:r>
          </m:sup>
        </m:sSup>
      </m:oMath>
      <w:r>
        <w:t xml:space="preserve">,</w:t>
      </w:r>
      <w:r>
        <w:t xml:space="preserve"> </w:t>
      </w:r>
      <m:oMath>
        <m:sSubSup>
          <m:e>
            <m:r>
              <m:t>ω</m:t>
            </m:r>
          </m:e>
          <m:sub>
            <m:r>
              <m:t>p</m:t>
            </m:r>
          </m:sub>
          <m:sup>
            <m:r>
              <m:t>2</m:t>
            </m:r>
          </m:sup>
        </m:sSubSup>
      </m:oMath>
      <w:r>
        <w:t xml:space="preserve">)</w:t>
      </w:r>
    </w:p>
    <w:p>
      <w:pPr>
        <w:pStyle w:val="FirstParagraph"/>
      </w:pPr>
      <w:r>
        <w:t xml:space="preserve">Similar to Hedges’ correction for small sample bias in standardized mean differences,</w:t>
      </w:r>
      <w:r>
        <w:t xml:space="preserve"> </w:t>
      </w:r>
      <m:oMath>
        <m:sSup>
          <m:e>
            <m:r>
              <m:t>η</m:t>
            </m:r>
          </m:e>
          <m:sup>
            <m:r>
              <m:t>2</m:t>
            </m:r>
          </m:sup>
        </m:sSup>
      </m:oMath>
      <w:r>
        <w:t xml:space="preserve"> </w:t>
      </w:r>
      <w:r>
        <w:t xml:space="preserve">is also biased. We can apply a correction to</w:t>
      </w:r>
      <w:r>
        <w:t xml:space="preserve"> </w:t>
      </w:r>
      <m:oMath>
        <m:sSup>
          <m:e>
            <m:r>
              <m:t>η</m:t>
            </m:r>
          </m:e>
          <m:sup>
            <m:r>
              <m:t>2</m:t>
            </m:r>
          </m:sup>
        </m:sSup>
      </m:oMath>
      <w:r>
        <w:t xml:space="preserve"> </w:t>
      </w:r>
      <w:r>
        <w:t xml:space="preserve">and obtain a relatively unbiased estimate of the population proportion of variance explained by the predictor. To calculate</w:t>
      </w:r>
      <w:r>
        <w:t xml:space="preserve"> </w:t>
      </w:r>
      <m:oMath>
        <m:r>
          <m:t>ω</m:t>
        </m:r>
      </m:oMath>
      <w:r>
        <w:t xml:space="preserve">, we need to calculate the within group mean squared errors:</w:t>
      </w:r>
    </w:p>
    <w:p>
      <w:pPr>
        <w:pStyle w:val="BodyText"/>
      </w:pPr>
      <m:oMathPara>
        <m:oMathParaPr>
          <m:jc m:val="center"/>
        </m:oMathParaPr>
        <m:oMath>
          <m:r>
            <m:t>M</m:t>
          </m:r>
          <m:sSub>
            <m:e>
              <m:r>
                <m:t>S</m:t>
              </m:r>
            </m:e>
            <m:sub>
              <m:r>
                <m:rPr>
                  <m:nor/>
                  <m:sty m:val="p"/>
                </m:rPr>
                <m:t>within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 the predicted values of the outcome,</w:t>
      </w:r>
      <w:r>
        <w:t xml:space="preserve"> </w:t>
      </w:r>
      <m:oMath>
        <m:sSub>
          <m:e>
            <m:acc>
              <m:accPr>
                <m:chr m:val="̂"/>
              </m:accPr>
              <m:e>
                <m:r>
                  <m:t>y</m:t>
                </m:r>
              </m:e>
            </m:acc>
          </m:e>
          <m:sub>
            <m:r>
              <m:t>i</m:t>
            </m:r>
          </m:sub>
        </m:sSub>
      </m:oMath>
      <w:r>
        <w:t xml:space="preserve">, are the mean value for the individual’s respective group.</w:t>
      </w:r>
    </w:p>
    <w:p>
      <w:pPr>
        <w:pStyle w:val="BodyText"/>
      </w:pPr>
      <m:oMathPara>
        <m:oMathParaPr>
          <m:jc m:val="center"/>
        </m:oMathParaPr>
        <m:oMath>
          <m:sSup>
            <m:e>
              <m:r>
                <m:t>ω</m:t>
              </m:r>
            </m:e>
            <m:sup>
              <m:r>
                <m:t>2</m:t>
              </m:r>
            </m:sup>
          </m:sSup>
          <m:r>
            <m:rPr>
              <m:sty m:val="p"/>
            </m:rPr>
            <m:t>=</m:t>
          </m:r>
          <m:f>
            <m:fPr>
              <m:type m:val="bar"/>
            </m:fPr>
            <m:num>
              <m:r>
                <m:t>S</m:t>
              </m:r>
              <m:sSub>
                <m:e>
                  <m:r>
                    <m:t>S</m:t>
                  </m:r>
                </m:e>
                <m:sub>
                  <m:r>
                    <m:rPr>
                      <m:nor/>
                      <m:sty m:val="p"/>
                    </m:rPr>
                    <m:t>effect</m:t>
                  </m:r>
                </m:sub>
              </m:sSub>
              <m:r>
                <m:rPr>
                  <m:sty m:val="p"/>
                </m:rPr>
                <m:t>−</m:t>
              </m:r>
              <m:d>
                <m:dPr>
                  <m:begChr m:val="("/>
                  <m:endChr m:val=")"/>
                  <m:sepChr m:val=""/>
                  <m:grow/>
                </m:dPr>
                <m:e>
                  <m:r>
                    <m:t>k</m:t>
                  </m:r>
                  <m:r>
                    <m:rPr>
                      <m:sty m:val="p"/>
                    </m:rPr>
                    <m:t>−</m:t>
                  </m:r>
                  <m:r>
                    <m:t>1</m:t>
                  </m:r>
                </m:e>
              </m:d>
              <m:r>
                <m:rPr>
                  <m:sty m:val="p"/>
                </m:rPr>
                <m:t>×</m:t>
              </m:r>
              <m:r>
                <m:t>M</m:t>
              </m:r>
              <m:sSub>
                <m:e>
                  <m:r>
                    <m:t>S</m:t>
                  </m:r>
                </m:e>
                <m:sub>
                  <m:r>
                    <m:rPr>
                      <m:nor/>
                      <m:sty m:val="p"/>
                    </m:rPr>
                    <m:t>within</m:t>
                  </m:r>
                </m:sub>
              </m:sSub>
            </m:num>
            <m:den>
              <m:r>
                <m:t>S</m:t>
              </m:r>
              <m:sSub>
                <m:e>
                  <m:r>
                    <m:t>S</m:t>
                  </m:r>
                </m:e>
                <m:sub>
                  <m:r>
                    <m:rPr>
                      <m:nor/>
                      <m:sty m:val="p"/>
                    </m:rPr>
                    <m:t>total</m:t>
                  </m:r>
                </m:sub>
              </m:sSub>
              <m:r>
                <m:rPr>
                  <m:sty m:val="p"/>
                </m:rPr>
                <m:t>+</m:t>
              </m:r>
              <m:r>
                <m:t>M</m:t>
              </m:r>
              <m:sSub>
                <m:e>
                  <m:r>
                    <m:t>S</m:t>
                  </m:r>
                </m:e>
                <m:sub>
                  <m:r>
                    <m:rPr>
                      <m:nor/>
                      <m:sty m:val="p"/>
                    </m:rPr>
                    <m:t>within</m:t>
                  </m:r>
                </m:sub>
              </m:sSub>
            </m:den>
          </m:f>
        </m:oMath>
      </m:oMathPara>
    </w:p>
    <w:p>
      <w:pPr>
        <w:pStyle w:val="FirstParagraph"/>
      </w:pPr>
      <w:r>
        <w:t xml:space="preserve">Where</w:t>
      </w:r>
      <w:r>
        <w:t xml:space="preserve"> </w:t>
      </w:r>
      <m:oMath>
        <m:r>
          <m:t>k</m:t>
        </m:r>
      </m:oMath>
      <w:r>
        <w:t xml:space="preserve"> </w:t>
      </w:r>
      <w:r>
        <w:t xml:space="preserve">is the number of groups in the predictor (effect) variable. For partial omega-squared values, we need the mean squared error of effect and the residuals which can easily be calculated from their sum of squares:</w:t>
      </w:r>
    </w:p>
    <w:p>
      <w:pPr>
        <w:pStyle w:val="BodyText"/>
      </w:pPr>
      <m:oMathPara>
        <m:oMathParaPr>
          <m:jc m:val="center"/>
        </m:oMathParaPr>
        <m:oMath>
          <m:r>
            <m:t>M</m:t>
          </m:r>
          <m:sSub>
            <m:e>
              <m:r>
                <m:t>S</m:t>
              </m:r>
            </m:e>
            <m:sub>
              <m:r>
                <m:rPr>
                  <m:nor/>
                  <m:sty m:val="p"/>
                </m:rPr>
                <m:t>effect</m:t>
              </m:r>
            </m:sub>
          </m:sSub>
          <m:r>
            <m:rPr>
              <m:sty m:val="p"/>
            </m:rPr>
            <m:t>=</m:t>
          </m:r>
          <m:f>
            <m:fPr>
              <m:type m:val="bar"/>
            </m:fPr>
            <m:num>
              <m:r>
                <m:t>S</m:t>
              </m:r>
              <m:sSub>
                <m:e>
                  <m:r>
                    <m:t>S</m:t>
                  </m:r>
                </m:e>
                <m:sub>
                  <m:r>
                    <m:rPr>
                      <m:nor/>
                      <m:sty m:val="p"/>
                    </m:rPr>
                    <m:t>effect</m:t>
                  </m:r>
                </m:sub>
              </m:sSub>
            </m:num>
            <m:den>
              <m:r>
                <m:t>n</m:t>
              </m:r>
            </m:den>
          </m:f>
        </m:oMath>
      </m:oMathPara>
    </w:p>
    <w:p>
      <w:pPr>
        <w:pStyle w:val="FirstParagraph"/>
      </w:pPr>
      <m:oMathPara>
        <m:oMathParaPr>
          <m:jc m:val="center"/>
        </m:oMathParaPr>
        <m:oMath>
          <m:r>
            <m:t>M</m:t>
          </m:r>
          <m:sSub>
            <m:e>
              <m:r>
                <m:t>S</m:t>
              </m:r>
            </m:e>
            <m:sub>
              <m:r>
                <m:rPr>
                  <m:nor/>
                  <m:sty m:val="p"/>
                </m:rPr>
                <m:t>error</m:t>
              </m:r>
            </m:sub>
          </m:sSub>
          <m:r>
            <m:rPr>
              <m:sty m:val="p"/>
            </m:rPr>
            <m:t>=</m:t>
          </m:r>
          <m:f>
            <m:fPr>
              <m:type m:val="bar"/>
            </m:fPr>
            <m:num>
              <m:r>
                <m:t>S</m:t>
              </m:r>
              <m:sSub>
                <m:e>
                  <m:r>
                    <m:t>S</m:t>
                  </m:r>
                </m:e>
                <m:sub>
                  <m:r>
                    <m:rPr>
                      <m:nor/>
                      <m:sty m:val="p"/>
                    </m:rPr>
                    <m:t>error</m:t>
                  </m:r>
                </m:sub>
              </m:sSub>
            </m:num>
            <m:den>
              <m:r>
                <m:t>n</m:t>
              </m:r>
            </m:den>
          </m:f>
        </m:oMath>
      </m:oMathPara>
    </w:p>
    <w:p>
      <w:pPr>
        <w:pStyle w:val="FirstParagraph"/>
      </w:pPr>
      <w:r>
        <w:t xml:space="preserve">Then to calculate the partial omega squared we can use the following formula:</w:t>
      </w:r>
    </w:p>
    <w:p>
      <w:pPr>
        <w:pStyle w:val="BodyText"/>
      </w:pPr>
      <m:oMathPara>
        <m:oMathParaPr>
          <m:jc m:val="center"/>
        </m:oMathParaPr>
        <m:oMath>
          <m:sSubSup>
            <m:e>
              <m:r>
                <m:t>ω</m:t>
              </m:r>
            </m:e>
            <m:sub>
              <m:r>
                <m:t>p</m:t>
              </m:r>
            </m:sub>
            <m:sup>
              <m:r>
                <m:t>2</m:t>
              </m:r>
            </m:sup>
          </m:sSubSup>
          <m:r>
            <m:rPr>
              <m:sty m:val="p"/>
            </m:rPr>
            <m:t>=</m:t>
          </m:r>
          <m:f>
            <m:fPr>
              <m:type m:val="bar"/>
            </m:fPr>
            <m:num>
              <m:d>
                <m:dPr>
                  <m:begChr m:val="("/>
                  <m:endChr m:val=")"/>
                  <m:sepChr m:val=""/>
                  <m:grow/>
                </m:dPr>
                <m:e>
                  <m:r>
                    <m:t>k</m:t>
                  </m:r>
                  <m:r>
                    <m:rPr>
                      <m:sty m:val="p"/>
                    </m:rPr>
                    <m:t>−</m:t>
                  </m:r>
                  <m:r>
                    <m:t>1</m:t>
                  </m:r>
                </m:e>
              </m:d>
              <m:d>
                <m:dPr>
                  <m:begChr m:val="("/>
                  <m:endChr m:val=")"/>
                  <m:sepChr m:val=""/>
                  <m:grow/>
                </m:dPr>
                <m:e>
                  <m:r>
                    <m:t>M</m:t>
                  </m:r>
                  <m:sSub>
                    <m:e>
                      <m:r>
                        <m:t>S</m:t>
                      </m:r>
                    </m:e>
                    <m:sub>
                      <m:r>
                        <m:rPr>
                          <m:nor/>
                          <m:sty m:val="p"/>
                        </m:rPr>
                        <m:t>effect</m:t>
                      </m:r>
                    </m:sub>
                  </m:sSub>
                  <m:r>
                    <m:rPr>
                      <m:sty m:val="p"/>
                    </m:rPr>
                    <m:t>−</m:t>
                  </m:r>
                  <m:r>
                    <m:t>M</m:t>
                  </m:r>
                  <m:sSub>
                    <m:e>
                      <m:r>
                        <m:t>S</m:t>
                      </m:r>
                    </m:e>
                    <m:sub>
                      <m:r>
                        <m:rPr>
                          <m:nor/>
                          <m:sty m:val="p"/>
                        </m:rPr>
                        <m:t>error</m:t>
                      </m:r>
                    </m:sub>
                  </m:sSub>
                </m:e>
              </m:d>
            </m:num>
            <m:den>
              <m:d>
                <m:dPr>
                  <m:begChr m:val="("/>
                  <m:endChr m:val=")"/>
                  <m:sepChr m:val=""/>
                  <m:grow/>
                </m:dPr>
                <m:e>
                  <m:r>
                    <m:t>k</m:t>
                  </m:r>
                  <m:r>
                    <m:rPr>
                      <m:sty m:val="p"/>
                    </m:rPr>
                    <m:t>−</m:t>
                  </m:r>
                  <m:r>
                    <m:t>1</m:t>
                  </m:r>
                </m:e>
              </m:d>
              <m:r>
                <m:rPr>
                  <m:sty m:val="p"/>
                </m:rPr>
                <m:t>×</m:t>
              </m:r>
              <m:r>
                <m:t>M</m:t>
              </m:r>
              <m:sSub>
                <m:e>
                  <m:r>
                    <m:t>S</m:t>
                  </m:r>
                </m:e>
                <m:sub>
                  <m:r>
                    <m:rPr>
                      <m:nor/>
                      <m:sty m:val="p"/>
                    </m:rPr>
                    <m:t>effect</m:t>
                  </m:r>
                </m:sub>
              </m:sSub>
              <m:r>
                <m:rPr>
                  <m:sty m:val="p"/>
                </m:rPr>
                <m:t>+</m:t>
              </m:r>
              <m:d>
                <m:dPr>
                  <m:begChr m:val="("/>
                  <m:endChr m:val=")"/>
                  <m:sepChr m:val=""/>
                  <m:grow/>
                </m:dPr>
                <m:e>
                  <m:r>
                    <m:t>n</m:t>
                  </m:r>
                  <m:r>
                    <m:rPr>
                      <m:sty m:val="p"/>
                    </m:rPr>
                    <m:t>−</m:t>
                  </m:r>
                  <m:r>
                    <m:t>k</m:t>
                  </m:r>
                  <m:r>
                    <m:rPr>
                      <m:sty m:val="p"/>
                    </m:rPr>
                    <m:t>−</m:t>
                  </m:r>
                  <m:r>
                    <m:t>1</m:t>
                  </m:r>
                </m:e>
              </m:d>
              <m:r>
                <m:rPr>
                  <m:sty m:val="p"/>
                </m:rPr>
                <m:t>×</m:t>
              </m:r>
              <m:r>
                <m:t>M</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omega_squared</w:t>
      </w:r>
      <w:r>
        <w:t xml:space="preserve"> </w:t>
      </w:r>
      <w:r>
        <w:t xml:space="preserve">function in the</w:t>
      </w:r>
      <w:r>
        <w:t xml:space="preserve"> </w:t>
      </w:r>
      <w:r>
        <w:rPr>
          <w:rStyle w:val="VerbatimChar"/>
        </w:rPr>
        <w:t xml:space="preserve">effectsize</w:t>
      </w:r>
      <w:r>
        <w:t xml:space="preserve"> </w:t>
      </w:r>
      <w:r>
        <w:t xml:space="preserve">package to calculate both</w:t>
      </w:r>
      <w:r>
        <w:t xml:space="preserve"> </w:t>
      </w:r>
      <m:oMath>
        <m:sSup>
          <m:e>
            <m:r>
              <m:t>ω</m:t>
            </m:r>
          </m:e>
          <m:sup>
            <m:r>
              <m:t>2</m:t>
            </m:r>
          </m:sup>
        </m:sSup>
      </m:oMath>
      <w:r>
        <w:t xml:space="preserve"> </w:t>
      </w:r>
      <w:r>
        <w:t xml:space="preserve">and</w:t>
      </w:r>
      <w:r>
        <w:t xml:space="preserve"> </w:t>
      </w:r>
      <m:oMath>
        <m:sSubSup>
          <m:e>
            <m:r>
              <m:t>ω</m:t>
            </m:r>
          </m:e>
          <m:sub>
            <m:r>
              <m:t>p</m:t>
            </m:r>
          </m:sub>
          <m:sup>
            <m:r>
              <m:t>2</m:t>
            </m:r>
          </m:sup>
        </m:sSubSup>
      </m:oMath>
      <w:r>
        <w:t xml:space="preserve">. For the first example we will use a one-way ANOVA.</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CommentTok"/>
        </w:rPr>
        <w:t xml:space="preserve">#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SourceCode"/>
      </w:pPr>
      <w:r>
        <w:rPr>
          <w:rStyle w:val="CommentTok"/>
        </w:rPr>
        <w:t xml:space="preserve"># partial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omega squared is</w:t>
      </w:r>
      <w:r>
        <w:br/>
      </w:r>
      <w:r>
        <w:rPr>
          <w:rStyle w:val="VerbatimChar"/>
        </w:rPr>
        <w:t xml:space="preserve">  equivalent to omega squared. Returning omega squared.</w:t>
      </w:r>
    </w:p>
    <w:p>
      <w:pPr>
        <w:pStyle w:val="SourceCode"/>
      </w:pPr>
      <w:r>
        <w:rPr>
          <w:rStyle w:val="VerbatimChar"/>
        </w:rPr>
        <w:t xml:space="preserve"># Effect Size for ANOVA</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FirstParagraph"/>
      </w:pPr>
      <w:r>
        <w:t xml:space="preserve">The species of the penguin explains the majority of the variation in body mass showing an omega-squared value of</w:t>
      </w:r>
      <w:r>
        <w:t xml:space="preserve"> </w:t>
      </w:r>
      <m:oMath>
        <m:sSup>
          <m:e>
            <m:r>
              <m:t>ω</m:t>
            </m:r>
          </m:e>
          <m:sup>
            <m:r>
              <m:t>2</m:t>
            </m:r>
          </m:sup>
        </m:sSup>
      </m:oMath>
      <w:r>
        <w:t xml:space="preserve"> </w:t>
      </w:r>
      <w:r>
        <w:t xml:space="preserve">= .67 [.61, .71]. Note that the partial and non-partial omega squared values do not show a difference as expected in a one-way ANOVA.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CommentTok"/>
        </w:rPr>
        <w:t xml:space="preserve">#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SourceCode"/>
      </w:pPr>
      <w:r>
        <w:rPr>
          <w:rStyle w:val="CommentTok"/>
        </w:rPr>
        <w:t xml:space="preserve"># partial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(partial) |       95% CI</w:t>
      </w:r>
      <w:r>
        <w:br/>
      </w:r>
      <w:r>
        <w:rPr>
          <w:rStyle w:val="VerbatimChar"/>
        </w:rPr>
        <w:t xml:space="preserve">-------------------------------------------</w:t>
      </w:r>
      <w:r>
        <w:br/>
      </w:r>
      <w:r>
        <w:rPr>
          <w:rStyle w:val="VerbatimChar"/>
        </w:rPr>
        <w:t xml:space="preserve">species   |             0.81 | [0.78, 0.84]</w:t>
      </w:r>
      <w:r>
        <w:br/>
      </w:r>
      <w:r>
        <w:rPr>
          <w:rStyle w:val="VerbatimChar"/>
        </w:rPr>
        <w:t xml:space="preserve">sex       |             0.53 | [0.46, 0.58]</w:t>
      </w:r>
    </w:p>
    <w:p>
      <w:pPr>
        <w:pStyle w:val="FirstParagraph"/>
      </w:pPr>
      <w:r>
        <w:t xml:space="preserve">Once we run a two-way ANOVA, the eta-squared value for species  diverge. The example shows a partial eta-squared value for species of</w:t>
      </w:r>
      <w:r>
        <w:t xml:space="preserve"> </w:t>
      </w:r>
      <m:oMath>
        <m:sSubSup>
          <m:e>
            <m:r>
              <m:t>ω</m:t>
            </m:r>
          </m:e>
          <m:sub>
            <m:r>
              <m:t>p</m:t>
            </m:r>
          </m:sub>
          <m:sup>
            <m:r>
              <m:t>2</m:t>
            </m:r>
          </m:sup>
        </m:sSubSup>
      </m:oMath>
      <w:r>
        <w:t xml:space="preserve"> </w:t>
      </w:r>
      <w:r>
        <w:t xml:space="preserve">= .81 [.78, .84] and for sex</w:t>
      </w:r>
      <w:r>
        <w:t xml:space="preserve"> </w:t>
      </w:r>
      <m:oMath>
        <m:sSup>
          <m:e>
            <m:r>
              <m:t>ω</m:t>
            </m:r>
          </m:e>
          <m:sup>
            <m:r>
              <m:t>2</m:t>
            </m:r>
          </m:sup>
        </m:sSup>
      </m:oMath>
      <w:r>
        <w:t xml:space="preserve"> </w:t>
      </w:r>
      <w:r>
        <w:t xml:space="preserve">= .53 [.46, .58].</w:t>
      </w:r>
    </w:p>
    <w:bookmarkEnd w:id="159"/>
    <w:bookmarkStart w:id="160" w:name="cohens-f"/>
    <w:p>
      <w:pPr>
        <w:pStyle w:val="Heading3"/>
      </w:pPr>
      <w:r>
        <w:t xml:space="preserve">11.8.5 Cohen’s</w:t>
      </w:r>
      <w:r>
        <w:t xml:space="preserve"> </w:t>
      </w:r>
      <m:oMath>
        <m:r>
          <m:t>f</m:t>
        </m:r>
      </m:oMath>
    </w:p>
    <w:p>
      <w:pPr>
        <w:pStyle w:val="FirstParagraph"/>
      </w:pPr>
      <w:r>
        <w:t xml:space="preserve">Cohen’s</w:t>
      </w:r>
      <w:r>
        <w:t xml:space="preserve"> </w:t>
      </w:r>
      <m:oMath>
        <m:r>
          <m:t>f</m:t>
        </m:r>
      </m:oMath>
      <w:r>
        <w:t xml:space="preserve"> </w:t>
      </w:r>
      <w:r>
        <w:t xml:space="preserve">is defined as the ratio of the standard deviations of the group means and the common standard deviation within each of the groups (note that ANOVA assumes equal variances among groups). Cohen’s</w:t>
      </w:r>
      <w:r>
        <w:t xml:space="preserve"> </w:t>
      </w:r>
      <m:oMath>
        <m:r>
          <m:t>f</m:t>
        </m:r>
      </m:oMath>
      <w:r>
        <w:t xml:space="preserve"> </w:t>
      </w:r>
      <w:r>
        <w:t xml:space="preserve">is the effect size measure asked for by G*Power for power analysis for F-tests. This can be calculated easily from the eta-squared value,</w:t>
      </w:r>
    </w:p>
    <w:p>
      <w:pPr>
        <w:pStyle w:val="BodyText"/>
      </w:pPr>
      <m:oMathPara>
        <m:oMathParaPr>
          <m:jc m:val="center"/>
        </m:oMathParaPr>
        <m:oMath>
          <m:r>
            <m:t>f</m:t>
          </m:r>
          <m:r>
            <m:rPr>
              <m:sty m:val="p"/>
            </m:rPr>
            <m:t>=</m:t>
          </m:r>
          <m:rad>
            <m:radPr>
              <m:degHide m:val="1"/>
            </m:radPr>
            <m:deg/>
            <m:e>
              <m:f>
                <m:fPr>
                  <m:type m:val="bar"/>
                </m:fPr>
                <m:num>
                  <m:sSup>
                    <m:e>
                      <m:r>
                        <m:t>η</m:t>
                      </m:r>
                    </m:e>
                    <m:sup>
                      <m:r>
                        <m:t>2</m:t>
                      </m:r>
                    </m:sup>
                  </m:sSup>
                </m:num>
                <m:den>
                  <m:r>
                    <m:t>1</m:t>
                  </m:r>
                  <m:r>
                    <m:rPr>
                      <m:sty m:val="p"/>
                    </m:rPr>
                    <m:t>−</m:t>
                  </m:r>
                  <m:sSup>
                    <m:e>
                      <m:r>
                        <m:t>η</m:t>
                      </m:r>
                    </m:e>
                    <m:sup>
                      <m:r>
                        <m:t>2</m:t>
                      </m:r>
                    </m:sup>
                  </m:sSup>
                </m:den>
              </m:f>
            </m:e>
          </m:rad>
        </m:oMath>
      </m:oMathPara>
    </w:p>
    <w:p>
      <w:pPr>
        <w:pStyle w:val="FirstParagraph"/>
      </w:pPr>
      <w:r>
        <w:t xml:space="preserve">or by the</w:t>
      </w:r>
      <w:r>
        <w:t xml:space="preserve"> </w:t>
      </w:r>
      <m:oMath>
        <m:sSup>
          <m:e>
            <m:r>
              <m:t>ω</m:t>
            </m:r>
          </m:e>
          <m:sup>
            <m:r>
              <m:t>2</m:t>
            </m:r>
          </m:sup>
        </m:sSup>
      </m:oMath>
      <w:r>
        <w:t xml:space="preserve"> </w:t>
      </w:r>
      <w:r>
        <w:t xml:space="preserve">value,</w:t>
      </w:r>
    </w:p>
    <w:p>
      <w:pPr>
        <w:pStyle w:val="BodyText"/>
      </w:pPr>
      <m:oMathPara>
        <m:oMathParaPr>
          <m:jc m:val="center"/>
        </m:oMathParaPr>
        <m:oMath>
          <m:r>
            <m:t>f</m:t>
          </m:r>
          <m:r>
            <m:rPr>
              <m:sty m:val="p"/>
            </m:rPr>
            <m:t>=</m:t>
          </m:r>
          <m:rad>
            <m:radPr>
              <m:degHide m:val="1"/>
            </m:radPr>
            <m:deg/>
            <m:e>
              <m:f>
                <m:fPr>
                  <m:type m:val="bar"/>
                </m:fPr>
                <m:num>
                  <m:sSup>
                    <m:e>
                      <m:r>
                        <m:t>ω</m:t>
                      </m:r>
                    </m:e>
                    <m:sup>
                      <m:r>
                        <m:t>2</m:t>
                      </m:r>
                    </m:sup>
                  </m:sSup>
                </m:num>
                <m:den>
                  <m:r>
                    <m:t>1</m:t>
                  </m:r>
                  <m:r>
                    <m:rPr>
                      <m:sty m:val="p"/>
                    </m:rPr>
                    <m:t>−</m:t>
                  </m:r>
                  <m:sSup>
                    <m:e>
                      <m:r>
                        <m:t>ω</m:t>
                      </m:r>
                    </m:e>
                    <m:sup>
                      <m:r>
                        <m:t>2</m:t>
                      </m:r>
                    </m:sup>
                  </m:sSup>
                </m:den>
              </m:f>
            </m:e>
          </m:rad>
        </m:oMath>
      </m:oMathPara>
    </w:p>
    <w:p>
      <w:pPr>
        <w:pStyle w:val="FirstParagraph"/>
      </w:pPr>
      <w:r>
        <w:t xml:space="preserve">Cohen’s</w:t>
      </w:r>
      <w:r>
        <w:t xml:space="preserve"> </w:t>
      </w:r>
      <m:oMath>
        <m:r>
          <m:t>f</m:t>
        </m:r>
      </m:oMath>
      <w:r>
        <w:t xml:space="preserve"> </w:t>
      </w:r>
      <w:r>
        <w:t xml:space="preserve">can be interpreted as</w:t>
      </w:r>
      <w:r>
        <w:t xml:space="preserve"> </w:t>
      </w:r>
      <w:r>
        <w:t xml:space="preserve">“</w:t>
      </w:r>
      <w:r>
        <w:t xml:space="preserve">the average Cohen’s</w:t>
      </w:r>
      <w:r>
        <w:t xml:space="preserve"> </w:t>
      </w:r>
      <m:oMath>
        <m:r>
          <m:t>d</m:t>
        </m:r>
      </m:oMath>
      <w:r>
        <w:t xml:space="preserve"> </w:t>
      </w:r>
      <w:r>
        <w:t xml:space="preserve">(i.e., standardized mean difference) between groups</w:t>
      </w:r>
      <w:r>
        <w:t xml:space="preserve">”</w:t>
      </w:r>
      <w:r>
        <w:t xml:space="preserve">. Note that there is no directionality to this effect size (</w:t>
      </w:r>
      <m:oMath>
        <m:r>
          <m:t>f</m:t>
        </m:r>
      </m:oMath>
      <w:r>
        <w:t xml:space="preserve"> </w:t>
      </w:r>
      <w:r>
        <w:t xml:space="preserve">is always greater than zero), therefore two studies showing the same</w:t>
      </w:r>
      <w:r>
        <w:t xml:space="preserve"> </w:t>
      </w:r>
      <m:oMath>
        <m:r>
          <m:t>f</m:t>
        </m:r>
      </m:oMath>
      <w:r>
        <w:t xml:space="preserve"> </w:t>
      </w:r>
      <w:r>
        <w:t xml:space="preserve">with the same groups, can have very different patterns of group mean differences. Note that Cohen’s</w:t>
      </w:r>
      <w:r>
        <w:t xml:space="preserve"> </w:t>
      </w:r>
      <m:oMath>
        <m:r>
          <m:t>f</m:t>
        </m:r>
      </m:oMath>
      <w:r>
        <w:t xml:space="preserve"> </w:t>
      </w:r>
      <w:r>
        <w:t xml:space="preserve">is also often reported as</w:t>
      </w:r>
      <w:r>
        <w:t xml:space="preserve"> </w:t>
      </w:r>
      <m:oMath>
        <m:sSup>
          <m:e>
            <m:r>
              <m:t>f</m:t>
            </m:r>
          </m:e>
          <m:sup>
            <m:r>
              <m:t>2</m:t>
            </m:r>
          </m:sup>
        </m:sSup>
      </m:oMath>
      <w:r>
        <w:t xml:space="preserve">. The confidence intervals for Cohen’s</w:t>
      </w:r>
      <w:r>
        <w:t xml:space="preserve"> </w:t>
      </w:r>
      <m:oMath>
        <m:r>
          <m:t>f</m:t>
        </m:r>
      </m:oMath>
      <w:r>
        <w:t xml:space="preserve"> </w:t>
      </w:r>
      <w:r>
        <w:t xml:space="preserve">can be computed from the upper bounds and lower bounds of the confidence intervals from eta-square or omega-square using the formulas to calculate</w:t>
      </w:r>
      <w:r>
        <w:t xml:space="preserve"> </w:t>
      </w:r>
      <m:oMath>
        <m:r>
          <m:t>f</m:t>
        </m:r>
      </m:oMath>
      <w:r>
        <w:t xml:space="preserve"> </w:t>
      </w:r>
      <w:r>
        <w:t xml:space="preserve">(e.g., for the upper bound</w:t>
      </w:r>
      <w:r>
        <w:t xml:space="preserve"> </w:t>
      </w:r>
      <m:oMath>
        <m:sSub>
          <m:e>
            <m:r>
              <m:t>f</m:t>
            </m:r>
          </m:e>
          <m:sub>
            <m:r>
              <m:t>U</m:t>
            </m:r>
            <m:r>
              <m:t>P</m:t>
            </m:r>
          </m:sub>
        </m:sSub>
        <m:r>
          <m:rPr>
            <m:sty m:val="p"/>
          </m:rPr>
          <m:t>=</m:t>
        </m:r>
        <m:rad>
          <m:radPr>
            <m:degHide m:val="1"/>
          </m:radPr>
          <m:deg/>
          <m:e>
            <m:f>
              <m:fPr>
                <m:type m:val="bar"/>
              </m:fPr>
              <m:num>
                <m:sSubSup>
                  <m:e>
                    <m:r>
                      <m:t>η</m:t>
                    </m:r>
                  </m:e>
                  <m:sub>
                    <m:r>
                      <m:t>U</m:t>
                    </m:r>
                    <m:r>
                      <m:t>P</m:t>
                    </m:r>
                  </m:sub>
                  <m:sup>
                    <m:r>
                      <m:t>2</m:t>
                    </m:r>
                  </m:sup>
                </m:sSubSup>
              </m:num>
              <m:den>
                <m:r>
                  <m:t>1</m:t>
                </m:r>
                <m:r>
                  <m:rPr>
                    <m:sty m:val="p"/>
                  </m:rPr>
                  <m:t>−</m:t>
                </m:r>
                <m:sSubSup>
                  <m:e>
                    <m:r>
                      <m:t>η</m:t>
                    </m:r>
                  </m:e>
                  <m:sub>
                    <m:r>
                      <m:t>U</m:t>
                    </m:r>
                    <m:r>
                      <m:t>P</m:t>
                    </m:r>
                  </m:sub>
                  <m:sup>
                    <m:r>
                      <m:t>2</m:t>
                    </m:r>
                  </m:sup>
                </m:sSubSup>
              </m:den>
            </m:f>
          </m:e>
        </m:rad>
      </m:oMath>
      <w:r>
        <w:t xml:space="preserve">).</w:t>
      </w:r>
    </w:p>
    <w:p>
      <w:pPr>
        <w:pStyle w:val="BodyText"/>
      </w:pPr>
      <w:r>
        <w:t xml:space="preserve">In R, we can use the</w:t>
      </w:r>
      <w:r>
        <w:t xml:space="preserve"> </w:t>
      </w:r>
      <w:r>
        <w:rPr>
          <w:rStyle w:val="VerbatimChar"/>
        </w:rPr>
        <w:t xml:space="preserve">cohens_f</w:t>
      </w:r>
      <w:r>
        <w:t xml:space="preserve"> </w:t>
      </w:r>
      <w:r>
        <w:t xml:space="preserve">function in the</w:t>
      </w:r>
      <w:r>
        <w:t xml:space="preserve"> </w:t>
      </w:r>
      <w:r>
        <w:rPr>
          <w:rStyle w:val="VerbatimChar"/>
        </w:rPr>
        <w:t xml:space="preserve">effectsize</w:t>
      </w:r>
      <w:r>
        <w:t xml:space="preserve"> </w:t>
      </w:r>
      <w:r>
        <w:t xml:space="preserve">package to calculate Cohen’s</w:t>
      </w:r>
      <w:r>
        <w:t xml:space="preserve"> </w:t>
      </w:r>
      <m:oMath>
        <m:r>
          <m:t>f</m:t>
        </m:r>
      </m:oMath>
      <w:r>
        <w:t xml:space="preserve">. We will again use example data from the</w:t>
      </w:r>
      <w:r>
        <w:t xml:space="preserve"> </w:t>
      </w:r>
      <w:r>
        <w:rPr>
          <w:rStyle w:val="VerbatimChar"/>
        </w:rPr>
        <w:t xml:space="preserve">palmerpenguins</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CommentTok"/>
        </w:rPr>
        <w:t xml:space="preserve"># ANOVA</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br/>
      </w:r>
      <w:r>
        <w:br/>
      </w:r>
      <w:r>
        <w:rPr>
          <w:rStyle w:val="FunctionTok"/>
        </w:rPr>
        <w:t xml:space="preserve">cohens_f</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Cohen's f |       95% CI</w:t>
      </w:r>
      <w:r>
        <w:br/>
      </w:r>
      <w:r>
        <w:rPr>
          <w:rStyle w:val="VerbatimChar"/>
        </w:rPr>
        <w:t xml:space="preserve">------------------------------------</w:t>
      </w:r>
      <w:r>
        <w:br/>
      </w:r>
      <w:r>
        <w:rPr>
          <w:rStyle w:val="VerbatimChar"/>
        </w:rPr>
        <w:t xml:space="preserve">species   |      1.42 | [1.27, 1.57]</w:t>
      </w:r>
    </w:p>
    <w:p>
      <w:pPr>
        <w:pStyle w:val="FirstParagraph"/>
      </w:pPr>
      <w:r>
        <w:t xml:space="preserve">In the example above, the difference in body mass between the three penguin species was very large showing a Cohen’s</w:t>
      </w:r>
      <w:r>
        <w:t xml:space="preserve"> </w:t>
      </w:r>
      <m:oMath>
        <m:r>
          <m:t>f</m:t>
        </m:r>
      </m:oMath>
      <w:r>
        <w:t xml:space="preserve"> </w:t>
      </w:r>
      <w:r>
        <w:t xml:space="preserve">of 1.42 [1.27, 1.57].</w:t>
      </w:r>
    </w:p>
    <w:bookmarkEnd w:id="160"/>
    <w:bookmarkEnd w:id="161"/>
    <w:bookmarkStart w:id="162" w:name="reporting-anova-results"/>
    <w:p>
      <w:pPr>
        <w:pStyle w:val="Heading2"/>
      </w:pPr>
      <w:r>
        <w:t xml:space="preserve">11.9 Reporting ANOVA results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 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w:t>
      </w:r>
      <w:r>
        <w:t xml:space="preserve"> </w:t>
      </w:r>
      <w:r>
        <w:rPr>
          <w:iCs/>
          <w:i/>
        </w:rPr>
        <w:t xml:space="preserve">t</w:t>
      </w:r>
      <w:r>
        <w:t xml:space="preserve">-statistic and p-value for each comparison. For this, you need to calculate and report Cohen’s</w:t>
      </w:r>
      <w:r>
        <w:t xml:space="preserve"> </w:t>
      </w:r>
      <m:oMath>
        <m:r>
          <m:t>d</m:t>
        </m:r>
      </m:oMath>
      <w:r>
        <w:t xml:space="preserve"> </w:t>
      </w:r>
      <w:r>
        <w:t xml:space="preserve">or Hedges’</w:t>
      </w:r>
      <w:r>
        <w:t xml:space="preserve"> </w:t>
      </w:r>
      <m:oMath>
        <m:r>
          <m:t>g</m:t>
        </m:r>
      </m:oMath>
      <w:r>
        <w:t xml:space="preserv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 If the interaction is not significant, you look at the main effects and report the associated omnibus effect. You then proceed to analyze the main effect by comparing the levels of one IV while collapsing/aggregating the levels of the other IV. You will report</w:t>
      </w:r>
      <w:r>
        <w:t xml:space="preserve"> </w:t>
      </w:r>
      <m:oMath>
        <m:r>
          <m:t>d</m:t>
        </m:r>
      </m:oMath>
      <w:r>
        <w:t xml:space="preserve"> </w:t>
      </w:r>
      <w:r>
        <w:t xml:space="preserve">or</w:t>
      </w:r>
      <w:r>
        <w:t xml:space="preserve"> </w:t>
      </w:r>
      <m:oMath>
        <m:r>
          <m:t>g</m:t>
        </m:r>
      </m:oMath>
      <w:r>
        <w:t xml:space="preserve"> </w:t>
      </w:r>
      <w:r>
        <w:t xml:space="preserve">for these pairwise comparisons.</w:t>
      </w:r>
    </w:p>
    <w:p>
      <w:pPr>
        <w:pStyle w:val="BodyText"/>
      </w:pP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p>
      <w:pPr>
        <w:pStyle w:val="BodyText"/>
      </w:pPr>
      <w:r>
        <w:t xml:space="preserve">In R, we can use the</w:t>
      </w:r>
      <w:r>
        <w:t xml:space="preserve"> </w:t>
      </w:r>
      <w:r>
        <w:rPr>
          <w:rStyle w:val="VerbatimChar"/>
        </w:rPr>
        <w:t xml:space="preserve">summary</w:t>
      </w:r>
      <w:r>
        <w:t xml:space="preserve"> </w:t>
      </w:r>
      <w:r>
        <w:t xml:space="preserve">function to display the anova table. We can also append the table to include, for example, partial omega squared values and their respective confidence intervals</w:t>
      </w:r>
    </w:p>
    <w:p>
      <w:pPr>
        <w:pStyle w:val="SourceCode"/>
      </w:pPr>
      <w:r>
        <w:rPr>
          <w:rStyle w:val="CommentTok"/>
        </w:rPr>
        <w:t xml:space="preserve"># ANOVA mdl</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br/>
      </w:r>
      <w:r>
        <w:br/>
      </w:r>
      <w:r>
        <w:rPr>
          <w:rStyle w:val="CommentTok"/>
        </w:rPr>
        <w:t xml:space="preserve"># calculate partial omega-squared values</w:t>
      </w:r>
      <w:r>
        <w:br/>
      </w:r>
      <w:r>
        <w:rPr>
          <w:rStyle w:val="NormalTok"/>
        </w:rPr>
        <w:t xml:space="preserve">omega_values </w:t>
      </w:r>
      <w:r>
        <w:rPr>
          <w:rStyle w:val="OtherTok"/>
        </w:rPr>
        <w:t xml:space="preserve">&lt;-</w:t>
      </w:r>
      <w:r>
        <w:rPr>
          <w:rStyle w:val="NormalTok"/>
        </w:rPr>
        <w:t xml:space="preserve"> </w:t>
      </w:r>
      <w:r>
        <w:rPr>
          <w:rStyle w:val="FunctionTok"/>
        </w:rPr>
        <w:t xml:space="preserve">omega_squared</w:t>
      </w:r>
      <w:r>
        <w:rPr>
          <w:rStyle w:val="NormalTok"/>
        </w:rPr>
        <w:t xml:space="preserve">(mdl,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create table of partial omega-squared values</w:t>
      </w:r>
      <w:r>
        <w:br/>
      </w:r>
      <w:r>
        <w:rPr>
          <w:rStyle w:val="NormalTok"/>
        </w:rPr>
        <w:t xml:space="preserve">omega_table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omega_sq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Omega2_partial,</w:t>
      </w:r>
      <w:r>
        <w:rPr>
          <w:rStyle w:val="ConstantTok"/>
        </w:rPr>
        <w:t xml:space="preserve">NA</w:t>
      </w:r>
      <w:r>
        <w:rPr>
          <w:rStyle w:val="NormalTok"/>
        </w:rPr>
        <w:t xml:space="preserve">)),</w:t>
      </w:r>
      <w:r>
        <w:br/>
      </w:r>
      <w:r>
        <w:rPr>
          <w:rStyle w:val="NormalTok"/>
        </w:rPr>
        <w:t xml:space="preserve">                     </w:t>
      </w:r>
      <w:r>
        <w:rPr>
          <w:rStyle w:val="AttributeTok"/>
        </w:rPr>
        <w:t xml:space="preserve">omega_low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CI_low,</w:t>
      </w:r>
      <w:r>
        <w:rPr>
          <w:rStyle w:val="ConstantTok"/>
        </w:rPr>
        <w:t xml:space="preserve">NA</w:t>
      </w:r>
      <w:r>
        <w:rPr>
          <w:rStyle w:val="NormalTok"/>
        </w:rPr>
        <w:t xml:space="preserve">)),</w:t>
      </w:r>
      <w:r>
        <w:br/>
      </w:r>
      <w:r>
        <w:rPr>
          <w:rStyle w:val="NormalTok"/>
        </w:rPr>
        <w:t xml:space="preserve">                     </w:t>
      </w:r>
      <w:r>
        <w:rPr>
          <w:rStyle w:val="AttributeTok"/>
        </w:rPr>
        <w:t xml:space="preserve">omega_high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CI_high,</w:t>
      </w:r>
      <w:r>
        <w:rPr>
          <w:rStyle w:val="ConstantTok"/>
        </w:rPr>
        <w:t xml:space="preserve">NA</w:t>
      </w:r>
      <w:r>
        <w:rPr>
          <w:rStyle w:val="NormalTok"/>
        </w:rPr>
        <w:t xml:space="preserve">)))</w:t>
      </w:r>
      <w:r>
        <w:br/>
      </w:r>
      <w:r>
        <w:br/>
      </w:r>
      <w:r>
        <w:rPr>
          <w:rStyle w:val="CommentTok"/>
        </w:rPr>
        <w:t xml:space="preserve"># append omega values to summary of anova table</w:t>
      </w:r>
      <w:r>
        <w:br/>
      </w:r>
      <w:r>
        <w:rPr>
          <w:rStyle w:val="FunctionTok"/>
        </w:rPr>
        <w:t xml:space="preserve">cbind</w:t>
      </w:r>
      <w:r>
        <w:rPr>
          <w:rStyle w:val="NormalTok"/>
        </w:rPr>
        <w:t xml:space="preserve">(</w:t>
      </w:r>
      <w:r>
        <w:rPr>
          <w:rStyle w:val="FunctionTok"/>
        </w:rPr>
        <w:t xml:space="preserve">summary</w:t>
      </w:r>
      <w:r>
        <w:rPr>
          <w:rStyle w:val="NormalTok"/>
        </w:rPr>
        <w:t xml:space="preserve">(mdl)[[</w:t>
      </w:r>
      <w:r>
        <w:rPr>
          <w:rStyle w:val="DecValTok"/>
        </w:rPr>
        <w:t xml:space="preserve">1</w:t>
      </w:r>
      <w:r>
        <w:rPr>
          <w:rStyle w:val="NormalTok"/>
        </w:rPr>
        <w:t xml:space="preserve">]],</w:t>
      </w:r>
      <w:r>
        <w:br/>
      </w:r>
      <w:r>
        <w:rPr>
          <w:rStyle w:val="NormalTok"/>
        </w:rPr>
        <w:t xml:space="preserve">      omega_table)</w:t>
      </w:r>
    </w:p>
    <w:p>
      <w:pPr>
        <w:pStyle w:val="SourceCode"/>
      </w:pPr>
      <w:r>
        <w:rPr>
          <w:rStyle w:val="VerbatimChar"/>
        </w:rPr>
        <w:t xml:space="preserve">             Df    Sum Sq    Mean Sq  F value        Pr(&gt;F) omega_sq omega_low</w:t>
      </w:r>
      <w:r>
        <w:br/>
      </w:r>
      <w:r>
        <w:rPr>
          <w:rStyle w:val="VerbatimChar"/>
        </w:rPr>
        <w:t xml:space="preserve">species       2 145190219 72595109.6 724.2080 3.079053e-121    0.813     0.781</w:t>
      </w:r>
      <w:r>
        <w:br/>
      </w:r>
      <w:r>
        <w:rPr>
          <w:rStyle w:val="VerbatimChar"/>
        </w:rPr>
        <w:t xml:space="preserve">sex           1  37090262 37090261.8 370.0121  8.729411e-56    0.526     0.457</w:t>
      </w:r>
      <w:r>
        <w:br/>
      </w:r>
      <w:r>
        <w:rPr>
          <w:rStyle w:val="VerbatimChar"/>
        </w:rPr>
        <w:t xml:space="preserve">Residuals   329  32979185   100240.7       NA            NA       NA        NA</w:t>
      </w:r>
      <w:r>
        <w:br/>
      </w:r>
      <w:r>
        <w:rPr>
          <w:rStyle w:val="VerbatimChar"/>
        </w:rPr>
        <w:t xml:space="preserve">            omega_high</w:t>
      </w:r>
      <w:r>
        <w:br/>
      </w:r>
      <w:r>
        <w:rPr>
          <w:rStyle w:val="VerbatimChar"/>
        </w:rPr>
        <w:t xml:space="preserve">species          0.838</w:t>
      </w:r>
      <w:r>
        <w:br/>
      </w:r>
      <w:r>
        <w:rPr>
          <w:rStyle w:val="VerbatimChar"/>
        </w:rPr>
        <w:t xml:space="preserve">sex              0.585</w:t>
      </w:r>
      <w:r>
        <w:br/>
      </w:r>
      <w:r>
        <w:rPr>
          <w:rStyle w:val="VerbatimChar"/>
        </w:rPr>
        <w:t xml:space="preserve">Residuals           NA</w:t>
      </w:r>
    </w:p>
    <w:bookmarkEnd w:id="162"/>
    <w:bookmarkEnd w:id="163"/>
    <w:bookmarkStart w:id="168" w:name="differences-in-variability"/>
    <w:p>
      <w:pPr>
        <w:pStyle w:val="Heading1"/>
      </w:pPr>
      <w:r>
        <w:t xml:space="preserve">12. Differences in Variability</w:t>
      </w:r>
    </w:p>
    <w:p>
      <w:pPr>
        <w:pStyle w:val="FirstParagraph"/>
      </w:pPr>
      <w:r>
        <w:t xml:space="preserve">Occasionally researchers would like to compare the variations between two conditions or groups rather than the mean. Two commonly used are the natural logarithms of variability ratio (</w:t>
      </w:r>
      <m:oMath>
        <m:r>
          <m:t>l</m:t>
        </m:r>
        <m:r>
          <m:t>n</m:t>
        </m:r>
        <m:r>
          <m:t>V</m:t>
        </m:r>
        <m:r>
          <m:t>R</m:t>
        </m:r>
      </m:oMath>
      <w:r>
        <w:t xml:space="preserve">) and the coefficient of variance ratio (</w:t>
      </w:r>
      <m:oMath>
        <m:r>
          <m:t>l</m:t>
        </m:r>
        <m:r>
          <m:t>n</m:t>
        </m:r>
        <m:r>
          <m:t>C</m:t>
        </m:r>
        <m:r>
          <m:t>V</m:t>
        </m:r>
        <m:r>
          <m:t>R</m:t>
        </m:r>
      </m:oMath>
      <w:r>
        <w:t xml:space="preserve">). The latter of these can be useful when there may be a mean-variance relationship present (i.e., variances tend to increase with mean values) in order to account for this. An lnVR or lnCVR of zero therefore would indicate no difference in variation between the two groups, an lnVR or lnCVR of &gt;0 would indicate larger variance in group 1, and an lnVR or lnCVR of &lt;0 would indicate larger variance in group 2. There are both independent and dependent versions of these effect sizes</w:t>
      </w:r>
      <w:r>
        <w:t xml:space="preserve"> </w:t>
      </w:r>
      <w:r>
        <w:t xml:space="preserve">(see Senior, Viechtbauer, and Nakagawa 2020)</w:t>
      </w:r>
      <w:r>
        <w:t xml:space="preserve">. To obtain confidence intervals of a the lnVR or lnCVR then we, for example 95% confidence intervals, we merely multiply the standard error for the parameter by 1.96 similarly to other effect size statistics,</w:t>
      </w:r>
    </w:p>
    <w:p>
      <w:pPr>
        <w:pStyle w:val="BodyText"/>
      </w:pPr>
      <m:oMathPara>
        <m:oMathParaPr>
          <m:jc m:val="center"/>
        </m:oMathParaPr>
        <m:oMath>
          <m:r>
            <m:t>C</m:t>
          </m:r>
          <m:sSub>
            <m:e>
              <m:r>
                <m:t>I</m:t>
              </m:r>
            </m:e>
            <m:sub>
              <m:r>
                <m:t>l</m:t>
              </m:r>
              <m:r>
                <m:t>n</m:t>
              </m:r>
              <m:r>
                <m:t>V</m:t>
              </m:r>
              <m:r>
                <m:t>R</m:t>
              </m:r>
              <m:r>
                <m:rPr>
                  <m:sty m:val="p"/>
                </m:rPr>
                <m:t>/</m:t>
              </m:r>
              <m:r>
                <m:t>l</m:t>
              </m:r>
              <m:r>
                <m:t>n</m:t>
              </m:r>
              <m:r>
                <m:t>C</m:t>
              </m:r>
              <m:r>
                <m:t>V</m:t>
              </m:r>
              <m:r>
                <m:t>R</m:t>
              </m:r>
            </m:sub>
          </m:sSub>
          <m:r>
            <m:rPr>
              <m:sty m:val="p"/>
            </m:rPr>
            <m:t>=</m:t>
          </m:r>
          <m:r>
            <m:t>l</m:t>
          </m:r>
          <m:r>
            <m:t>n</m:t>
          </m:r>
          <m:r>
            <m:t>V</m:t>
          </m:r>
          <m:r>
            <m:t>R</m:t>
          </m:r>
          <m:r>
            <m:rPr>
              <m:sty m:val="p"/>
            </m:rPr>
            <m:t>±</m:t>
          </m:r>
          <m:r>
            <m:t>1.96</m:t>
          </m:r>
          <m:r>
            <m:rPr>
              <m:sty m:val="p"/>
            </m:rPr>
            <m:t>⋅</m:t>
          </m:r>
          <m:r>
            <m:t>S</m:t>
          </m:r>
          <m:sSub>
            <m:e>
              <m:r>
                <m:t>E</m:t>
              </m:r>
            </m:e>
            <m:sub>
              <m:r>
                <m:t>l</m:t>
              </m:r>
              <m:r>
                <m:t>n</m:t>
              </m:r>
              <m:r>
                <m:t>V</m:t>
              </m:r>
              <m:r>
                <m:t>R</m:t>
              </m:r>
              <m:r>
                <m:rPr>
                  <m:sty m:val="p"/>
                </m:rPr>
                <m:t>/</m:t>
              </m:r>
              <m:r>
                <m:t>l</m:t>
              </m:r>
              <m:r>
                <m:t>n</m:t>
              </m:r>
              <m:r>
                <m:t>C</m:t>
              </m:r>
              <m:r>
                <m:t>V</m:t>
              </m:r>
              <m:r>
                <m:t>R</m:t>
              </m:r>
            </m:sub>
          </m:sSub>
        </m:oMath>
      </m:oMathPara>
    </w:p>
    <w:bookmarkStart w:id="164" w:name="X63a7fa1cebc7d5628bf97e9868adeb2eefae3d2"/>
    <w:p>
      <w:pPr>
        <w:pStyle w:val="Heading2"/>
      </w:pPr>
      <w:r>
        <w:t xml:space="preserve">12.1 Natural Logarithm of Variability Ratio for Independent Groups (</w:t>
      </w:r>
      <m:oMath>
        <m:r>
          <m:t>l</m:t>
        </m:r>
        <m:r>
          <m:t>n</m:t>
        </m:r>
        <m:r>
          <m:t>V</m:t>
        </m:r>
        <m:sSub>
          <m:e>
            <m:r>
              <m:t>R</m:t>
            </m:r>
          </m:e>
          <m:sub>
            <m:r>
              <m:rPr>
                <m:nor/>
                <m:sty m:val="p"/>
              </m:rPr>
              <m:t>ind</m:t>
            </m:r>
          </m:sub>
        </m:sSub>
      </m:oMath>
      <w:r>
        <w:t xml:space="preserve">)</w:t>
      </w:r>
    </w:p>
    <w:p>
      <w:pPr>
        <w:pStyle w:val="FirstParagraph"/>
      </w:pPr>
      <w:r>
        <w:t xml:space="preserve">The variability ratio for independent groups can be calculated by taking the natural logarithm of the</w:t>
      </w:r>
      <w:r>
        <w:t xml:space="preserve"> </w:t>
      </w:r>
      <w:r>
        <w:rPr>
          <w:iCs/>
          <w:i/>
        </w:rPr>
        <w:t xml:space="preserve">standard deviation</w:t>
      </w:r>
      <w:r>
        <w:t xml:space="preserve"> </w:t>
      </w:r>
      <w:r>
        <w:t xml:space="preserve">within one group divided by the standard deviation in another group,</w:t>
      </w:r>
    </w:p>
    <w:p>
      <w:pPr>
        <w:pStyle w:val="BodyText"/>
      </w:pPr>
      <m:oMathPara>
        <m:oMathParaPr>
          <m:jc m:val="center"/>
        </m:oMathParaPr>
        <m:oMath>
          <m:r>
            <m:t>l</m:t>
          </m:r>
          <m:r>
            <m:t>n</m:t>
          </m:r>
          <m:r>
            <m:t>V</m:t>
          </m:r>
          <m:sSub>
            <m:e>
              <m:r>
                <m:t>R</m:t>
              </m:r>
            </m:e>
            <m:sub>
              <m:r>
                <m:rPr>
                  <m:nor/>
                  <m:sty m:val="p"/>
                </m:rPr>
                <m:t>ind</m:t>
              </m:r>
            </m:sub>
          </m:sSub>
          <m:r>
            <m:rPr>
              <m:sty m:val="p"/>
            </m:rPr>
            <m:t>=</m:t>
          </m:r>
          <m:r>
            <m:rPr>
              <m:sty m:val="p"/>
            </m:rPr>
            <m:t>ln</m:t>
          </m:r>
          <m:d>
            <m:dPr>
              <m:begChr m:val="("/>
              <m:endChr m:val=")"/>
              <m:sepChr m:val=""/>
              <m:grow/>
            </m:dPr>
            <m:e>
              <m:f>
                <m:fPr>
                  <m:type m:val="bar"/>
                </m:fPr>
                <m:num>
                  <m:sSub>
                    <m:e>
                      <m:r>
                        <m:t>S</m:t>
                      </m:r>
                    </m:e>
                    <m:sub>
                      <m:r>
                        <m:t>T</m:t>
                      </m:r>
                    </m:sub>
                  </m:sSub>
                </m:num>
                <m:den>
                  <m:sSub>
                    <m:e>
                      <m:r>
                        <m:t>S</m:t>
                      </m:r>
                    </m:e>
                    <m:sub>
                      <m:r>
                        <m:t>C</m:t>
                      </m:r>
                    </m:sub>
                  </m:sSub>
                </m:den>
              </m:f>
            </m:e>
          </m:d>
          <m:r>
            <m:rPr>
              <m:sty m:val="p"/>
            </m:rPr>
            <m:t>+</m:t>
          </m:r>
          <m:r>
            <m:t>C</m:t>
          </m:r>
          <m:r>
            <m:t>F</m:t>
          </m:r>
        </m:oMath>
      </m:oMathPara>
    </w:p>
    <w:p>
      <w:pPr>
        <w:pStyle w:val="FirstParagraph"/>
      </w:pPr>
      <w:r>
        <w:t xml:space="preserve">Where</w:t>
      </w:r>
      <w:r>
        <w:t xml:space="preserve"> </w:t>
      </w:r>
      <m:oMath>
        <m:r>
          <m:t>C</m:t>
        </m:r>
        <m:r>
          <m:t>F</m:t>
        </m:r>
      </m:oMath>
      <w:r>
        <w:t xml:space="preserve"> </w:t>
      </w:r>
      <w:r>
        <w:t xml:space="preserve">is a small sample correction factor calculated as,</w:t>
      </w:r>
    </w:p>
    <w:p>
      <w:pPr>
        <w:pStyle w:val="BodyText"/>
      </w:pPr>
      <m:oMathPara>
        <m:oMathParaPr>
          <m:jc m:val="center"/>
        </m:oMathParaPr>
        <m:oMath>
          <m:r>
            <m:t>C</m:t>
          </m:r>
          <m:r>
            <m:t>F</m:t>
          </m:r>
          <m:r>
            <m:rPr>
              <m:sty m:val="p"/>
            </m:rPr>
            <m:t>=</m:t>
          </m:r>
          <m:f>
            <m:fPr>
              <m:type m:val="bar"/>
            </m:fPr>
            <m:num>
              <m:r>
                <m:t>1</m:t>
              </m:r>
            </m:num>
            <m:den>
              <m:r>
                <m:t>2</m:t>
              </m:r>
              <m:d>
                <m:dPr>
                  <m:begChr m:val="("/>
                  <m:endChr m:val=")"/>
                  <m:sepChr m:val=""/>
                  <m:grow/>
                </m:dPr>
                <m:e>
                  <m:sSub>
                    <m:e>
                      <m:r>
                        <m:t>n</m:t>
                      </m:r>
                    </m:e>
                    <m:sub>
                      <m:r>
                        <m:t>T</m:t>
                      </m:r>
                    </m:sub>
                  </m:sSub>
                  <m:r>
                    <m:rPr>
                      <m:sty m:val="p"/>
                    </m:rPr>
                    <m:t>−</m:t>
                  </m:r>
                  <m:r>
                    <m:t>1</m:t>
                  </m:r>
                </m:e>
              </m:d>
            </m:den>
          </m:f>
          <m:r>
            <m:rPr>
              <m:sty m:val="p"/>
            </m:rPr>
            <m:t>−</m:t>
          </m:r>
          <m:f>
            <m:fPr>
              <m:type m:val="bar"/>
            </m:fPr>
            <m:num>
              <m:r>
                <m:t>1</m:t>
              </m:r>
            </m:num>
            <m:den>
              <m:r>
                <m:t>2</m:t>
              </m:r>
              <m:d>
                <m:dPr>
                  <m:begChr m:val="("/>
                  <m:endChr m:val=")"/>
                  <m:sepChr m:val=""/>
                  <m:grow/>
                </m:dPr>
                <m:e>
                  <m:sSub>
                    <m:e>
                      <m:r>
                        <m:t>n</m:t>
                      </m:r>
                    </m:e>
                    <m:sub>
                      <m:r>
                        <m:t>C</m:t>
                      </m:r>
                    </m:sub>
                  </m:sSub>
                  <m:r>
                    <m:rPr>
                      <m:sty m:val="p"/>
                    </m:rPr>
                    <m:t>−</m:t>
                  </m:r>
                  <m:r>
                    <m:t>1</m:t>
                  </m:r>
                </m:e>
              </m:d>
            </m:den>
          </m:f>
        </m:oMath>
      </m:oMathPara>
    </w:p>
    <w:p>
      <w:pPr>
        <w:pStyle w:val="FirstParagraph"/>
      </w:pPr>
      <w:r>
        <w:t xml:space="preserve">A</w:t>
      </w:r>
      <w:r>
        <w:t xml:space="preserve"> </w:t>
      </w:r>
      <m:oMath>
        <m:r>
          <m:t>l</m:t>
        </m:r>
        <m:r>
          <m:t>n</m:t>
        </m:r>
        <m:r>
          <m:t>V</m:t>
        </m:r>
        <m:r>
          <m:t>R</m:t>
        </m:r>
      </m:oMath>
      <w:r>
        <w:t xml:space="preserve"> </w:t>
      </w:r>
      <w:r>
        <w:t xml:space="preserve">of zero therefore would indicate no difference in variation between the two groups, a</w:t>
      </w:r>
      <w:r>
        <w:t xml:space="preserve"> </w:t>
      </w:r>
      <m:oMath>
        <m:r>
          <m:t>l</m:t>
        </m:r>
        <m:r>
          <m:t>n</m:t>
        </m:r>
        <m:r>
          <m:t>V</m:t>
        </m:r>
        <m:r>
          <m:t>R</m:t>
        </m:r>
      </m:oMath>
      <w:r>
        <w:t xml:space="preserve"> </w:t>
      </w:r>
      <w:r>
        <w:t xml:space="preserve">of &gt;0 would indicate larger variance in group 1, and</w:t>
      </w:r>
      <w:r>
        <w:t xml:space="preserve"> </w:t>
      </w:r>
      <m:oMath>
        <m:r>
          <m:t>l</m:t>
        </m:r>
        <m:r>
          <m:t>n</m:t>
        </m:r>
        <m:r>
          <m:t>V</m:t>
        </m:r>
        <m:r>
          <m:t>R</m:t>
        </m:r>
      </m:oMath>
      <w:r>
        <w:t xml:space="preserve"> </w:t>
      </w:r>
      <w:r>
        <w:t xml:space="preserve">of &lt;0 would indicate larger variance in group 2. The standard error of the VR can be calculated as,</w:t>
      </w:r>
    </w:p>
    <w:p>
      <w:pPr>
        <w:pStyle w:val="BodyText"/>
      </w:pPr>
      <m:oMathPara>
        <m:oMathParaPr>
          <m:jc m:val="center"/>
        </m:oMathParaPr>
        <m:oMath>
          <m:r>
            <m:t>S</m:t>
          </m:r>
          <m:sSub>
            <m:e>
              <m:r>
                <m:t>E</m:t>
              </m:r>
            </m:e>
            <m:sub>
              <m:r>
                <m:t>l</m:t>
              </m:r>
              <m:r>
                <m:t>n</m:t>
              </m:r>
              <m:r>
                <m:t>V</m:t>
              </m:r>
              <m:sSub>
                <m:e>
                  <m:r>
                    <m:t>R</m:t>
                  </m:r>
                </m:e>
                <m:sub>
                  <m:r>
                    <m:rPr>
                      <m:nor/>
                      <m:sty m:val="p"/>
                    </m:rPr>
                    <m:t>ind</m:t>
                  </m:r>
                </m:sub>
              </m:sSub>
            </m:sub>
          </m:sSub>
          <m:r>
            <m:rPr>
              <m:sty m:val="p"/>
            </m:rPr>
            <m:t>=</m:t>
          </m:r>
          <m:rad>
            <m:radPr>
              <m:degHide m:val="1"/>
            </m:radPr>
            <m:deg/>
            <m:e>
              <m:f>
                <m:fPr>
                  <m:type m:val="bar"/>
                </m:fPr>
                <m:num>
                  <m:sSub>
                    <m:e>
                      <m:r>
                        <m:t>n</m:t>
                      </m:r>
                    </m:e>
                    <m:sub>
                      <m:r>
                        <m:t>T</m:t>
                      </m:r>
                    </m:sub>
                  </m:sSub>
                </m:num>
                <m:den>
                  <m:r>
                    <m:t>2</m:t>
                  </m:r>
                  <m:sSup>
                    <m:e>
                      <m:d>
                        <m:dPr>
                          <m:begChr m:val="("/>
                          <m:endChr m:val=")"/>
                          <m:sepChr m:val=""/>
                          <m:grow/>
                        </m:dPr>
                        <m:e>
                          <m:sSub>
                            <m:e>
                              <m:r>
                                <m:t>n</m:t>
                              </m:r>
                            </m:e>
                            <m:sub>
                              <m:r>
                                <m:t>T</m:t>
                              </m:r>
                            </m:sub>
                          </m:sSub>
                          <m:r>
                            <m:rPr>
                              <m:sty m:val="p"/>
                            </m:rPr>
                            <m:t>−</m:t>
                          </m:r>
                          <m:r>
                            <m:t>1</m:t>
                          </m:r>
                        </m:e>
                      </m:d>
                    </m:e>
                    <m:sup>
                      <m:r>
                        <m:t>2</m:t>
                      </m:r>
                    </m:sup>
                  </m:sSup>
                </m:den>
              </m:f>
              <m:r>
                <m:rPr>
                  <m:sty m:val="p"/>
                </m:rPr>
                <m:t>+</m:t>
              </m:r>
              <m:f>
                <m:fPr>
                  <m:type m:val="bar"/>
                </m:fPr>
                <m:num>
                  <m:sSub>
                    <m:e>
                      <m:r>
                        <m:t>n</m:t>
                      </m:r>
                    </m:e>
                    <m:sub>
                      <m:r>
                        <m:t>C</m:t>
                      </m:r>
                    </m:sub>
                  </m:sSub>
                </m:num>
                <m:den>
                  <m:r>
                    <m:t>2</m:t>
                  </m:r>
                  <m:sSup>
                    <m:e>
                      <m:d>
                        <m:dPr>
                          <m:begChr m:val="("/>
                          <m:endChr m:val=")"/>
                          <m:sepChr m:val=""/>
                          <m:grow/>
                        </m:dPr>
                        <m:e>
                          <m:sSub>
                            <m:e>
                              <m:r>
                                <m:t>n</m:t>
                              </m:r>
                            </m:e>
                            <m:sub>
                              <m:r>
                                <m:t>C</m:t>
                              </m:r>
                            </m:sub>
                          </m:sSub>
                          <m:r>
                            <m:rPr>
                              <m:sty m:val="p"/>
                            </m:rPr>
                            <m:t>−</m:t>
                          </m:r>
                          <m:r>
                            <m:t>1</m:t>
                          </m:r>
                        </m:e>
                      </m:d>
                    </m:e>
                    <m:sup>
                      <m:r>
                        <m:t>2</m:t>
                      </m:r>
                    </m:sup>
                  </m:sSup>
                </m:den>
              </m:f>
            </m:e>
          </m:rad>
        </m:oMath>
      </m:oMathPara>
    </w:p>
    <w:p>
      <w:pPr>
        <w:pStyle w:val="FirstParagraph"/>
      </w:pPr>
      <w:r>
        <w:t xml:space="preserve">In R, we can simply use the metafor packages</w:t>
      </w:r>
      <w:r>
        <w:t xml:space="preserve"> </w:t>
      </w:r>
      <w:r>
        <w:rPr>
          <w:rStyle w:val="VerbatimChar"/>
        </w:rPr>
        <w:t xml:space="preserve">escalc()</w:t>
      </w:r>
      <w:r>
        <w:t xml:space="preserve"> </w:t>
      </w:r>
      <w:r>
        <w:t xml:space="preserve">function from the</w:t>
      </w:r>
      <w:r>
        <w:t xml:space="preserve"> </w:t>
      </w:r>
      <w:r>
        <w:rPr>
          <w:rStyle w:val="VerbatimChar"/>
        </w:rPr>
        <w:t xml:space="preserve">metafor</w:t>
      </w:r>
      <w:r>
        <w:t xml:space="preserve"> </w:t>
      </w:r>
      <w:r>
        <w:t xml:space="preserve">package</w:t>
      </w:r>
      <w:r>
        <w:t xml:space="preserve"> </w:t>
      </w:r>
      <w:r>
        <w:t xml:space="preserve">(Viechtbauer 2010)</w:t>
      </w:r>
      <w:r>
        <w:t xml:space="preserve"> </w:t>
      </w:r>
      <w:r>
        <w:t xml:space="preserve">as follows:</w:t>
      </w:r>
    </w:p>
    <w:p>
      <w:pPr>
        <w:pStyle w:val="SourceCode"/>
      </w:pPr>
      <w:r>
        <w:rPr>
          <w:rStyle w:val="CommentTok"/>
        </w:rPr>
        <w:t xml:space="preserve"># Example:</w:t>
      </w:r>
      <w:r>
        <w:br/>
      </w:r>
      <w:r>
        <w:rPr>
          <w:rStyle w:val="CommentTok"/>
        </w:rPr>
        <w:t xml:space="preserve"># Group 1: standard deviation = 4.5, sample size = 50</w:t>
      </w:r>
      <w:r>
        <w:br/>
      </w:r>
      <w:r>
        <w:rPr>
          <w:rStyle w:val="CommentTok"/>
        </w:rPr>
        <w:t xml:space="preserve"># Group 2: standard deviation = 3.5, sample size = 50</w:t>
      </w:r>
      <w:r>
        <w:br/>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n1 </w:t>
      </w:r>
      <w:r>
        <w:rPr>
          <w:rStyle w:val="OtherTok"/>
        </w:rPr>
        <w:t xml:space="preserve">&lt;-</w:t>
      </w:r>
      <w:r>
        <w:rPr>
          <w:rStyle w:val="NormalTok"/>
        </w:rPr>
        <w:t xml:space="preserve"> n2 </w:t>
      </w:r>
      <w:r>
        <w:rPr>
          <w:rStyle w:val="OtherTok"/>
        </w:rPr>
        <w:t xml:space="preserve">&lt;-</w:t>
      </w:r>
      <w:r>
        <w:rPr>
          <w:rStyle w:val="NormalTok"/>
        </w:rPr>
        <w:t xml:space="preserve"> </w:t>
      </w:r>
      <w:r>
        <w:rPr>
          <w:rStyle w:val="DecValTok"/>
        </w:rPr>
        <w:t xml:space="preserve">50</w:t>
      </w:r>
      <w:r>
        <w:br/>
      </w:r>
      <w:r>
        <w:br/>
      </w:r>
      <w:r>
        <w:rPr>
          <w:rStyle w:val="NormalTok"/>
        </w:rPr>
        <w:t xml:space="preserve">lnVRind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"VR"</w:t>
      </w:r>
      <w:r>
        <w:rPr>
          <w:rStyle w:val="NormalTok"/>
        </w:rPr>
        <w:t xml:space="preserve">,</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n1i =</w:t>
      </w:r>
      <w:r>
        <w:rPr>
          <w:rStyle w:val="NormalTok"/>
        </w:rPr>
        <w:t xml:space="preserve"> n1,</w:t>
      </w:r>
      <w:r>
        <w:br/>
      </w:r>
      <w:r>
        <w:rPr>
          <w:rStyle w:val="NormalTok"/>
        </w:rPr>
        <w:t xml:space="preserve">    </w:t>
      </w:r>
      <w:r>
        <w:rPr>
          <w:rStyle w:val="AttributeTok"/>
        </w:rPr>
        <w:t xml:space="preserve">n2i =</w:t>
      </w:r>
      <w:r>
        <w:rPr>
          <w:rStyle w:val="NormalTok"/>
        </w:rPr>
        <w:t xml:space="preserve"> n2</w:t>
      </w:r>
      <w:r>
        <w:br/>
      </w:r>
      <w:r>
        <w:rPr>
          <w:rStyle w:val="NormalTok"/>
        </w:rPr>
        <w:t xml:space="preserve">  )</w:t>
      </w:r>
      <w:r>
        <w:br/>
      </w:r>
      <w:r>
        <w:br/>
      </w:r>
      <w:r>
        <w:br/>
      </w:r>
      <w:r>
        <w:rPr>
          <w:rStyle w:val="NormalTok"/>
        </w:rPr>
        <w:t xml:space="preserve">lnVRind</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(lnVRind</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lnVRind_low </w:t>
      </w:r>
      <w:r>
        <w:rPr>
          <w:rStyle w:val="OtherTok"/>
        </w:rPr>
        <w:t xml:space="preserve">&lt;-</w:t>
      </w:r>
      <w:r>
        <w:rPr>
          <w:rStyle w:val="NormalTok"/>
        </w:rPr>
        <w:t xml:space="preserve"> lnVRind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lnVRind</w:t>
      </w:r>
      <w:r>
        <w:rPr>
          <w:rStyle w:val="SpecialCharTok"/>
        </w:rPr>
        <w:t xml:space="preserve">$</w:t>
      </w:r>
      <w:r>
        <w:rPr>
          <w:rStyle w:val="NormalTok"/>
        </w:rPr>
        <w:t xml:space="preserve">SE</w:t>
      </w:r>
      <w:r>
        <w:br/>
      </w:r>
      <w:r>
        <w:rPr>
          <w:rStyle w:val="NormalTok"/>
        </w:rPr>
        <w:t xml:space="preserve">lnVRind_high </w:t>
      </w:r>
      <w:r>
        <w:rPr>
          <w:rStyle w:val="OtherTok"/>
        </w:rPr>
        <w:t xml:space="preserve">&lt;-</w:t>
      </w:r>
      <w:r>
        <w:rPr>
          <w:rStyle w:val="NormalTok"/>
        </w:rPr>
        <w:t xml:space="preserve"> lnVRind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lnVRind</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lnVRind =</w:t>
      </w:r>
      <w:r>
        <w:rPr>
          <w:rStyle w:val="NormalTok"/>
        </w:rPr>
        <w:t xml:space="preserve"> MOTE</w:t>
      </w:r>
      <w:r>
        <w:rPr>
          <w:rStyle w:val="SpecialCharTok"/>
        </w:rPr>
        <w:t xml:space="preserve">::</w:t>
      </w:r>
      <w:r>
        <w:rPr>
          <w:rStyle w:val="FunctionTok"/>
        </w:rPr>
        <w:t xml:space="preserve">apa</w:t>
      </w:r>
      <w:r>
        <w:rPr>
          <w:rStyle w:val="NormalTok"/>
        </w:rPr>
        <w:t xml:space="preserve">(lnVRind</w:t>
      </w:r>
      <w:r>
        <w:rPr>
          <w:rStyle w:val="SpecialCharTok"/>
        </w:rPr>
        <w:t xml:space="preserve">$</w:t>
      </w:r>
      <w:r>
        <w:rPr>
          <w:rStyle w:val="NormalTok"/>
        </w:rPr>
        <w:t xml:space="preserve">yi),</w:t>
      </w:r>
      <w:r>
        <w:br/>
      </w:r>
      <w:r>
        <w:rPr>
          <w:rStyle w:val="NormalTok"/>
        </w:rPr>
        <w:t xml:space="preserve">           </w:t>
      </w:r>
      <w:r>
        <w:rPr>
          <w:rStyle w:val="AttributeTok"/>
        </w:rPr>
        <w:t xml:space="preserve">lnVRind_low =</w:t>
      </w:r>
      <w:r>
        <w:rPr>
          <w:rStyle w:val="NormalTok"/>
        </w:rPr>
        <w:t xml:space="preserve"> MOTE</w:t>
      </w:r>
      <w:r>
        <w:rPr>
          <w:rStyle w:val="SpecialCharTok"/>
        </w:rPr>
        <w:t xml:space="preserve">::</w:t>
      </w:r>
      <w:r>
        <w:rPr>
          <w:rStyle w:val="FunctionTok"/>
        </w:rPr>
        <w:t xml:space="preserve">apa</w:t>
      </w:r>
      <w:r>
        <w:rPr>
          <w:rStyle w:val="NormalTok"/>
        </w:rPr>
        <w:t xml:space="preserve">(lnVRind_low),</w:t>
      </w:r>
      <w:r>
        <w:br/>
      </w:r>
      <w:r>
        <w:rPr>
          <w:rStyle w:val="NormalTok"/>
        </w:rPr>
        <w:t xml:space="preserve">           </w:t>
      </w:r>
      <w:r>
        <w:rPr>
          <w:rStyle w:val="AttributeTok"/>
        </w:rPr>
        <w:t xml:space="preserve">lnVRind_high =</w:t>
      </w:r>
      <w:r>
        <w:rPr>
          <w:rStyle w:val="NormalTok"/>
        </w:rPr>
        <w:t xml:space="preserve"> MOTE</w:t>
      </w:r>
      <w:r>
        <w:rPr>
          <w:rStyle w:val="SpecialCharTok"/>
        </w:rPr>
        <w:t xml:space="preserve">::</w:t>
      </w:r>
      <w:r>
        <w:rPr>
          <w:rStyle w:val="FunctionTok"/>
        </w:rPr>
        <w:t xml:space="preserve">apa</w:t>
      </w:r>
      <w:r>
        <w:rPr>
          <w:rStyle w:val="NormalTok"/>
        </w:rPr>
        <w:t xml:space="preserve">(lnVRind_high))</w:t>
      </w:r>
    </w:p>
    <w:p>
      <w:pPr>
        <w:pStyle w:val="SourceCode"/>
      </w:pPr>
      <w:r>
        <w:rPr>
          <w:rStyle w:val="VerbatimChar"/>
        </w:rPr>
        <w:t xml:space="preserve">  lnVRind lnVRind_low lnVRind_high</w:t>
      </w:r>
      <w:r>
        <w:br/>
      </w:r>
      <w:r>
        <w:rPr>
          <w:rStyle w:val="VerbatimChar"/>
        </w:rPr>
        <w:t xml:space="preserve">1   0.251      -0.029        0.531</w:t>
      </w:r>
    </w:p>
    <w:p>
      <w:pPr>
        <w:pStyle w:val="FirstParagraph"/>
      </w:pPr>
      <w:r>
        <w:t xml:space="preserve">From the example, we obtain a natural log variability ratio of</w:t>
      </w:r>
      <w:r>
        <w:t xml:space="preserve"> </w:t>
      </w:r>
      <m:oMath>
        <m:r>
          <m:t>l</m:t>
        </m:r>
        <m:r>
          <m:t>n</m:t>
        </m:r>
        <m:r>
          <m:t>V</m:t>
        </m:r>
        <m:sSub>
          <m:e>
            <m:r>
              <m:t>R</m:t>
            </m:r>
          </m:e>
          <m:sub>
            <m:r>
              <m:rPr>
                <m:nor/>
                <m:sty m:val="p"/>
              </m:rPr>
              <m:t>ind</m:t>
            </m:r>
          </m:sub>
        </m:sSub>
      </m:oMath>
      <w:r>
        <w:t xml:space="preserve"> </w:t>
      </w:r>
      <w:r>
        <w:t xml:space="preserve">= 0.25 [-0.03, 0.53].</w:t>
      </w:r>
    </w:p>
    <w:bookmarkEnd w:id="164"/>
    <w:bookmarkStart w:id="165" w:name="Xd2bd29024e56c02b9b416248f0c66acab125165"/>
    <w:p>
      <w:pPr>
        <w:pStyle w:val="Heading2"/>
      </w:pPr>
      <w:r>
        <w:t xml:space="preserve">12.2 Natural Logarithm of Variability Ratio for Dependent Groups (</w:t>
      </w:r>
      <m:oMath>
        <m:r>
          <m:t>l</m:t>
        </m:r>
        <m:r>
          <m:t>n</m:t>
        </m:r>
        <m:r>
          <m:t>V</m:t>
        </m:r>
        <m:sSub>
          <m:e>
            <m:r>
              <m:t>R</m:t>
            </m:r>
          </m:e>
          <m:sub>
            <m:r>
              <m:rPr>
                <m:nor/>
                <m:sty m:val="p"/>
              </m:rPr>
              <m:t>dep</m:t>
            </m:r>
          </m:sub>
        </m:sSub>
      </m:oMath>
      <w:r>
        <w:t xml:space="preserve">)</w:t>
      </w:r>
    </w:p>
    <w:p>
      <w:pPr>
        <w:pStyle w:val="FirstParagraph"/>
      </w:pPr>
      <w:r>
        <w:t xml:space="preserve">The variability ratio for dependent groups can similarly be calculated by taking the natural logarithm of the</w:t>
      </w:r>
      <w:r>
        <w:t xml:space="preserve"> </w:t>
      </w:r>
      <w:r>
        <w:rPr>
          <w:iCs/>
          <w:i/>
        </w:rPr>
        <w:t xml:space="preserve">standard deviation</w:t>
      </w:r>
      <w:r>
        <w:t xml:space="preserve"> </w:t>
      </w:r>
      <w:r>
        <w:t xml:space="preserve">within one group divided by the</w:t>
      </w:r>
      <w:r>
        <w:t xml:space="preserve"> </w:t>
      </w:r>
      <w:r>
        <w:rPr>
          <w:iCs/>
          <w:i/>
        </w:rPr>
        <w:t xml:space="preserve">standard deviation</w:t>
      </w:r>
      <w:r>
        <w:t xml:space="preserve"> </w:t>
      </w:r>
      <w:r>
        <w:t xml:space="preserve">in another group,</w:t>
      </w:r>
    </w:p>
    <w:p>
      <w:pPr>
        <w:pStyle w:val="BodyText"/>
      </w:pPr>
      <m:oMathPara>
        <m:oMathParaPr>
          <m:jc m:val="center"/>
        </m:oMathParaPr>
        <m:oMath>
          <m:r>
            <m:t>l</m:t>
          </m:r>
          <m:r>
            <m:t>n</m:t>
          </m:r>
          <m:r>
            <m:t>V</m:t>
          </m:r>
          <m:sSub>
            <m:e>
              <m:r>
                <m:t>R</m:t>
              </m:r>
            </m:e>
            <m:sub>
              <m:r>
                <m:rPr>
                  <m:nor/>
                  <m:sty m:val="p"/>
                </m:rPr>
                <m:t>dep</m:t>
              </m:r>
            </m:sub>
          </m:sSub>
          <m:r>
            <m:rPr>
              <m:sty m:val="p"/>
            </m:rPr>
            <m:t>=</m:t>
          </m:r>
          <m:r>
            <m:rPr>
              <m:sty m:val="p"/>
            </m:rPr>
            <m:t>ln</m:t>
          </m:r>
          <m:d>
            <m:dPr>
              <m:begChr m:val="("/>
              <m:endChr m:val=")"/>
              <m:sepChr m:val=""/>
              <m:grow/>
            </m:dPr>
            <m:e>
              <m:f>
                <m:fPr>
                  <m:type m:val="bar"/>
                </m:fPr>
                <m:num>
                  <m:sSub>
                    <m:e>
                      <m:r>
                        <m:t>S</m:t>
                      </m:r>
                    </m:e>
                    <m:sub>
                      <m:r>
                        <m:t>T</m:t>
                      </m:r>
                    </m:sub>
                  </m:sSub>
                </m:num>
                <m:den>
                  <m:sSub>
                    <m:e>
                      <m:r>
                        <m:t>S</m:t>
                      </m:r>
                    </m:e>
                    <m:sub>
                      <m:r>
                        <m:t>C</m:t>
                      </m:r>
                    </m:sub>
                  </m:sSub>
                </m:den>
              </m:f>
            </m:e>
          </m:d>
        </m:oMath>
      </m:oMathPara>
    </w:p>
    <w:p>
      <w:pPr>
        <w:pStyle w:val="FirstParagraph"/>
      </w:pPr>
      <w:r>
        <w:t xml:space="preserve">Note, the correction factor for small sample size bias is not relevant here as due to its calculation its value is zero.</w:t>
      </w:r>
    </w:p>
    <w:p>
      <w:pPr>
        <w:pStyle w:val="BodyText"/>
      </w:pPr>
      <m:oMathPara>
        <m:oMathParaPr>
          <m:jc m:val="center"/>
        </m:oMathParaPr>
        <m:oMath>
          <m:r>
            <m:t>S</m:t>
          </m:r>
          <m:sSub>
            <m:e>
              <m:r>
                <m:t>E</m:t>
              </m:r>
            </m:e>
            <m:sub>
              <m:r>
                <m:t>l</m:t>
              </m:r>
              <m:r>
                <m:t>n</m:t>
              </m:r>
              <m:r>
                <m:t>V</m:t>
              </m:r>
              <m:sSub>
                <m:e>
                  <m:r>
                    <m:t>R</m:t>
                  </m:r>
                </m:e>
                <m:sub>
                  <m:r>
                    <m:rPr>
                      <m:nor/>
                      <m:sty m:val="p"/>
                    </m:rPr>
                    <m:t>dep</m:t>
                  </m:r>
                </m:sub>
              </m:sSub>
            </m:sub>
          </m:sSub>
          <m:r>
            <m:rPr>
              <m:sty m:val="p"/>
            </m:rPr>
            <m:t>=</m:t>
          </m:r>
          <m:rad>
            <m:radPr>
              <m:degHide m:val="1"/>
            </m:radPr>
            <m:deg/>
            <m:e>
              <m:f>
                <m:fPr>
                  <m:type m:val="bar"/>
                </m:fPr>
                <m:num>
                  <m:r>
                    <m:t>n</m:t>
                  </m:r>
                </m:num>
                <m:den>
                  <m:r>
                    <m:t>n</m:t>
                  </m:r>
                  <m:r>
                    <m:rPr>
                      <m:sty m:val="p"/>
                    </m:rPr>
                    <m:t>−</m:t>
                  </m:r>
                  <m:r>
                    <m:t>1</m:t>
                  </m:r>
                </m:den>
              </m:f>
              <m:r>
                <m:rPr>
                  <m:sty m:val="p"/>
                </m:rPr>
                <m:t>−</m:t>
              </m:r>
              <m:f>
                <m:fPr>
                  <m:type m:val="bar"/>
                </m:fPr>
                <m:num>
                  <m:sSup>
                    <m:e>
                      <m:r>
                        <m:t>r</m:t>
                      </m:r>
                    </m:e>
                    <m:sup>
                      <m:r>
                        <m:t>2</m:t>
                      </m:r>
                    </m:sup>
                  </m:sSup>
                </m:num>
                <m:den>
                  <m:r>
                    <m:t>n</m:t>
                  </m:r>
                  <m:r>
                    <m:rPr>
                      <m:sty m:val="p"/>
                    </m:rPr>
                    <m:t>−</m:t>
                  </m:r>
                  <m:r>
                    <m:t>1</m:t>
                  </m:r>
                </m:den>
              </m:f>
              <m:r>
                <m:rPr>
                  <m:sty m:val="p"/>
                </m:rPr>
                <m:t>+</m:t>
              </m:r>
              <m:f>
                <m:fPr>
                  <m:type m:val="bar"/>
                </m:fPr>
                <m:num>
                  <m:sSup>
                    <m:e>
                      <m:r>
                        <m:t>r</m:t>
                      </m:r>
                    </m:e>
                    <m:sup>
                      <m:r>
                        <m:t>4</m:t>
                      </m:r>
                    </m:sup>
                  </m:sSup>
                  <m:d>
                    <m:dPr>
                      <m:begChr m:val="("/>
                      <m:endChr m:val=")"/>
                      <m:sepChr m:val=""/>
                      <m:grow/>
                    </m:dPr>
                    <m:e>
                      <m:sSubSup>
                        <m:e>
                          <m:r>
                            <m:t>S</m:t>
                          </m:r>
                        </m:e>
                        <m:sub>
                          <m:r>
                            <m:t>T</m:t>
                          </m:r>
                        </m:sub>
                        <m:sup>
                          <m:r>
                            <m:t>8</m:t>
                          </m:r>
                        </m:sup>
                      </m:sSubSup>
                      <m:r>
                        <m:rPr>
                          <m:sty m:val="p"/>
                        </m:rPr>
                        <m:t>+</m:t>
                      </m:r>
                      <m:sSubSup>
                        <m:e>
                          <m:r>
                            <m:t>S</m:t>
                          </m:r>
                        </m:e>
                        <m:sub>
                          <m:r>
                            <m:t>C</m:t>
                          </m:r>
                        </m:sub>
                        <m:sup>
                          <m:r>
                            <m:t>8</m:t>
                          </m:r>
                        </m:sup>
                      </m:sSubSup>
                    </m:e>
                  </m:d>
                </m:num>
                <m:den>
                  <m:r>
                    <m:t>2</m:t>
                  </m:r>
                  <m:sSup>
                    <m:e>
                      <m:d>
                        <m:dPr>
                          <m:begChr m:val="("/>
                          <m:endChr m:val=")"/>
                          <m:sepChr m:val=""/>
                          <m:grow/>
                        </m:dPr>
                        <m:e>
                          <m:r>
                            <m:t>n</m:t>
                          </m:r>
                          <m:r>
                            <m:rPr>
                              <m:sty m:val="p"/>
                            </m:rPr>
                            <m:t>−</m:t>
                          </m:r>
                          <m:r>
                            <m:t>1</m:t>
                          </m:r>
                        </m:e>
                      </m:d>
                    </m:e>
                    <m:sup>
                      <m:r>
                        <m:t>2</m:t>
                      </m:r>
                    </m:sup>
                  </m:sSup>
                  <m:sSubSup>
                    <m:e>
                      <m:r>
                        <m:t>S</m:t>
                      </m:r>
                    </m:e>
                    <m:sub>
                      <m:r>
                        <m:t>T</m:t>
                      </m:r>
                    </m:sub>
                    <m:sup>
                      <m:r>
                        <m:t>4</m:t>
                      </m:r>
                    </m:sup>
                  </m:sSubSup>
                  <m:r>
                    <m:rPr>
                      <m:sty m:val="p"/>
                    </m:rPr>
                    <m:t>+</m:t>
                  </m:r>
                  <m:sSubSup>
                    <m:e>
                      <m:r>
                        <m:t>S</m:t>
                      </m:r>
                    </m:e>
                    <m:sub>
                      <m:r>
                        <m:t>C</m:t>
                      </m:r>
                    </m:sub>
                    <m:sup>
                      <m:r>
                        <m:t>4</m:t>
                      </m:r>
                    </m:sup>
                  </m:sSubSup>
                </m:den>
              </m:f>
            </m:e>
          </m:rad>
        </m:oMath>
      </m:oMathPara>
    </w:p>
    <w:p>
      <w:pPr>
        <w:pStyle w:val="FirstParagraph"/>
      </w:pPr>
      <w:r>
        <w:t xml:space="preserve">In R, we can simply use the metafor packages</w:t>
      </w:r>
      <w:r>
        <w:t xml:space="preserve"> </w:t>
      </w:r>
      <w:r>
        <w:rPr>
          <w:rStyle w:val="VerbatimChar"/>
        </w:rPr>
        <w:t xml:space="preserve">escalc()</w:t>
      </w:r>
      <w:r>
        <w:t xml:space="preserve"> </w:t>
      </w:r>
      <w:r>
        <w:t xml:space="preserve">function as follows:</w:t>
      </w:r>
    </w:p>
    <w:p>
      <w:pPr>
        <w:pStyle w:val="SourceCode"/>
      </w:pPr>
      <w:r>
        <w:rPr>
          <w:rStyle w:val="CommentTok"/>
        </w:rPr>
        <w:t xml:space="preserve"># Example:</w:t>
      </w:r>
      <w:r>
        <w:br/>
      </w:r>
      <w:r>
        <w:rPr>
          <w:rStyle w:val="CommentTok"/>
        </w:rPr>
        <w:t xml:space="preserve"># Group 1: standard deviation = 4.5</w:t>
      </w:r>
      <w:r>
        <w:br/>
      </w:r>
      <w:r>
        <w:rPr>
          <w:rStyle w:val="CommentTok"/>
        </w:rPr>
        <w:t xml:space="preserve"># Group 2: standard deviation = 3.5</w:t>
      </w:r>
      <w:r>
        <w:br/>
      </w:r>
      <w:r>
        <w:rPr>
          <w:rStyle w:val="CommentTok"/>
        </w:rPr>
        <w:t xml:space="preserve"># Sample size = 50</w:t>
      </w:r>
      <w:r>
        <w:br/>
      </w:r>
      <w:r>
        <w:rPr>
          <w:rStyle w:val="CommentTok"/>
        </w:rPr>
        <w:t xml:space="preserve"># Correlation = 0.4</w:t>
      </w:r>
      <w:r>
        <w:br/>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r </w:t>
      </w:r>
      <w:r>
        <w:rPr>
          <w:rStyle w:val="OtherTok"/>
        </w:rPr>
        <w:t xml:space="preserve">&lt;-</w:t>
      </w:r>
      <w:r>
        <w:rPr>
          <w:rStyle w:val="NormalTok"/>
        </w:rPr>
        <w:t xml:space="preserve"> </w:t>
      </w:r>
      <w:r>
        <w:rPr>
          <w:rStyle w:val="FloatTok"/>
        </w:rPr>
        <w:t xml:space="preserve">0.4</w:t>
      </w:r>
      <w:r>
        <w:br/>
      </w:r>
      <w:r>
        <w:br/>
      </w:r>
      <w:r>
        <w:rPr>
          <w:rStyle w:val="CommentTok"/>
        </w:rPr>
        <w:t xml:space="preserve"># use escalc to compute lnVRdep</w:t>
      </w:r>
      <w:r>
        <w:br/>
      </w:r>
      <w:r>
        <w:rPr>
          <w:rStyle w:val="NormalTok"/>
        </w:rPr>
        <w:t xml:space="preserve">lnVRdep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"VRC"</w:t>
      </w:r>
      <w:r>
        <w:rPr>
          <w:rStyle w:val="NormalTok"/>
        </w:rPr>
        <w:t xml:space="preserve">,</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ni =</w:t>
      </w:r>
      <w:r>
        <w:rPr>
          <w:rStyle w:val="NormalTok"/>
        </w:rPr>
        <w:t xml:space="preserve"> n1,</w:t>
      </w:r>
      <w:r>
        <w:br/>
      </w:r>
      <w:r>
        <w:rPr>
          <w:rStyle w:val="NormalTok"/>
        </w:rPr>
        <w:t xml:space="preserve">  </w:t>
      </w:r>
      <w:r>
        <w:rPr>
          <w:rStyle w:val="AttributeTok"/>
        </w:rPr>
        <w:t xml:space="preserve">ri =</w:t>
      </w:r>
      <w:r>
        <w:rPr>
          <w:rStyle w:val="NormalTok"/>
        </w:rPr>
        <w:t xml:space="preserve"> r</w:t>
      </w:r>
      <w:r>
        <w:br/>
      </w:r>
      <w:r>
        <w:rPr>
          <w:rStyle w:val="NormalTok"/>
        </w:rPr>
        <w:t xml:space="preserve">)</w:t>
      </w:r>
      <w:r>
        <w:br/>
      </w:r>
      <w:r>
        <w:br/>
      </w:r>
      <w:r>
        <w:br/>
      </w:r>
      <w:r>
        <w:rPr>
          <w:rStyle w:val="NormalTok"/>
        </w:rPr>
        <w:t xml:space="preserve">lnVRdep</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(lnVRdep</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lnVRdep_low </w:t>
      </w:r>
      <w:r>
        <w:rPr>
          <w:rStyle w:val="OtherTok"/>
        </w:rPr>
        <w:t xml:space="preserve">&lt;-</w:t>
      </w:r>
      <w:r>
        <w:rPr>
          <w:rStyle w:val="NormalTok"/>
        </w:rPr>
        <w:t xml:space="preserve"> lnVRdep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lnVRdep</w:t>
      </w:r>
      <w:r>
        <w:rPr>
          <w:rStyle w:val="SpecialCharTok"/>
        </w:rPr>
        <w:t xml:space="preserve">$</w:t>
      </w:r>
      <w:r>
        <w:rPr>
          <w:rStyle w:val="NormalTok"/>
        </w:rPr>
        <w:t xml:space="preserve">SE</w:t>
      </w:r>
      <w:r>
        <w:br/>
      </w:r>
      <w:r>
        <w:rPr>
          <w:rStyle w:val="NormalTok"/>
        </w:rPr>
        <w:t xml:space="preserve">lnVRdep_high </w:t>
      </w:r>
      <w:r>
        <w:rPr>
          <w:rStyle w:val="OtherTok"/>
        </w:rPr>
        <w:t xml:space="preserve">&lt;-</w:t>
      </w:r>
      <w:r>
        <w:rPr>
          <w:rStyle w:val="NormalTok"/>
        </w:rPr>
        <w:t xml:space="preserve"> lnVRdep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lnVRdep</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lnVRdep =</w:t>
      </w:r>
      <w:r>
        <w:rPr>
          <w:rStyle w:val="NormalTok"/>
        </w:rPr>
        <w:t xml:space="preserve"> MOTE</w:t>
      </w:r>
      <w:r>
        <w:rPr>
          <w:rStyle w:val="SpecialCharTok"/>
        </w:rPr>
        <w:t xml:space="preserve">::</w:t>
      </w:r>
      <w:r>
        <w:rPr>
          <w:rStyle w:val="FunctionTok"/>
        </w:rPr>
        <w:t xml:space="preserve">apa</w:t>
      </w:r>
      <w:r>
        <w:rPr>
          <w:rStyle w:val="NormalTok"/>
        </w:rPr>
        <w:t xml:space="preserve">(lnVRdep</w:t>
      </w:r>
      <w:r>
        <w:rPr>
          <w:rStyle w:val="SpecialCharTok"/>
        </w:rPr>
        <w:t xml:space="preserve">$</w:t>
      </w:r>
      <w:r>
        <w:rPr>
          <w:rStyle w:val="NormalTok"/>
        </w:rPr>
        <w:t xml:space="preserve">yi),</w:t>
      </w:r>
      <w:r>
        <w:br/>
      </w:r>
      <w:r>
        <w:rPr>
          <w:rStyle w:val="NormalTok"/>
        </w:rPr>
        <w:t xml:space="preserve">           </w:t>
      </w:r>
      <w:r>
        <w:rPr>
          <w:rStyle w:val="AttributeTok"/>
        </w:rPr>
        <w:t xml:space="preserve">lnVRdep_low =</w:t>
      </w:r>
      <w:r>
        <w:rPr>
          <w:rStyle w:val="NormalTok"/>
        </w:rPr>
        <w:t xml:space="preserve"> MOTE</w:t>
      </w:r>
      <w:r>
        <w:rPr>
          <w:rStyle w:val="SpecialCharTok"/>
        </w:rPr>
        <w:t xml:space="preserve">::</w:t>
      </w:r>
      <w:r>
        <w:rPr>
          <w:rStyle w:val="FunctionTok"/>
        </w:rPr>
        <w:t xml:space="preserve">apa</w:t>
      </w:r>
      <w:r>
        <w:rPr>
          <w:rStyle w:val="NormalTok"/>
        </w:rPr>
        <w:t xml:space="preserve">(lnVRdep_low),</w:t>
      </w:r>
      <w:r>
        <w:br/>
      </w:r>
      <w:r>
        <w:rPr>
          <w:rStyle w:val="NormalTok"/>
        </w:rPr>
        <w:t xml:space="preserve">           </w:t>
      </w:r>
      <w:r>
        <w:rPr>
          <w:rStyle w:val="AttributeTok"/>
        </w:rPr>
        <w:t xml:space="preserve">v_high =</w:t>
      </w:r>
      <w:r>
        <w:rPr>
          <w:rStyle w:val="NormalTok"/>
        </w:rPr>
        <w:t xml:space="preserve"> MOTE</w:t>
      </w:r>
      <w:r>
        <w:rPr>
          <w:rStyle w:val="SpecialCharTok"/>
        </w:rPr>
        <w:t xml:space="preserve">::</w:t>
      </w:r>
      <w:r>
        <w:rPr>
          <w:rStyle w:val="FunctionTok"/>
        </w:rPr>
        <w:t xml:space="preserve">apa</w:t>
      </w:r>
      <w:r>
        <w:rPr>
          <w:rStyle w:val="NormalTok"/>
        </w:rPr>
        <w:t xml:space="preserve">(lnVRdep_high))</w:t>
      </w:r>
    </w:p>
    <w:p>
      <w:pPr>
        <w:pStyle w:val="SourceCode"/>
      </w:pPr>
      <w:r>
        <w:rPr>
          <w:rStyle w:val="VerbatimChar"/>
        </w:rPr>
        <w:t xml:space="preserve">  lnVRdep lnVRdep_low v_high</w:t>
      </w:r>
      <w:r>
        <w:br/>
      </w:r>
      <w:r>
        <w:rPr>
          <w:rStyle w:val="VerbatimChar"/>
        </w:rPr>
        <w:t xml:space="preserve">1   0.251      -0.005  0.508</w:t>
      </w:r>
    </w:p>
    <w:bookmarkEnd w:id="165"/>
    <w:bookmarkStart w:id="166" w:name="X65824aa02e32607cbc8ece6c32725bc276459a6"/>
    <w:p>
      <w:pPr>
        <w:pStyle w:val="Heading2"/>
      </w:pPr>
      <w:r>
        <w:t xml:space="preserve">12.3 Natural Logarithm of Coefficient of Variation Ratio for independent groups (lnCVR_</w:t>
      </w:r>
      <w:r>
        <w:t xml:space="preserve">)</w:t>
      </w:r>
    </w:p>
    <w:p>
      <w:pPr>
        <w:pStyle w:val="FirstParagraph"/>
      </w:pPr>
      <w:r>
        <w:t xml:space="preserve">The coefficient of variation ratio for independent groups can be calculated by taking the natural logarithm of the coefficient of variation within one group divided by the coefficient of variation in another group,</w:t>
      </w:r>
    </w:p>
    <w:p>
      <w:pPr>
        <w:pStyle w:val="BodyText"/>
      </w:pPr>
      <m:oMathPara>
        <m:oMathParaPr>
          <m:jc m:val="center"/>
        </m:oMathParaPr>
        <m:oMath>
          <m:r>
            <m:t>l</m:t>
          </m:r>
          <m:r>
            <m:t>n</m:t>
          </m:r>
          <m:r>
            <m:t>C</m:t>
          </m:r>
          <m:r>
            <m:t>V</m:t>
          </m:r>
          <m:sSub>
            <m:e>
              <m:r>
                <m:t>R</m:t>
              </m:r>
            </m:e>
            <m:sub>
              <m:r>
                <m:rPr>
                  <m:nor/>
                  <m:sty m:val="p"/>
                </m:rPr>
                <m:t>ind</m:t>
              </m:r>
            </m:sub>
          </m:sSub>
          <m:r>
            <m:rPr>
              <m:sty m:val="p"/>
            </m:rPr>
            <m:t>=</m:t>
          </m:r>
          <m:r>
            <m:rPr>
              <m:sty m:val="p"/>
            </m:rPr>
            <m:t>ln</m:t>
          </m:r>
          <m:d>
            <m:dPr>
              <m:begChr m:val="("/>
              <m:endChr m:val=")"/>
              <m:sepChr m:val=""/>
              <m:grow/>
            </m:dPr>
            <m:e>
              <m:f>
                <m:fPr>
                  <m:type m:val="bar"/>
                </m:fPr>
                <m:num>
                  <m:r>
                    <m:t>C</m:t>
                  </m:r>
                  <m:sSub>
                    <m:e>
                      <m:r>
                        <m:t>V</m:t>
                      </m:r>
                    </m:e>
                    <m:sub>
                      <m:r>
                        <m:t>T</m:t>
                      </m:r>
                    </m:sub>
                  </m:sSub>
                </m:num>
                <m:den>
                  <m:r>
                    <m:t>C</m:t>
                  </m:r>
                  <m:sSub>
                    <m:e>
                      <m:r>
                        <m:t>V</m:t>
                      </m:r>
                    </m:e>
                    <m:sub>
                      <m:r>
                        <m:t>C</m:t>
                      </m:r>
                    </m:sub>
                  </m:sSub>
                </m:den>
              </m:f>
            </m:e>
          </m:d>
          <m:r>
            <m:rPr>
              <m:sty m:val="p"/>
            </m:rPr>
            <m:t>+</m:t>
          </m:r>
          <m:r>
            <m:t>C</m:t>
          </m:r>
          <m:r>
            <m:t>F</m:t>
          </m:r>
        </m:oMath>
      </m:oMathPara>
    </w:p>
    <w:p>
      <w:pPr>
        <w:pStyle w:val="FirstParagraph"/>
      </w:pPr>
      <w:r>
        <w:t xml:space="preserve">Where</w:t>
      </w:r>
      <w:r>
        <w:t xml:space="preserve"> </w:t>
      </w:r>
      <m:oMath>
        <m:r>
          <m:t>C</m:t>
        </m:r>
        <m:sSub>
          <m:e>
            <m:r>
              <m:t>V</m:t>
            </m:r>
          </m:e>
          <m:sub>
            <m:r>
              <m:t>T</m:t>
            </m:r>
          </m:sub>
        </m:sSub>
        <m:r>
          <m:rPr>
            <m:sty m:val="p"/>
          </m:rPr>
          <m:t>=</m:t>
        </m:r>
        <m:sSub>
          <m:e>
            <m:r>
              <m:t>S</m:t>
            </m:r>
          </m:e>
          <m:sub>
            <m:r>
              <m:t>T</m:t>
            </m:r>
          </m:sub>
        </m:sSub>
        <m:r>
          <m:rPr>
            <m:sty m:val="p"/>
          </m:rPr>
          <m:t>/</m:t>
        </m:r>
        <m:sSub>
          <m:e>
            <m:r>
              <m:t>M</m:t>
            </m:r>
          </m:e>
          <m:sub>
            <m:r>
              <m:t>T</m:t>
            </m:r>
          </m:sub>
        </m:sSub>
      </m:oMath>
      <w:r>
        <w:t xml:space="preserve">,</w:t>
      </w:r>
      <w:r>
        <w:t xml:space="preserve"> </w:t>
      </w:r>
      <m:oMath>
        <m:r>
          <m:t>C</m:t>
        </m:r>
        <m:sSub>
          <m:e>
            <m:r>
              <m:t>V</m:t>
            </m:r>
          </m:e>
          <m:sub>
            <m:r>
              <m:t>C</m:t>
            </m:r>
          </m:sub>
        </m:sSub>
        <m:r>
          <m:rPr>
            <m:sty m:val="p"/>
          </m:rPr>
          <m:t>=</m:t>
        </m:r>
        <m:sSub>
          <m:e>
            <m:r>
              <m:t>S</m:t>
            </m:r>
          </m:e>
          <m:sub>
            <m:r>
              <m:t>C</m:t>
            </m:r>
          </m:sub>
        </m:sSub>
        <m:r>
          <m:rPr>
            <m:sty m:val="p"/>
          </m:rPr>
          <m:t>/</m:t>
        </m:r>
        <m:sSub>
          <m:e>
            <m:r>
              <m:t>M</m:t>
            </m:r>
          </m:e>
          <m:sub>
            <m:r>
              <m:t>C</m:t>
            </m:r>
          </m:sub>
        </m:sSub>
      </m:oMath>
      <w:r>
        <w:t xml:space="preserve">, and</w:t>
      </w:r>
      <w:r>
        <w:t xml:space="preserve"> </w:t>
      </w:r>
      <m:oMath>
        <m:r>
          <m:t>M</m:t>
        </m:r>
      </m:oMath>
      <w:r>
        <w:t xml:space="preserve"> </w:t>
      </w:r>
      <w:r>
        <w:t xml:space="preserve">indicates the mean of the respective group. The correction factor,</w:t>
      </w:r>
      <w:r>
        <w:t xml:space="preserve"> </w:t>
      </w:r>
      <m:oMath>
        <m:r>
          <m:t>C</m:t>
        </m:r>
        <m:r>
          <m:t>F</m:t>
        </m:r>
      </m:oMath>
      <w:r>
        <w:t xml:space="preserve">, is a small sample size bias correction factor that combines that from the lnRR (presented earlier) and the lnVR calculated as,</w:t>
      </w:r>
    </w:p>
    <w:p>
      <w:pPr>
        <w:pStyle w:val="BodyText"/>
      </w:pPr>
      <m:oMathPara>
        <m:oMathParaPr>
          <m:jc m:val="center"/>
        </m:oMathParaPr>
        <m:oMath>
          <m:r>
            <m:t>C</m:t>
          </m:r>
          <m:r>
            <m:t>F</m:t>
          </m:r>
          <m:r>
            <m:rPr>
              <m:sty m:val="p"/>
            </m:rPr>
            <m:t>=</m:t>
          </m:r>
          <m:f>
            <m:fPr>
              <m:type m:val="bar"/>
            </m:fPr>
            <m:num>
              <m:r>
                <m:t>1</m:t>
              </m:r>
            </m:num>
            <m:den>
              <m:r>
                <m:t>2</m:t>
              </m:r>
              <m:d>
                <m:dPr>
                  <m:begChr m:val="("/>
                  <m:endChr m:val=")"/>
                  <m:sepChr m:val=""/>
                  <m:grow/>
                </m:dPr>
                <m:e>
                  <m:sSub>
                    <m:e>
                      <m:r>
                        <m:t>n</m:t>
                      </m:r>
                    </m:e>
                    <m:sub>
                      <m:r>
                        <m:t>T</m:t>
                      </m:r>
                    </m:sub>
                  </m:sSub>
                  <m:r>
                    <m:rPr>
                      <m:sty m:val="p"/>
                    </m:rPr>
                    <m:t>−</m:t>
                  </m:r>
                  <m:r>
                    <m:t>1</m:t>
                  </m:r>
                </m:e>
              </m:d>
            </m:den>
          </m:f>
          <m:r>
            <m:rPr>
              <m:sty m:val="p"/>
            </m:rPr>
            <m:t>−</m:t>
          </m:r>
          <m:f>
            <m:fPr>
              <m:type m:val="bar"/>
            </m:fPr>
            <m:num>
              <m:r>
                <m:t>1</m:t>
              </m:r>
            </m:num>
            <m:den>
              <m:r>
                <m:t>2</m:t>
              </m:r>
              <m:d>
                <m:dPr>
                  <m:begChr m:val="("/>
                  <m:endChr m:val=")"/>
                  <m:sepChr m:val=""/>
                  <m:grow/>
                </m:dPr>
                <m:e>
                  <m:sSub>
                    <m:e>
                      <m:r>
                        <m:t>n</m:t>
                      </m:r>
                    </m:e>
                    <m:sub>
                      <m:r>
                        <m:t>C</m:t>
                      </m:r>
                    </m:sub>
                  </m:sSub>
                  <m:r>
                    <m:rPr>
                      <m:sty m:val="p"/>
                    </m:rPr>
                    <m:t>−</m:t>
                  </m:r>
                  <m:r>
                    <m:t>1</m:t>
                  </m:r>
                </m:e>
              </m:d>
            </m:den>
          </m:f>
          <m:r>
            <m:rPr>
              <m:sty m:val="p"/>
            </m:rPr>
            <m:t>+</m:t>
          </m:r>
          <m:f>
            <m:fPr>
              <m:type m:val="bar"/>
            </m:fPr>
            <m:num>
              <m:sSubSup>
                <m:e>
                  <m:r>
                    <m:t>S</m:t>
                  </m:r>
                </m:e>
                <m:sub>
                  <m:r>
                    <m:t>T</m:t>
                  </m:r>
                </m:sub>
                <m:sup>
                  <m:r>
                    <m:t>2</m:t>
                  </m:r>
                </m:sup>
              </m:sSubSup>
            </m:num>
            <m:den>
              <m:r>
                <m:t>2</m:t>
              </m:r>
              <m:d>
                <m:dPr>
                  <m:begChr m:val="("/>
                  <m:endChr m:val=")"/>
                  <m:sepChr m:val=""/>
                  <m:grow/>
                </m:dPr>
                <m:e>
                  <m:sSub>
                    <m:e>
                      <m:r>
                        <m:t>n</m:t>
                      </m:r>
                    </m:e>
                    <m:sub>
                      <m:r>
                        <m:t>T</m:t>
                      </m:r>
                    </m:sub>
                  </m:sSub>
                  <m:sSubSup>
                    <m:e>
                      <m:r>
                        <m:t>M</m:t>
                      </m:r>
                    </m:e>
                    <m:sub>
                      <m:r>
                        <m:t>T</m:t>
                      </m:r>
                    </m:sub>
                    <m:sup>
                      <m:r>
                        <m:t>2</m:t>
                      </m:r>
                    </m:sup>
                  </m:sSubSup>
                </m:e>
              </m:d>
            </m:den>
          </m:f>
          <m:r>
            <m:rPr>
              <m:sty m:val="p"/>
            </m:rPr>
            <m:t>+</m:t>
          </m:r>
          <m:f>
            <m:fPr>
              <m:type m:val="bar"/>
            </m:fPr>
            <m:num>
              <m:sSubSup>
                <m:e>
                  <m:r>
                    <m:t>S</m:t>
                  </m:r>
                </m:e>
                <m:sub>
                  <m:r>
                    <m:t>C</m:t>
                  </m:r>
                </m:sub>
                <m:sup>
                  <m:r>
                    <m:t>2</m:t>
                  </m:r>
                </m:sup>
              </m:sSubSup>
            </m:num>
            <m:den>
              <m:r>
                <m:t>2</m:t>
              </m:r>
              <m:d>
                <m:dPr>
                  <m:begChr m:val="("/>
                  <m:endChr m:val=")"/>
                  <m:sepChr m:val=""/>
                  <m:grow/>
                </m:dPr>
                <m:e>
                  <m:sSub>
                    <m:e>
                      <m:r>
                        <m:t>n</m:t>
                      </m:r>
                    </m:e>
                    <m:sub>
                      <m:r>
                        <m:t>C</m:t>
                      </m:r>
                    </m:sub>
                  </m:sSub>
                  <m:sSubSup>
                    <m:e>
                      <m:r>
                        <m:t>M</m:t>
                      </m:r>
                    </m:e>
                    <m:sub>
                      <m:r>
                        <m:t>C</m:t>
                      </m:r>
                    </m:sub>
                    <m:sup>
                      <m:r>
                        <m:t>2</m:t>
                      </m:r>
                    </m:sup>
                  </m:sSubSup>
                </m:e>
              </m:d>
            </m:den>
          </m:f>
        </m:oMath>
      </m:oMathPara>
    </w:p>
    <w:p>
      <w:pPr>
        <w:pStyle w:val="FirstParagraph"/>
      </w:pPr>
      <w:r>
        <w:t xml:space="preserve">In R, we can simply use the</w:t>
      </w:r>
      <w:r>
        <w:t xml:space="preserve"> </w:t>
      </w:r>
      <w:r>
        <w:rPr>
          <w:rStyle w:val="VerbatimChar"/>
        </w:rPr>
        <w:t xml:space="preserve">escalc()</w:t>
      </w:r>
      <w:r>
        <w:t xml:space="preserve"> </w:t>
      </w:r>
      <w:r>
        <w:t xml:space="preserve">function from the</w:t>
      </w:r>
      <w:r>
        <w:t xml:space="preserve"> </w:t>
      </w:r>
      <w:r>
        <w:rPr>
          <w:rStyle w:val="VerbatimChar"/>
        </w:rPr>
        <w:t xml:space="preserve">metafor</w:t>
      </w:r>
      <w:r>
        <w:t xml:space="preserve"> </w:t>
      </w:r>
      <w:r>
        <w:t xml:space="preserve">package as follows:</w:t>
      </w:r>
    </w:p>
    <w:p>
      <w:pPr>
        <w:pStyle w:val="SourceCode"/>
      </w:pPr>
      <w:r>
        <w:rPr>
          <w:rStyle w:val="CommentTok"/>
        </w:rPr>
        <w:t xml:space="preserve"># Example:</w:t>
      </w:r>
      <w:r>
        <w:br/>
      </w:r>
      <w:r>
        <w:rPr>
          <w:rStyle w:val="CommentTok"/>
        </w:rPr>
        <w:t xml:space="preserve"># Group 1: mean = 22.4, standard deviation = 4.5, sample size = 50</w:t>
      </w:r>
      <w:r>
        <w:br/>
      </w:r>
      <w:r>
        <w:rPr>
          <w:rStyle w:val="CommentTok"/>
        </w:rPr>
        <w:t xml:space="preserve"># Group 2: mean = 20.1, standard deviation = 3.5, sample size = 50</w:t>
      </w:r>
      <w:r>
        <w:br/>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M1 </w:t>
      </w:r>
      <w:r>
        <w:rPr>
          <w:rStyle w:val="OtherTok"/>
        </w:rPr>
        <w:t xml:space="preserve">&lt;-</w:t>
      </w:r>
      <w:r>
        <w:rPr>
          <w:rStyle w:val="NormalTok"/>
        </w:rPr>
        <w:t xml:space="preserve"> </w:t>
      </w:r>
      <w:r>
        <w:rPr>
          <w:rStyle w:val="FloatTok"/>
        </w:rPr>
        <w:t xml:space="preserve">22.4</w:t>
      </w:r>
      <w:r>
        <w:br/>
      </w:r>
      <w:r>
        <w:rPr>
          <w:rStyle w:val="NormalTok"/>
        </w:rPr>
        <w:t xml:space="preserve">M2 </w:t>
      </w:r>
      <w:r>
        <w:rPr>
          <w:rStyle w:val="OtherTok"/>
        </w:rPr>
        <w:t xml:space="preserve">&lt;-</w:t>
      </w:r>
      <w:r>
        <w:rPr>
          <w:rStyle w:val="NormalTok"/>
        </w:rPr>
        <w:t xml:space="preserve"> </w:t>
      </w:r>
      <w:r>
        <w:rPr>
          <w:rStyle w:val="FloatTok"/>
        </w:rPr>
        <w:t xml:space="preserve">20.1</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n1 </w:t>
      </w:r>
      <w:r>
        <w:rPr>
          <w:rStyle w:val="OtherTok"/>
        </w:rPr>
        <w:t xml:space="preserve">&lt;-</w:t>
      </w:r>
      <w:r>
        <w:rPr>
          <w:rStyle w:val="NormalTok"/>
        </w:rPr>
        <w:t xml:space="preserve"> n2 </w:t>
      </w:r>
      <w:r>
        <w:rPr>
          <w:rStyle w:val="OtherTok"/>
        </w:rPr>
        <w:t xml:space="preserve">&lt;-</w:t>
      </w:r>
      <w:r>
        <w:rPr>
          <w:rStyle w:val="NormalTok"/>
        </w:rPr>
        <w:t xml:space="preserve"> </w:t>
      </w:r>
      <w:r>
        <w:rPr>
          <w:rStyle w:val="DecValTok"/>
        </w:rPr>
        <w:t xml:space="preserve">50</w:t>
      </w:r>
      <w:r>
        <w:br/>
      </w:r>
      <w:r>
        <w:br/>
      </w:r>
      <w:r>
        <w:rPr>
          <w:rStyle w:val="NormalTok"/>
        </w:rPr>
        <w:t xml:space="preserve">lnCVRind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"CVR"</w:t>
      </w:r>
      <w:r>
        <w:rPr>
          <w:rStyle w:val="NormalTok"/>
        </w:rPr>
        <w:t xml:space="preserve">,</w:t>
      </w:r>
      <w:r>
        <w:br/>
      </w:r>
      <w:r>
        <w:rPr>
          <w:rStyle w:val="NormalTok"/>
        </w:rPr>
        <w:t xml:space="preserve">  </w:t>
      </w:r>
      <w:r>
        <w:rPr>
          <w:rStyle w:val="AttributeTok"/>
        </w:rPr>
        <w:t xml:space="preserve">m1i =</w:t>
      </w:r>
      <w:r>
        <w:rPr>
          <w:rStyle w:val="NormalTok"/>
        </w:rPr>
        <w:t xml:space="preserve"> M1,</w:t>
      </w:r>
      <w:r>
        <w:br/>
      </w:r>
      <w:r>
        <w:rPr>
          <w:rStyle w:val="NormalTok"/>
        </w:rPr>
        <w:t xml:space="preserve">  </w:t>
      </w:r>
      <w:r>
        <w:rPr>
          <w:rStyle w:val="AttributeTok"/>
        </w:rPr>
        <w:t xml:space="preserve">m2i =</w:t>
      </w:r>
      <w:r>
        <w:rPr>
          <w:rStyle w:val="NormalTok"/>
        </w:rPr>
        <w:t xml:space="preserve"> M2,</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n1i =</w:t>
      </w:r>
      <w:r>
        <w:rPr>
          <w:rStyle w:val="NormalTok"/>
        </w:rPr>
        <w:t xml:space="preserve"> n1,</w:t>
      </w:r>
      <w:r>
        <w:br/>
      </w:r>
      <w:r>
        <w:rPr>
          <w:rStyle w:val="NormalTok"/>
        </w:rPr>
        <w:t xml:space="preserve">  </w:t>
      </w:r>
      <w:r>
        <w:rPr>
          <w:rStyle w:val="AttributeTok"/>
        </w:rPr>
        <w:t xml:space="preserve">n2i =</w:t>
      </w:r>
      <w:r>
        <w:rPr>
          <w:rStyle w:val="NormalTok"/>
        </w:rPr>
        <w:t xml:space="preserve"> n2</w:t>
      </w:r>
      <w:r>
        <w:br/>
      </w:r>
      <w:r>
        <w:rPr>
          <w:rStyle w:val="NormalTok"/>
        </w:rPr>
        <w:t xml:space="preserve">)</w:t>
      </w:r>
      <w:r>
        <w:br/>
      </w:r>
      <w:r>
        <w:br/>
      </w:r>
      <w:r>
        <w:rPr>
          <w:rStyle w:val="NormalTok"/>
        </w:rPr>
        <w:t xml:space="preserve">lnCVRind</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(lnCVRind</w:t>
      </w:r>
      <w:r>
        <w:rPr>
          <w:rStyle w:val="SpecialCharTok"/>
        </w:rPr>
        <w:t xml:space="preserve">$</w:t>
      </w:r>
      <w:r>
        <w:rPr>
          <w:rStyle w:val="NormalTok"/>
        </w:rPr>
        <w:t xml:space="preserve">vi) </w:t>
      </w:r>
      <w:r>
        <w:br/>
      </w:r>
      <w:r>
        <w:br/>
      </w:r>
      <w:r>
        <w:rPr>
          <w:rStyle w:val="CommentTok"/>
        </w:rPr>
        <w:t xml:space="preserve"># calculate confidence interval</w:t>
      </w:r>
      <w:r>
        <w:br/>
      </w:r>
      <w:r>
        <w:rPr>
          <w:rStyle w:val="NormalTok"/>
        </w:rPr>
        <w:t xml:space="preserve">lnCVRind_low </w:t>
      </w:r>
      <w:r>
        <w:rPr>
          <w:rStyle w:val="OtherTok"/>
        </w:rPr>
        <w:t xml:space="preserve">&lt;-</w:t>
      </w:r>
      <w:r>
        <w:rPr>
          <w:rStyle w:val="NormalTok"/>
        </w:rPr>
        <w:t xml:space="preserve"> lnCVRind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lnCVRind</w:t>
      </w:r>
      <w:r>
        <w:rPr>
          <w:rStyle w:val="SpecialCharTok"/>
        </w:rPr>
        <w:t xml:space="preserve">$</w:t>
      </w:r>
      <w:r>
        <w:rPr>
          <w:rStyle w:val="NormalTok"/>
        </w:rPr>
        <w:t xml:space="preserve">SE</w:t>
      </w:r>
      <w:r>
        <w:br/>
      </w:r>
      <w:r>
        <w:rPr>
          <w:rStyle w:val="NormalTok"/>
        </w:rPr>
        <w:t xml:space="preserve">lnCVRind_high </w:t>
      </w:r>
      <w:r>
        <w:rPr>
          <w:rStyle w:val="OtherTok"/>
        </w:rPr>
        <w:t xml:space="preserve">&lt;-</w:t>
      </w:r>
      <w:r>
        <w:rPr>
          <w:rStyle w:val="NormalTok"/>
        </w:rPr>
        <w:t xml:space="preserve"> lnCVRind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lnCVRind</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lnCVRind =</w:t>
      </w:r>
      <w:r>
        <w:rPr>
          <w:rStyle w:val="NormalTok"/>
        </w:rPr>
        <w:t xml:space="preserve"> MOTE</w:t>
      </w:r>
      <w:r>
        <w:rPr>
          <w:rStyle w:val="SpecialCharTok"/>
        </w:rPr>
        <w:t xml:space="preserve">::</w:t>
      </w:r>
      <w:r>
        <w:rPr>
          <w:rStyle w:val="FunctionTok"/>
        </w:rPr>
        <w:t xml:space="preserve">apa</w:t>
      </w:r>
      <w:r>
        <w:rPr>
          <w:rStyle w:val="NormalTok"/>
        </w:rPr>
        <w:t xml:space="preserve">(lnCVRind</w:t>
      </w:r>
      <w:r>
        <w:rPr>
          <w:rStyle w:val="SpecialCharTok"/>
        </w:rPr>
        <w:t xml:space="preserve">$</w:t>
      </w:r>
      <w:r>
        <w:rPr>
          <w:rStyle w:val="NormalTok"/>
        </w:rPr>
        <w:t xml:space="preserve">yi),</w:t>
      </w:r>
      <w:r>
        <w:br/>
      </w:r>
      <w:r>
        <w:rPr>
          <w:rStyle w:val="NormalTok"/>
        </w:rPr>
        <w:t xml:space="preserve">           </w:t>
      </w:r>
      <w:r>
        <w:rPr>
          <w:rStyle w:val="AttributeTok"/>
        </w:rPr>
        <w:t xml:space="preserve">lnCVRind_low =</w:t>
      </w:r>
      <w:r>
        <w:rPr>
          <w:rStyle w:val="NormalTok"/>
        </w:rPr>
        <w:t xml:space="preserve"> MOTE</w:t>
      </w:r>
      <w:r>
        <w:rPr>
          <w:rStyle w:val="SpecialCharTok"/>
        </w:rPr>
        <w:t xml:space="preserve">::</w:t>
      </w:r>
      <w:r>
        <w:rPr>
          <w:rStyle w:val="FunctionTok"/>
        </w:rPr>
        <w:t xml:space="preserve">apa</w:t>
      </w:r>
      <w:r>
        <w:rPr>
          <w:rStyle w:val="NormalTok"/>
        </w:rPr>
        <w:t xml:space="preserve">(lnCVRind_low),</w:t>
      </w:r>
      <w:r>
        <w:br/>
      </w:r>
      <w:r>
        <w:rPr>
          <w:rStyle w:val="NormalTok"/>
        </w:rPr>
        <w:t xml:space="preserve">           </w:t>
      </w:r>
      <w:r>
        <w:rPr>
          <w:rStyle w:val="AttributeTok"/>
        </w:rPr>
        <w:t xml:space="preserve">lnCVRind_high =</w:t>
      </w:r>
      <w:r>
        <w:rPr>
          <w:rStyle w:val="NormalTok"/>
        </w:rPr>
        <w:t xml:space="preserve"> MOTE</w:t>
      </w:r>
      <w:r>
        <w:rPr>
          <w:rStyle w:val="SpecialCharTok"/>
        </w:rPr>
        <w:t xml:space="preserve">::</w:t>
      </w:r>
      <w:r>
        <w:rPr>
          <w:rStyle w:val="FunctionTok"/>
        </w:rPr>
        <w:t xml:space="preserve">apa</w:t>
      </w:r>
      <w:r>
        <w:rPr>
          <w:rStyle w:val="NormalTok"/>
        </w:rPr>
        <w:t xml:space="preserve">(lnCVRind_high))</w:t>
      </w:r>
    </w:p>
    <w:p>
      <w:pPr>
        <w:pStyle w:val="SourceCode"/>
      </w:pPr>
      <w:r>
        <w:rPr>
          <w:rStyle w:val="VerbatimChar"/>
        </w:rPr>
        <w:t xml:space="preserve">  lnCVRind lnCVRind_low lnCVRind_high</w:t>
      </w:r>
      <w:r>
        <w:br/>
      </w:r>
      <w:r>
        <w:rPr>
          <w:rStyle w:val="VerbatimChar"/>
        </w:rPr>
        <w:t xml:space="preserve">1    0.143       -0.147         0.433</w:t>
      </w:r>
    </w:p>
    <w:bookmarkEnd w:id="166"/>
    <w:bookmarkStart w:id="167" w:name="Xb7b4ce6d728741b0acbb5650c54f5a4ea5ac55d"/>
    <w:p>
      <w:pPr>
        <w:pStyle w:val="Heading2"/>
      </w:pPr>
      <w:r>
        <w:t xml:space="preserve">12.4 Natural Logarithm of Coefficient of Variation Ratio for independent groups (</w:t>
      </w:r>
      <m:oMath>
        <m:r>
          <m:t>l</m:t>
        </m:r>
        <m:r>
          <m:t>n</m:t>
        </m:r>
        <m:r>
          <m:t>C</m:t>
        </m:r>
        <m:r>
          <m:t>V</m:t>
        </m:r>
        <m:sSub>
          <m:e>
            <m:r>
              <m:t>R</m:t>
            </m:r>
          </m:e>
          <m:sub>
            <m:r>
              <m:rPr>
                <m:nor/>
                <m:sty m:val="p"/>
              </m:rPr>
              <m:t>dep</m:t>
            </m:r>
          </m:sub>
        </m:sSub>
      </m:oMath>
      <w:r>
        <w:t xml:space="preserve">)</w:t>
      </w:r>
    </w:p>
    <w:p>
      <w:pPr>
        <w:pStyle w:val="FirstParagraph"/>
      </w:pPr>
      <w:r>
        <w:t xml:space="preserve">The coefficient of variation ratio for dependent groups can be similarly calculated by taking the natural logarithm of the coefficient of variation within one group divided by the coefficient of variation in another group,</w:t>
      </w:r>
    </w:p>
    <w:p>
      <w:pPr>
        <w:pStyle w:val="BodyText"/>
      </w:pPr>
      <m:oMathPara>
        <m:oMathParaPr>
          <m:jc m:val="center"/>
        </m:oMathParaPr>
        <m:oMath>
          <m:r>
            <m:t>l</m:t>
          </m:r>
          <m:r>
            <m:t>n</m:t>
          </m:r>
          <m:r>
            <m:t>C</m:t>
          </m:r>
          <m:r>
            <m:t>V</m:t>
          </m:r>
          <m:sSub>
            <m:e>
              <m:r>
                <m:t>R</m:t>
              </m:r>
            </m:e>
            <m:sub>
              <m:r>
                <m:rPr>
                  <m:nor/>
                  <m:sty m:val="p"/>
                </m:rPr>
                <m:t>dep</m:t>
              </m:r>
            </m:sub>
          </m:sSub>
          <m:r>
            <m:rPr>
              <m:sty m:val="p"/>
            </m:rPr>
            <m:t>=</m:t>
          </m:r>
          <m:r>
            <m:rPr>
              <m:sty m:val="p"/>
            </m:rPr>
            <m:t>ln</m:t>
          </m:r>
          <m:d>
            <m:dPr>
              <m:begChr m:val="("/>
              <m:endChr m:val=")"/>
              <m:sepChr m:val=""/>
              <m:grow/>
            </m:dPr>
            <m:e>
              <m:f>
                <m:fPr>
                  <m:type m:val="bar"/>
                </m:fPr>
                <m:num>
                  <m:r>
                    <m:t>C</m:t>
                  </m:r>
                  <m:sSub>
                    <m:e>
                      <m:r>
                        <m:t>V</m:t>
                      </m:r>
                    </m:e>
                    <m:sub>
                      <m:r>
                        <m:t>T</m:t>
                      </m:r>
                    </m:sub>
                  </m:sSub>
                </m:num>
                <m:den>
                  <m:r>
                    <m:t>C</m:t>
                  </m:r>
                  <m:sSub>
                    <m:e>
                      <m:r>
                        <m:t>V</m:t>
                      </m:r>
                    </m:e>
                    <m:sub>
                      <m:r>
                        <m:t>C</m:t>
                      </m:r>
                    </m:sub>
                  </m:sSub>
                </m:den>
              </m:f>
            </m:e>
          </m:d>
          <m:r>
            <m:rPr>
              <m:sty m:val="p"/>
            </m:rPr>
            <m:t>+</m:t>
          </m:r>
          <m:r>
            <m:t>C</m:t>
          </m:r>
          <m:r>
            <m:t>F</m:t>
          </m:r>
        </m:oMath>
      </m:oMathPara>
    </w:p>
    <w:p>
      <w:pPr>
        <w:pStyle w:val="FirstParagraph"/>
      </w:pPr>
      <w:r>
        <w:t xml:space="preserve">Where</w:t>
      </w:r>
      <w:r>
        <w:t xml:space="preserve"> </w:t>
      </w:r>
      <m:oMath>
        <m:r>
          <m:t>C</m:t>
        </m:r>
        <m:sSub>
          <m:e>
            <m:r>
              <m:t>V</m:t>
            </m:r>
          </m:e>
          <m:sub>
            <m:r>
              <m:t>T</m:t>
            </m:r>
          </m:sub>
        </m:sSub>
        <m:r>
          <m:rPr>
            <m:sty m:val="p"/>
          </m:rPr>
          <m:t>=</m:t>
        </m:r>
        <m:sSub>
          <m:e>
            <m:r>
              <m:t>S</m:t>
            </m:r>
          </m:e>
          <m:sub>
            <m:r>
              <m:t>T</m:t>
            </m:r>
          </m:sub>
        </m:sSub>
        <m:r>
          <m:rPr>
            <m:sty m:val="p"/>
          </m:rPr>
          <m:t>/</m:t>
        </m:r>
        <m:sSub>
          <m:e>
            <m:r>
              <m:t>M</m:t>
            </m:r>
          </m:e>
          <m:sub>
            <m:r>
              <m:t>T</m:t>
            </m:r>
          </m:sub>
        </m:sSub>
      </m:oMath>
      <w:r>
        <w:t xml:space="preserve">,</w:t>
      </w:r>
      <w:r>
        <w:t xml:space="preserve"> </w:t>
      </w:r>
      <m:oMath>
        <m:r>
          <m:t>C</m:t>
        </m:r>
        <m:sSub>
          <m:e>
            <m:r>
              <m:t>V</m:t>
            </m:r>
          </m:e>
          <m:sub>
            <m:r>
              <m:t>C</m:t>
            </m:r>
          </m:sub>
        </m:sSub>
        <m:r>
          <m:rPr>
            <m:sty m:val="p"/>
          </m:rPr>
          <m:t>=</m:t>
        </m:r>
        <m:sSub>
          <m:e>
            <m:r>
              <m:t>S</m:t>
            </m:r>
          </m:e>
          <m:sub>
            <m:r>
              <m:t>C</m:t>
            </m:r>
          </m:sub>
        </m:sSub>
        <m:r>
          <m:rPr>
            <m:sty m:val="p"/>
          </m:rPr>
          <m:t>/</m:t>
        </m:r>
        <m:sSub>
          <m:e>
            <m:r>
              <m:t>M</m:t>
            </m:r>
          </m:e>
          <m:sub>
            <m:r>
              <m:t>C</m:t>
            </m:r>
          </m:sub>
        </m:sSub>
      </m:oMath>
      <w:r>
        <w:t xml:space="preserve"> </w:t>
      </w:r>
      <w:r>
        <w:t xml:space="preserve">and CF is a small sample size bias correction factor that combines that from the</w:t>
      </w:r>
      <w:r>
        <w:t xml:space="preserve"> </w:t>
      </w:r>
      <m:oMath>
        <m:r>
          <m:t>l</m:t>
        </m:r>
        <m:r>
          <m:t>n</m:t>
        </m:r>
        <m:r>
          <m:t>V</m:t>
        </m:r>
        <m:r>
          <m:t>R</m:t>
        </m:r>
      </m:oMath>
      <w:r>
        <w:t xml:space="preserve"> </w:t>
      </w:r>
      <w:r>
        <w:t xml:space="preserve">(presented earlier) and the</w:t>
      </w:r>
      <w:r>
        <w:t xml:space="preserve"> </w:t>
      </w:r>
      <m:oMath>
        <m:r>
          <m:t>l</m:t>
        </m:r>
        <m:r>
          <m:t>n</m:t>
        </m:r>
        <m:r>
          <m:t>V</m:t>
        </m:r>
        <m:r>
          <m:t>R</m:t>
        </m:r>
      </m:oMath>
      <w:r>
        <w:t xml:space="preserve"> </w:t>
      </w:r>
      <w:r>
        <w:t xml:space="preserve">(note again for dependent cases this is zero and so omitted) calculated as,</w:t>
      </w:r>
    </w:p>
    <w:p>
      <w:pPr>
        <w:pStyle w:val="BodyText"/>
      </w:pPr>
      <m:oMathPara>
        <m:oMathParaPr>
          <m:jc m:val="center"/>
        </m:oMathParaPr>
        <m:oMath>
          <m:r>
            <m:t>C</m:t>
          </m:r>
          <m:r>
            <m:t>F</m:t>
          </m:r>
          <m:r>
            <m:rPr>
              <m:sty m:val="p"/>
            </m:rPr>
            <m:t>=</m:t>
          </m:r>
          <m:f>
            <m:fPr>
              <m:type m:val="bar"/>
            </m:fPr>
            <m:num>
              <m:sSubSup>
                <m:e>
                  <m:r>
                    <m:t>S</m:t>
                  </m:r>
                </m:e>
                <m:sub>
                  <m:r>
                    <m:t>T</m:t>
                  </m:r>
                </m:sub>
                <m:sup>
                  <m:r>
                    <m:t>2</m:t>
                  </m:r>
                </m:sup>
              </m:sSubSup>
            </m:num>
            <m:den>
              <m:r>
                <m:t>2</m:t>
              </m:r>
              <m:r>
                <m:t>n</m:t>
              </m:r>
              <m:sSubSup>
                <m:e>
                  <m:r>
                    <m:t>M</m:t>
                  </m:r>
                </m:e>
                <m:sub>
                  <m:r>
                    <m:t>T</m:t>
                  </m:r>
                </m:sub>
                <m:sup>
                  <m:r>
                    <m:t>2</m:t>
                  </m:r>
                </m:sup>
              </m:sSubSup>
            </m:den>
          </m:f>
          <m:r>
            <m:rPr>
              <m:sty m:val="p"/>
            </m:rPr>
            <m:t>−</m:t>
          </m:r>
          <m:f>
            <m:fPr>
              <m:type m:val="bar"/>
            </m:fPr>
            <m:num>
              <m:sSubSup>
                <m:e>
                  <m:r>
                    <m:t>S</m:t>
                  </m:r>
                </m:e>
                <m:sub>
                  <m:r>
                    <m:t>C</m:t>
                  </m:r>
                </m:sub>
                <m:sup>
                  <m:r>
                    <m:t>2</m:t>
                  </m:r>
                </m:sup>
              </m:sSubSup>
            </m:num>
            <m:den>
              <m:r>
                <m:t>2</m:t>
              </m:r>
              <m:r>
                <m:t>n</m:t>
              </m:r>
              <m:sSubSup>
                <m:e>
                  <m:r>
                    <m:t>M</m:t>
                  </m:r>
                </m:e>
                <m:sub>
                  <m:r>
                    <m:t>C</m:t>
                  </m:r>
                </m:sub>
                <m:sup>
                  <m:r>
                    <m:t>2</m:t>
                  </m:r>
                </m:sup>
              </m:sSubSup>
            </m:den>
          </m:f>
        </m:oMath>
      </m:oMathPara>
    </w:p>
    <w:p>
      <w:pPr>
        <w:pStyle w:val="FirstParagraph"/>
      </w:pPr>
      <w:r>
        <w:t xml:space="preserve">The standard error of the</w:t>
      </w:r>
      <w:r>
        <w:t xml:space="preserve"> </w:t>
      </w:r>
      <m:oMath>
        <m:r>
          <m:t>l</m:t>
        </m:r>
        <m:r>
          <m:t>n</m:t>
        </m:r>
        <m:r>
          <m:t>C</m:t>
        </m:r>
        <m:r>
          <m:t>V</m:t>
        </m:r>
        <m:sSub>
          <m:e>
            <m:r>
              <m:t>R</m:t>
            </m:r>
          </m:e>
          <m:sub>
            <m:r>
              <m:rPr>
                <m:nor/>
                <m:sty m:val="p"/>
              </m:rPr>
              <m:t>dep</m:t>
            </m:r>
          </m:sub>
        </m:sSub>
      </m:oMath>
      <w:r>
        <w:t xml:space="preserve"> </w:t>
      </w:r>
      <w:r>
        <w:t xml:space="preserve">can be calculated as,</w:t>
      </w:r>
    </w:p>
    <w:p>
      <w:pPr>
        <w:pStyle w:val="BodyText"/>
      </w:pPr>
      <w:r>
        <w:t xml:space="preserve">$$
\small{SE_{lnCVR_\text{dep}} = \sqrt{\frac{S^2_T}{n M_T^2} + \frac{S^2_T}{nM_T^2} + \frac{S^4_T}{2n^2 M_T^4} + \frac{S^4_T}{2n^2 M_T^4} + \frac{2rS_CS_T}{n M_C M_T} + \frac{r^2S^2_T S^2_C (M^4_T + M^4_C)}{2n^2M_T^4M^4_C}}}
$$</w:t>
      </w:r>
    </w:p>
    <w:p>
      <w:pPr>
        <w:pStyle w:val="FirstParagraph"/>
      </w:pPr>
      <w:r>
        <w:t xml:space="preserve">In R, we can simply use the metafor packages escalc() function as follows:</w:t>
      </w:r>
    </w:p>
    <w:p>
      <w:pPr>
        <w:pStyle w:val="SourceCode"/>
      </w:pPr>
      <w:r>
        <w:rPr>
          <w:rStyle w:val="CommentTok"/>
        </w:rPr>
        <w:t xml:space="preserve"># Example:</w:t>
      </w:r>
      <w:r>
        <w:br/>
      </w:r>
      <w:r>
        <w:rPr>
          <w:rStyle w:val="CommentTok"/>
        </w:rPr>
        <w:t xml:space="preserve"># Group 1: standard deviation = 4.5</w:t>
      </w:r>
      <w:r>
        <w:br/>
      </w:r>
      <w:r>
        <w:rPr>
          <w:rStyle w:val="CommentTok"/>
        </w:rPr>
        <w:t xml:space="preserve"># Group 2: standard deviation = 3.5</w:t>
      </w:r>
      <w:r>
        <w:br/>
      </w:r>
      <w:r>
        <w:rPr>
          <w:rStyle w:val="CommentTok"/>
        </w:rPr>
        <w:t xml:space="preserve"># Sample size = 50</w:t>
      </w:r>
      <w:r>
        <w:br/>
      </w:r>
      <w:r>
        <w:rPr>
          <w:rStyle w:val="CommentTok"/>
        </w:rPr>
        <w:t xml:space="preserve"># Correlation = 0.4</w:t>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M1 </w:t>
      </w:r>
      <w:r>
        <w:rPr>
          <w:rStyle w:val="OtherTok"/>
        </w:rPr>
        <w:t xml:space="preserve">&lt;-</w:t>
      </w:r>
      <w:r>
        <w:rPr>
          <w:rStyle w:val="NormalTok"/>
        </w:rPr>
        <w:t xml:space="preserve"> </w:t>
      </w:r>
      <w:r>
        <w:rPr>
          <w:rStyle w:val="FloatTok"/>
        </w:rPr>
        <w:t xml:space="preserve">22.4</w:t>
      </w:r>
      <w:r>
        <w:br/>
      </w:r>
      <w:r>
        <w:rPr>
          <w:rStyle w:val="NormalTok"/>
        </w:rPr>
        <w:t xml:space="preserve">M2 </w:t>
      </w:r>
      <w:r>
        <w:rPr>
          <w:rStyle w:val="OtherTok"/>
        </w:rPr>
        <w:t xml:space="preserve">&lt;-</w:t>
      </w:r>
      <w:r>
        <w:rPr>
          <w:rStyle w:val="NormalTok"/>
        </w:rPr>
        <w:t xml:space="preserve"> </w:t>
      </w:r>
      <w:r>
        <w:rPr>
          <w:rStyle w:val="FloatTok"/>
        </w:rPr>
        <w:t xml:space="preserve">20.1</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r </w:t>
      </w:r>
      <w:r>
        <w:rPr>
          <w:rStyle w:val="OtherTok"/>
        </w:rPr>
        <w:t xml:space="preserve">&lt;-</w:t>
      </w:r>
      <w:r>
        <w:rPr>
          <w:rStyle w:val="NormalTok"/>
        </w:rPr>
        <w:t xml:space="preserve"> </w:t>
      </w:r>
      <w:r>
        <w:rPr>
          <w:rStyle w:val="FloatTok"/>
        </w:rPr>
        <w:t xml:space="preserve">0.4</w:t>
      </w:r>
      <w:r>
        <w:br/>
      </w:r>
      <w:r>
        <w:br/>
      </w:r>
      <w:r>
        <w:rPr>
          <w:rStyle w:val="NormalTok"/>
        </w:rPr>
        <w:t xml:space="preserve">lnCVRdep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"CVRC"</w:t>
      </w:r>
      <w:r>
        <w:rPr>
          <w:rStyle w:val="NormalTok"/>
        </w:rPr>
        <w:t xml:space="preserve">,</w:t>
      </w:r>
      <w:r>
        <w:br/>
      </w:r>
      <w:r>
        <w:rPr>
          <w:rStyle w:val="NormalTok"/>
        </w:rPr>
        <w:t xml:space="preserve">  </w:t>
      </w:r>
      <w:r>
        <w:rPr>
          <w:rStyle w:val="AttributeTok"/>
        </w:rPr>
        <w:t xml:space="preserve">m1i =</w:t>
      </w:r>
      <w:r>
        <w:rPr>
          <w:rStyle w:val="NormalTok"/>
        </w:rPr>
        <w:t xml:space="preserve"> M1,</w:t>
      </w:r>
      <w:r>
        <w:br/>
      </w:r>
      <w:r>
        <w:rPr>
          <w:rStyle w:val="NormalTok"/>
        </w:rPr>
        <w:t xml:space="preserve">  </w:t>
      </w:r>
      <w:r>
        <w:rPr>
          <w:rStyle w:val="AttributeTok"/>
        </w:rPr>
        <w:t xml:space="preserve">m2i =</w:t>
      </w:r>
      <w:r>
        <w:rPr>
          <w:rStyle w:val="NormalTok"/>
        </w:rPr>
        <w:t xml:space="preserve"> M2,</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ni =</w:t>
      </w:r>
      <w:r>
        <w:rPr>
          <w:rStyle w:val="NormalTok"/>
        </w:rPr>
        <w:t xml:space="preserve"> n1,</w:t>
      </w:r>
      <w:r>
        <w:br/>
      </w:r>
      <w:r>
        <w:rPr>
          <w:rStyle w:val="NormalTok"/>
        </w:rPr>
        <w:t xml:space="preserve">  </w:t>
      </w:r>
      <w:r>
        <w:rPr>
          <w:rStyle w:val="AttributeTok"/>
        </w:rPr>
        <w:t xml:space="preserve">ri =</w:t>
      </w:r>
      <w:r>
        <w:rPr>
          <w:rStyle w:val="NormalTok"/>
        </w:rPr>
        <w:t xml:space="preserve"> r</w:t>
      </w:r>
      <w:r>
        <w:br/>
      </w:r>
      <w:r>
        <w:rPr>
          <w:rStyle w:val="NormalTok"/>
        </w:rPr>
        <w:t xml:space="preserve">)</w:t>
      </w:r>
      <w:r>
        <w:br/>
      </w:r>
      <w:r>
        <w:br/>
      </w:r>
      <w:r>
        <w:rPr>
          <w:rStyle w:val="NormalTok"/>
        </w:rPr>
        <w:t xml:space="preserve">lnCVRdep</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(lnCVRdep</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lnCVRdep_low </w:t>
      </w:r>
      <w:r>
        <w:rPr>
          <w:rStyle w:val="OtherTok"/>
        </w:rPr>
        <w:t xml:space="preserve">&lt;-</w:t>
      </w:r>
      <w:r>
        <w:rPr>
          <w:rStyle w:val="NormalTok"/>
        </w:rPr>
        <w:t xml:space="preserve"> lnCVRdep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lnCVRdep</w:t>
      </w:r>
      <w:r>
        <w:rPr>
          <w:rStyle w:val="SpecialCharTok"/>
        </w:rPr>
        <w:t xml:space="preserve">$</w:t>
      </w:r>
      <w:r>
        <w:rPr>
          <w:rStyle w:val="NormalTok"/>
        </w:rPr>
        <w:t xml:space="preserve">SE</w:t>
      </w:r>
      <w:r>
        <w:br/>
      </w:r>
      <w:r>
        <w:rPr>
          <w:rStyle w:val="NormalTok"/>
        </w:rPr>
        <w:t xml:space="preserve">lnCVRdep_high </w:t>
      </w:r>
      <w:r>
        <w:rPr>
          <w:rStyle w:val="OtherTok"/>
        </w:rPr>
        <w:t xml:space="preserve">&lt;-</w:t>
      </w:r>
      <w:r>
        <w:rPr>
          <w:rStyle w:val="NormalTok"/>
        </w:rPr>
        <w:t xml:space="preserve"> lnCVRdep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lnCVRdep</w:t>
      </w:r>
      <w:r>
        <w:rPr>
          <w:rStyle w:val="SpecialCharTok"/>
        </w:rPr>
        <w:t xml:space="preserve">$</w:t>
      </w:r>
      <w:r>
        <w:rPr>
          <w:rStyle w:val="NormalTok"/>
        </w:rPr>
        <w:t xml:space="preserve">SE</w:t>
      </w:r>
      <w:r>
        <w:br/>
      </w:r>
      <w:r>
        <w:br/>
      </w:r>
      <w:r>
        <w:rPr>
          <w:rStyle w:val="CommentTok"/>
        </w:rPr>
        <w:t xml:space="preserve"># print the CVR value and confidence intervals</w:t>
      </w:r>
      <w:r>
        <w:br/>
      </w:r>
      <w:r>
        <w:rPr>
          <w:rStyle w:val="FunctionTok"/>
        </w:rPr>
        <w:t xml:space="preserve">data.frame</w:t>
      </w:r>
      <w:r>
        <w:rPr>
          <w:rStyle w:val="NormalTok"/>
        </w:rPr>
        <w:t xml:space="preserve">(</w:t>
      </w:r>
      <w:r>
        <w:rPr>
          <w:rStyle w:val="AttributeTok"/>
        </w:rPr>
        <w:t xml:space="preserve">lnCVRdep =</w:t>
      </w:r>
      <w:r>
        <w:rPr>
          <w:rStyle w:val="NormalTok"/>
        </w:rPr>
        <w:t xml:space="preserve"> MOTE</w:t>
      </w:r>
      <w:r>
        <w:rPr>
          <w:rStyle w:val="SpecialCharTok"/>
        </w:rPr>
        <w:t xml:space="preserve">::</w:t>
      </w:r>
      <w:r>
        <w:rPr>
          <w:rStyle w:val="FunctionTok"/>
        </w:rPr>
        <w:t xml:space="preserve">apa</w:t>
      </w:r>
      <w:r>
        <w:rPr>
          <w:rStyle w:val="NormalTok"/>
        </w:rPr>
        <w:t xml:space="preserve">(lnCVRdep</w:t>
      </w:r>
      <w:r>
        <w:rPr>
          <w:rStyle w:val="SpecialCharTok"/>
        </w:rPr>
        <w:t xml:space="preserve">$</w:t>
      </w:r>
      <w:r>
        <w:rPr>
          <w:rStyle w:val="NormalTok"/>
        </w:rPr>
        <w:t xml:space="preserve">yi),</w:t>
      </w:r>
      <w:r>
        <w:br/>
      </w:r>
      <w:r>
        <w:rPr>
          <w:rStyle w:val="NormalTok"/>
        </w:rPr>
        <w:t xml:space="preserve">           </w:t>
      </w:r>
      <w:r>
        <w:rPr>
          <w:rStyle w:val="AttributeTok"/>
        </w:rPr>
        <w:t xml:space="preserve">lnCVRdep_low =</w:t>
      </w:r>
      <w:r>
        <w:rPr>
          <w:rStyle w:val="NormalTok"/>
        </w:rPr>
        <w:t xml:space="preserve"> MOTE</w:t>
      </w:r>
      <w:r>
        <w:rPr>
          <w:rStyle w:val="SpecialCharTok"/>
        </w:rPr>
        <w:t xml:space="preserve">::</w:t>
      </w:r>
      <w:r>
        <w:rPr>
          <w:rStyle w:val="FunctionTok"/>
        </w:rPr>
        <w:t xml:space="preserve">apa</w:t>
      </w:r>
      <w:r>
        <w:rPr>
          <w:rStyle w:val="NormalTok"/>
        </w:rPr>
        <w:t xml:space="preserve">(lnCVRdep_low),</w:t>
      </w:r>
      <w:r>
        <w:br/>
      </w:r>
      <w:r>
        <w:rPr>
          <w:rStyle w:val="NormalTok"/>
        </w:rPr>
        <w:t xml:space="preserve">           </w:t>
      </w:r>
      <w:r>
        <w:rPr>
          <w:rStyle w:val="AttributeTok"/>
        </w:rPr>
        <w:t xml:space="preserve">lnCVRdep_high =</w:t>
      </w:r>
      <w:r>
        <w:rPr>
          <w:rStyle w:val="NormalTok"/>
        </w:rPr>
        <w:t xml:space="preserve"> MOTE</w:t>
      </w:r>
      <w:r>
        <w:rPr>
          <w:rStyle w:val="SpecialCharTok"/>
        </w:rPr>
        <w:t xml:space="preserve">::</w:t>
      </w:r>
      <w:r>
        <w:rPr>
          <w:rStyle w:val="FunctionTok"/>
        </w:rPr>
        <w:t xml:space="preserve">apa</w:t>
      </w:r>
      <w:r>
        <w:rPr>
          <w:rStyle w:val="NormalTok"/>
        </w:rPr>
        <w:t xml:space="preserve">(lnCVRdep_high))</w:t>
      </w:r>
    </w:p>
    <w:p>
      <w:pPr>
        <w:pStyle w:val="SourceCode"/>
      </w:pPr>
      <w:r>
        <w:rPr>
          <w:rStyle w:val="VerbatimChar"/>
        </w:rPr>
        <w:t xml:space="preserve">  lnCVRdep lnCVRdep_low lnCVRdep_high</w:t>
      </w:r>
      <w:r>
        <w:br/>
      </w:r>
      <w:r>
        <w:rPr>
          <w:rStyle w:val="VerbatimChar"/>
        </w:rPr>
        <w:t xml:space="preserve">1    0.143       -0.120         0.406</w:t>
      </w:r>
    </w:p>
    <w:bookmarkEnd w:id="167"/>
    <w:bookmarkEnd w:id="168"/>
    <w:bookmarkStart w:id="183" w:name="non-parametric-tests"/>
    <w:p>
      <w:pPr>
        <w:pStyle w:val="Heading1"/>
      </w:pPr>
      <w:r>
        <w:t xml:space="preserve">13. Non-Parametric Tests</w:t>
      </w:r>
    </w:p>
    <w:p>
      <w:pPr>
        <w:pStyle w:val="FirstParagraph"/>
      </w:pPr>
      <w:r>
        <w:t xml:space="preserve">Sometimes the assumptions of parametric models (e.g., normality of model residuals) are suspect. This is often the case in psychology when using ordinal scales. In these cases a</w:t>
      </w:r>
      <w:r>
        <w:t xml:space="preserve"> </w:t>
      </w:r>
      <w:r>
        <w:t xml:space="preserve">“</w:t>
      </w:r>
      <w:r>
        <w:t xml:space="preserve">non-parametric</w:t>
      </w:r>
      <w:r>
        <w:t xml:space="preserve">”</w:t>
      </w:r>
      <w:r>
        <w:t xml:space="preserve"> </w:t>
      </w:r>
      <w:r>
        <w:t xml:space="preserve">approach may be helpful. A statistical test being non-parametric means that the parameters (i.e., mean and variance for</w:t>
      </w:r>
      <w:r>
        <w:t xml:space="preserve"> </w:t>
      </w:r>
      <w:r>
        <w:t xml:space="preserve">“</w:t>
      </w:r>
      <w:r>
        <w:t xml:space="preserve">normal</w:t>
      </w:r>
      <w:r>
        <w:t xml:space="preserve">”</w:t>
      </w:r>
      <w:r>
        <w:t xml:space="preserve"> </w:t>
      </w:r>
      <w:r>
        <w:t xml:space="preserve">Gaussian model) are not estimated; despite popular belief the data themselves are</w:t>
      </w:r>
      <w:r>
        <w:t xml:space="preserve"> </w:t>
      </w:r>
      <w:r>
        <w:rPr>
          <w:iCs/>
          <w:i/>
        </w:rPr>
        <w:t xml:space="preserve">never</w:t>
      </w:r>
      <w:r>
        <w:t xml:space="preserve"> </w:t>
      </w:r>
      <w:r>
        <w:t xml:space="preserve">non-parametric. Additionally, these tests are</w:t>
      </w:r>
      <w:r>
        <w:t xml:space="preserve"> </w:t>
      </w:r>
      <w:r>
        <w:rPr>
          <w:iCs/>
          <w:i/>
        </w:rPr>
        <w:t xml:space="preserve">not</w:t>
      </w:r>
      <w:r>
        <w:t xml:space="preserve"> </w:t>
      </w:r>
      <w:r>
        <w:t xml:space="preserve">tests of the median</w:t>
      </w:r>
      <w:r>
        <w:t xml:space="preserve"> </w:t>
      </w:r>
      <w:r>
        <w:t xml:space="preserve">(Divine et al. 2018)</w:t>
      </w:r>
      <w:r>
        <w:t xml:space="preserve">. Rather one can consider than as rank based or proportional odds tests. If the scores you are analyzing are not metric (i.e., ordinal) due to the use of a Likert-Scale and you still use parametric tests such as t-tests, you run the risk of a high false-positive probability (e.g.,</w:t>
      </w:r>
      <w:r>
        <w:t xml:space="preserve"> </w:t>
      </w:r>
      <w:r>
        <w:t xml:space="preserve">Liddell and Kruschke (2018)</w:t>
      </w:r>
      <w:r>
        <w:t xml:space="preserve">).</w:t>
      </w:r>
    </w:p>
    <w:p>
      <w:pPr>
        <w:pStyle w:val="BodyText"/>
      </w:pPr>
      <w:r>
        <w:t xml:space="preserve">If the scores you are analyzing are not metric (i.e., ordinal) due to the use of a Likert scale and you still use parametric tests such as t-tests, you run the risk of a high false-positive probability (e.g., Liddel &amp; Kruschke, 2018). Note that in German, scale anchors have been developed that are very similar to Likert scale but can be interpreted as metric (e.g., Rohrmann, 1978).</w:t>
      </w:r>
    </w:p>
    <w:p>
      <w:pPr>
        <w:pStyle w:val="BodyText"/>
      </w:pPr>
      <w:r>
        <w:t xml:space="preserve">We will briefly discuss here two groups of tests that can be applied to the independent and paired samples then present 3 effect sizes that can accompany these tests as well as their calculations and examples in R.</w:t>
      </w:r>
    </w:p>
    <w:bookmarkStart w:id="169" w:name="wilcoxon-mann-whitney-tests"/>
    <w:p>
      <w:pPr>
        <w:pStyle w:val="Heading2"/>
      </w:pPr>
      <w:r>
        <w:t xml:space="preserve">13.1 Wilcoxon-Mann-Whitney tests</w:t>
      </w:r>
    </w:p>
    <w:p>
      <w:pPr>
        <w:pStyle w:val="FirstParagraph"/>
      </w:pPr>
      <w:r>
        <w:t xml:space="preserve">A non-parametric alternative to the t-test is the Wilcoxon-Mann-Whitney (WMW) group of tests. When comparing two independent samples this is called a Wilcoxon rank-sum test, but sometimes referred to as a Mann-Whitney U Test. When using it on paired samples, or one sample, it is a signed rank test. These are generally referred to as tests of</w:t>
      </w:r>
      <w:r>
        <w:t xml:space="preserve"> </w:t>
      </w:r>
      <w:r>
        <w:t xml:space="preserve">“</w:t>
      </w:r>
      <w:r>
        <w:t xml:space="preserve">symmetry</w:t>
      </w:r>
      <w:r>
        <w:t xml:space="preserve">”</w:t>
      </w:r>
      <w:r>
        <w:t xml:space="preserve"> </w:t>
      </w:r>
      <w:r>
        <w:t xml:space="preserve">(Divine et al. 2018)</w:t>
      </w:r>
      <w:r>
        <w:t xml:space="preserve">.</w:t>
      </w:r>
    </w:p>
    <w:p>
      <w:pPr>
        <w:pStyle w:val="SourceCode"/>
      </w:pPr>
      <w:r>
        <w:rPr>
          <w:rStyle w:val="CommentTok"/>
        </w:rPr>
        <w:t xml:space="preserve"># Paired samples ---- </w:t>
      </w:r>
      <w:r>
        <w:br/>
      </w:r>
      <w:r>
        <w:br/>
      </w:r>
      <w:r>
        <w:rPr>
          <w:rStyle w:val="FunctionTok"/>
        </w:rPr>
        <w:t xml:space="preserve">data</w:t>
      </w:r>
      <w:r>
        <w:rPr>
          <w:rStyle w:val="NormalTok"/>
        </w:rPr>
        <w:t xml:space="preserve">(sleep)</w:t>
      </w:r>
      <w:r>
        <w:br/>
      </w:r>
      <w:r>
        <w:br/>
      </w:r>
      <w:r>
        <w:rPr>
          <w:rStyle w:val="CommentTok"/>
        </w:rPr>
        <w:t xml:space="preserve"># wilcoxon test</w:t>
      </w:r>
      <w:r>
        <w:br/>
      </w:r>
      <w:r>
        <w:rPr>
          <w:rStyle w:val="FunctionTok"/>
        </w:rPr>
        <w:t xml:space="preserve">wilcox.test</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wilcox.test</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69"/>
    <w:bookmarkStart w:id="171" w:name="brunner-munzel-tests"/>
    <w:p>
      <w:pPr>
        <w:pStyle w:val="Heading2"/>
      </w:pPr>
      <w:r>
        <w:t xml:space="preserve">13.2 Brunner-Munzel Tests</w:t>
      </w:r>
    </w:p>
    <w:p>
      <w:pPr>
        <w:pStyle w:val="FirstParagraph"/>
      </w:pPr>
      <w:r>
        <w:t xml:space="preserve">Brunner-Munzel’s tests can be used instead of the WMW tests. The primary reason is the interpretation of the test</w:t>
      </w:r>
      <w:r>
        <w:t xml:space="preserve"> </w:t>
      </w:r>
      <w:r>
        <w:t xml:space="preserve">(Munzel and Brunner 2002; Brunner and Munzel 2000; Neubert and Brunner 2007)</w:t>
      </w:r>
      <w:r>
        <w:t xml:space="preserve">. Recently,</w:t>
      </w:r>
      <w:r>
        <w:t xml:space="preserve"> </w:t>
      </w:r>
      <w:r>
        <w:t xml:space="preserve">Karch (2021)</w:t>
      </w:r>
      <w:r>
        <w:t xml:space="preserve"> </w:t>
      </w:r>
      <w:r>
        <w:t xml:space="preserve">argued that the Mann-Whitney test is not a decent test of equality of medians, distributions or stochastic equality. The Brunner-Munzel test, on the other hand, provides a sensible approach to test for stochastic equality.</w:t>
      </w:r>
    </w:p>
    <w:p>
      <w:pPr>
        <w:pStyle w:val="BodyText"/>
      </w:pPr>
      <w:r>
        <w:t xml:space="preserve">The Brunner-Munzel tests measure a rank based</w:t>
      </w:r>
      <w:r>
        <w:t xml:space="preserve"> </w:t>
      </w:r>
      <w:r>
        <w:t xml:space="preserve">“</w:t>
      </w:r>
      <w:r>
        <w:t xml:space="preserve">relative effect</w:t>
      </w:r>
      <w:r>
        <w:t xml:space="preserve">”</w:t>
      </w:r>
      <w:r>
        <w:t xml:space="preserve"> </w:t>
      </w:r>
      <w:r>
        <w:t xml:space="preserve">or</w:t>
      </w:r>
      <w:r>
        <w:t xml:space="preserve"> </w:t>
      </w:r>
      <w:r>
        <w:t xml:space="preserve">“</w:t>
      </w:r>
      <w:r>
        <w:t xml:space="preserve">stochastic superiority probability</w:t>
      </w:r>
      <w:r>
        <w:t xml:space="preserve">”</w:t>
      </w:r>
      <w:r>
        <w:t xml:space="preserve">. The test statistic (</w:t>
      </w:r>
      <m:oMath>
        <m:acc>
          <m:accPr>
            <m:chr m:val="̂"/>
          </m:accPr>
          <m:e>
            <m:r>
              <m:t>p</m:t>
            </m:r>
          </m:e>
        </m:acc>
      </m:oMath>
      <w:r>
        <w:t xml:space="preserve">) is essentially the probability of a value in one condition being greater than other while splitting the ties</w:t>
      </w:r>
      <w:r>
        <w:rPr>
          <w:rStyle w:val="FootnoteReference"/>
        </w:rPr>
        <w:footnoteReference w:id="170"/>
      </w:r>
      <w:r>
        <w:t xml:space="preserve">. However, Brunner-Munzel tests can not be applied to the single group or one-sample designs.</w:t>
      </w:r>
    </w:p>
    <w:p>
      <w:pPr>
        <w:pStyle w:val="BodyText"/>
      </w:pPr>
      <m:oMathPara>
        <m:oMathParaPr>
          <m:jc m:val="center"/>
        </m:oMathParaPr>
        <m:oMath>
          <m:acc>
            <m:accPr>
              <m:chr m:val="̂"/>
            </m:accPr>
            <m:e>
              <m:r>
                <m:t>p</m:t>
              </m:r>
            </m:e>
          </m:acc>
          <m:r>
            <m:rPr>
              <m:sty m:val="p"/>
            </m:rPr>
            <m:t>=</m:t>
          </m:r>
          <m:r>
            <m:t>P</m:t>
          </m:r>
          <m:d>
            <m:dPr>
              <m:begChr m:val="("/>
              <m:endChr m:val=")"/>
              <m:sepChr m:val=""/>
              <m:grow/>
            </m:dPr>
            <m:e>
              <m:r>
                <m:t>X</m:t>
              </m:r>
              <m:r>
                <m:rPr>
                  <m:sty m:val="p"/>
                </m:rPr>
                <m:t>&lt;</m:t>
              </m:r>
              <m:r>
                <m:t>Y</m:t>
              </m:r>
            </m:e>
          </m:d>
          <m:r>
            <m:rPr>
              <m:sty m:val="p"/>
            </m:rPr>
            <m:t>+</m:t>
          </m:r>
          <m:f>
            <m:fPr>
              <m:type m:val="bar"/>
            </m:fPr>
            <m:num>
              <m:r>
                <m:t>1</m:t>
              </m:r>
            </m:num>
            <m:den>
              <m:r>
                <m:t>2</m:t>
              </m:r>
            </m:den>
          </m:f>
          <m:r>
            <m:rPr>
              <m:sty m:val="p"/>
            </m:rPr>
            <m:t>⋅</m:t>
          </m:r>
          <m:r>
            <m:t>P</m:t>
          </m:r>
          <m:d>
            <m:dPr>
              <m:begChr m:val="("/>
              <m:endChr m:val=")"/>
              <m:sepChr m:val=""/>
              <m:grow/>
            </m:dPr>
            <m:e>
              <m:r>
                <m:t>X</m:t>
              </m:r>
              <m:r>
                <m:rPr>
                  <m:sty m:val="p"/>
                </m:rPr>
                <m:t>=</m:t>
              </m:r>
              <m:r>
                <m:t>Y</m:t>
              </m:r>
            </m:e>
          </m:d>
        </m:oMath>
      </m:oMathPara>
    </w:p>
    <w:p>
      <w:pPr>
        <w:pStyle w:val="FirstParagraph"/>
      </w:pPr>
      <w:r>
        <w:t xml:space="preserve">These tests are relatively new so there are very few packages offer Brunner-Munzel. Moreover,</w:t>
      </w:r>
      <w:r>
        <w:t xml:space="preserve"> </w:t>
      </w:r>
      <w:r>
        <w:t xml:space="preserve">Karch (2021)</w:t>
      </w:r>
      <w:r>
        <w:t xml:space="preserve"> </w:t>
      </w:r>
      <w:r>
        <w:t xml:space="preserve">argues that the stochastic superiority effect size (</w:t>
      </w:r>
      <m:oMath>
        <m:acc>
          <m:accPr>
            <m:chr m:val="̂"/>
          </m:accPr>
          <m:e>
            <m:r>
              <m:t>p</m:t>
            </m:r>
          </m:e>
        </m:acc>
      </m:oMath>
      <w:r>
        <w:t xml:space="preserve">) offers a nuanced way to interpret group differences by visualizing observations as competitors in a contest. Propounded by scholars like</w:t>
      </w:r>
      <w:r>
        <w:t xml:space="preserve"> </w:t>
      </w:r>
      <w:r>
        <w:t xml:space="preserve">Cliff (1993)</w:t>
      </w:r>
      <w:r>
        <w:t xml:space="preserve"> </w:t>
      </w:r>
      <w:r>
        <w:t xml:space="preserve">and</w:t>
      </w:r>
      <w:r>
        <w:t xml:space="preserve"> </w:t>
      </w:r>
      <w:r>
        <w:t xml:space="preserve">Divine et al. (2018)</w:t>
      </w:r>
      <w:r>
        <w:t xml:space="preserve">, it views each observation from one group in a duel with every observation from another. If an observation from the first group surpasses its counterpart, it</w:t>
      </w:r>
      <w:r>
        <w:t xml:space="preserve"> </w:t>
      </w:r>
      <w:r>
        <w:t xml:space="preserve">“</w:t>
      </w:r>
      <w:r>
        <w:t xml:space="preserve">wins,</w:t>
      </w:r>
      <w:r>
        <w:t xml:space="preserve">”</w:t>
      </w:r>
      <w:r>
        <w:t xml:space="preserve"> </w:t>
      </w:r>
      <w:r>
        <w:t xml:space="preserve">and the group garners a point; tied observations yield half a point to each group. This concept can be further elucidated through a bubble plot, where placement above, below, or on the diagonal indicates the dominance of one group’s observation over the other. Other interpretations, like transforming p to the Wilcoxon-Mann-Whitney (WMW) odds or Cliff’s δ offer deeper insights. There are implementations of the Brunner-Munzel test in a few packages in R (i.e. </w:t>
      </w:r>
      <w:r>
        <w:rPr>
          <w:rStyle w:val="VerbatimChar"/>
        </w:rPr>
        <w:t xml:space="preserve">lawstat</w:t>
      </w:r>
      <w:r>
        <w:t xml:space="preserve">,</w:t>
      </w:r>
      <w:r>
        <w:t xml:space="preserve"> </w:t>
      </w:r>
      <w:r>
        <w:rPr>
          <w:rStyle w:val="VerbatimChar"/>
        </w:rPr>
        <w:t xml:space="preserve">rankFD</w:t>
      </w:r>
      <w:r>
        <w:t xml:space="preserve">, and</w:t>
      </w:r>
      <w:r>
        <w:t xml:space="preserve"> </w:t>
      </w:r>
      <w:r>
        <w:rPr>
          <w:rStyle w:val="VerbatimChar"/>
        </w:rPr>
        <w:t xml:space="preserve">brunnermunzel</w:t>
      </w:r>
      <w:r>
        <w:t xml:space="preserve">).</w:t>
      </w:r>
      <w:r>
        <w:t xml:space="preserve"> </w:t>
      </w:r>
      <w:r>
        <w:t xml:space="preserve">Karch (2021)</w:t>
      </w:r>
      <w:r>
        <w:t xml:space="preserve"> </w:t>
      </w:r>
      <w:r>
        <w:t xml:space="preserve">recommends the</w:t>
      </w:r>
      <w:r>
        <w:t xml:space="preserve"> </w:t>
      </w:r>
      <w:r>
        <w:rPr>
          <w:rStyle w:val="VerbatimChar"/>
        </w:rPr>
        <w:t xml:space="preserve">brunnermunzel.permutation.test</w:t>
      </w:r>
      <w:r>
        <w:t xml:space="preserve"> </w:t>
      </w:r>
      <w:r>
        <w:t xml:space="preserve">function from the</w:t>
      </w:r>
      <w:r>
        <w:t xml:space="preserve"> </w:t>
      </w:r>
      <w:r>
        <w:rPr>
          <w:rStyle w:val="VerbatimChar"/>
        </w:rPr>
        <w:t xml:space="preserve">brunnermunzel</w:t>
      </w:r>
      <w:r>
        <w:t xml:space="preserve"> </w:t>
      </w:r>
      <w:r>
        <w:t xml:space="preserve">package. The</w:t>
      </w:r>
      <w:r>
        <w:t xml:space="preserve"> </w:t>
      </w:r>
      <w:r>
        <w:rPr>
          <w:rStyle w:val="VerbatimChar"/>
        </w:rPr>
        <w:t xml:space="preserve">TOSTER</w:t>
      </w:r>
      <w:r>
        <w:t xml:space="preserve"> </w:t>
      </w:r>
      <w:r>
        <w:t xml:space="preserve">R package can also provide coverage</w:t>
      </w:r>
      <w:r>
        <w:t xml:space="preserve"> </w:t>
      </w:r>
      <w:r>
        <w:t xml:space="preserve">(Läkens 2017; Caldwell 2022)</w:t>
      </w:r>
      <w:r>
        <w:t xml:space="preserve">.</w:t>
      </w:r>
    </w:p>
    <w:p>
      <w:pPr>
        <w:pStyle w:val="SourceCode"/>
      </w:pPr>
      <w:r>
        <w:rPr>
          <w:rStyle w:val="CommentTok"/>
        </w:rPr>
        <w:t xml:space="preserve"># Install package for data cleaning</w:t>
      </w:r>
      <w:r>
        <w:br/>
      </w:r>
      <w:r>
        <w:rPr>
          <w:rStyle w:val="CommentTok"/>
        </w:rPr>
        <w:t xml:space="preserve"># install.packages('janitor')</w:t>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CommentTok"/>
        </w:rPr>
        <w:t xml:space="preserve"># Paired samples</w:t>
      </w:r>
      <w:r>
        <w:br/>
      </w:r>
      <w:r>
        <w:rPr>
          <w:rStyle w:val="FunctionTok"/>
        </w:rPr>
        <w:t xml:space="preserve">library</w:t>
      </w:r>
      <w:r>
        <w:rPr>
          <w:rStyle w:val="NormalTok"/>
        </w:rPr>
        <w:t xml:space="preserve">(TOSTER)</w:t>
      </w:r>
      <w:r>
        <w:br/>
      </w:r>
      <w:r>
        <w:rPr>
          <w:rStyle w:val="FunctionTok"/>
        </w:rPr>
        <w:t xml:space="preserve">data</w:t>
      </w:r>
      <w:r>
        <w:rPr>
          <w:rStyle w:val="NormalTok"/>
        </w:rPr>
        <w:t xml:space="preserve">(sleep)</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brunner_munzel</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Paired Brunner-Munzel permutation test</w:t>
      </w:r>
      <w:r>
        <w:br/>
      </w:r>
      <w:r>
        <w:br/>
      </w:r>
      <w:r>
        <w:rPr>
          <w:rStyle w:val="VerbatimChar"/>
        </w:rPr>
        <w:t xml:space="preserve">data:  extra by group</w:t>
      </w:r>
      <w:r>
        <w:br/>
      </w:r>
      <w:r>
        <w:rPr>
          <w:rStyle w:val="VerbatimChar"/>
        </w:rPr>
        <w:t xml:space="preserve">t = -3.7266, df = 9, p-value = 0.003906</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0.1233862 0.3866138</w:t>
      </w:r>
      <w:r>
        <w:br/>
      </w:r>
      <w:r>
        <w:rPr>
          <w:rStyle w:val="VerbatimChar"/>
        </w:rPr>
        <w:t xml:space="preserve">sample estimates:</w:t>
      </w:r>
      <w:r>
        <w:br/>
      </w:r>
      <w:r>
        <w:rPr>
          <w:rStyle w:val="VerbatimChar"/>
        </w:rPr>
        <w:t xml:space="preserve">p(X&lt;Y) + .5*P(X=Y) </w:t>
      </w:r>
      <w:r>
        <w:br/>
      </w:r>
      <w:r>
        <w:rPr>
          <w:rStyle w:val="VerbatimChar"/>
        </w:rPr>
        <w:t xml:space="preserve">             0.255 </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NormalTok"/>
        </w:rPr>
        <w:t xml:space="preserve">TOSTER</w:t>
      </w:r>
      <w:r>
        <w:rPr>
          <w:rStyle w:val="SpecialCharTok"/>
        </w:rPr>
        <w:t xml:space="preserve">::</w:t>
      </w:r>
      <w:r>
        <w:rPr>
          <w:rStyle w:val="FunctionTok"/>
        </w:rPr>
        <w:t xml:space="preserve">brunner_munzel</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br/>
      </w:r>
      <w:r>
        <w:rPr>
          <w:rStyle w:val="NormalTok"/>
        </w:rPr>
        <w:t xml:space="preserve">)</w:t>
      </w:r>
    </w:p>
    <w:p>
      <w:pPr>
        <w:pStyle w:val="SourceCode"/>
      </w:pPr>
      <w:r>
        <w:br/>
      </w:r>
      <w:r>
        <w:rPr>
          <w:rStyle w:val="VerbatimChar"/>
        </w:rPr>
        <w:t xml:space="preserve">    two-sample Brunner-Munzel permutation test</w:t>
      </w:r>
      <w:r>
        <w:br/>
      </w:r>
      <w:r>
        <w:br/>
      </w:r>
      <w:r>
        <w:rPr>
          <w:rStyle w:val="VerbatimChar"/>
        </w:rPr>
        <w:t xml:space="preserve">data:  rank(math_relates_to_my_life) by gender</w:t>
      </w:r>
      <w:r>
        <w:br/>
      </w:r>
      <w:r>
        <w:rPr>
          <w:rStyle w:val="VerbatimChar"/>
        </w:rPr>
        <w:t xml:space="preserve">t = -2.1665, df = 17.953, p-value = 0.0642</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0.04761905 0.54961243</w:t>
      </w:r>
      <w:r>
        <w:br/>
      </w:r>
      <w:r>
        <w:rPr>
          <w:rStyle w:val="VerbatimChar"/>
        </w:rPr>
        <w:t xml:space="preserve">sample estimates:</w:t>
      </w:r>
      <w:r>
        <w:br/>
      </w:r>
      <w:r>
        <w:rPr>
          <w:rStyle w:val="VerbatimChar"/>
        </w:rPr>
        <w:t xml:space="preserve">p(X&lt;Y) + .5*P(X=Y) </w:t>
      </w:r>
      <w:r>
        <w:br/>
      </w:r>
      <w:r>
        <w:rPr>
          <w:rStyle w:val="VerbatimChar"/>
        </w:rPr>
        <w:t xml:space="preserve">         0.2738095 </w:t>
      </w:r>
    </w:p>
    <w:bookmarkEnd w:id="171"/>
    <w:bookmarkStart w:id="182" w:name="rank-based-effect-sizes"/>
    <w:p>
      <w:pPr>
        <w:pStyle w:val="Heading2"/>
      </w:pPr>
      <w:r>
        <w:t xml:space="preserve">13.3 Rank-Based Effect Sizes</w:t>
      </w:r>
    </w:p>
    <w:p>
      <w:pPr>
        <w:pStyle w:val="FirstParagraph"/>
      </w:pPr>
      <w:r>
        <w:t xml:space="preserve">Since the mean and standard deviation are not estimated for a WMW or Brunner-Munzel test, it would be inappropriate to present a standardized mean difference (e.g., Cohen’s d) to accompany these tests. Instead, a rank based effect size (i.e., based on the ranks of the observed values) can be reported to accompany the non-parametric statistical tests.</w:t>
      </w:r>
    </w:p>
    <w:bookmarkStart w:id="175" w:name="rank-biserial-correlation"/>
    <w:p>
      <w:pPr>
        <w:pStyle w:val="Heading3"/>
      </w:pPr>
      <w:r>
        <w:t xml:space="preserve">13.3.1 Rank-Biserial Correlation</w:t>
      </w:r>
    </w:p>
    <w:p>
      <w:pPr>
        <w:pStyle w:val="FirstParagraph"/>
      </w:pPr>
      <w:r>
        <w:t xml:space="preserve">The rank-biserial correlation (</w:t>
      </w:r>
      <m:oMath>
        <m:sSub>
          <m:e>
            <m:r>
              <m:t>r</m:t>
            </m:r>
          </m:e>
          <m:sub>
            <m:r>
              <m:t>r</m:t>
            </m:r>
            <m:r>
              <m:t>b</m:t>
            </m:r>
          </m:sub>
        </m:sSub>
      </m:oMath>
      <w:r>
        <w:t xml:space="preserve">) is considered a measure of dominance. The correlation represents the difference between the proportion of favorable and unfavorable pairs or signed ranks. Larger values indicate that more of X is larger than more of Y, with a value of (−1) indicates that all observations in the second,</w:t>
      </w:r>
      <w:r>
        <w:t xml:space="preserve"> </w:t>
      </w:r>
      <m:oMath>
        <m:r>
          <m:t>Y</m:t>
        </m:r>
      </m:oMath>
      <w:r>
        <w:t xml:space="preserve">, group are larger than the first,</w:t>
      </w:r>
      <w:r>
        <w:t xml:space="preserve"> </w:t>
      </w:r>
      <m:oMath>
        <m:r>
          <m:t>X</m:t>
        </m:r>
      </m:oMath>
      <w:r>
        <w:t xml:space="preserve">, group, and a value of (+1) indicates that all observations in the first group are larger than the second.</w:t>
      </w:r>
    </w:p>
    <w:bookmarkStart w:id="172" w:name="paired-samples-calculation"/>
    <w:p>
      <w:pPr>
        <w:pStyle w:val="Heading4"/>
      </w:pPr>
      <w:r>
        <w:t xml:space="preserve">Paired Samples Calculation</w:t>
      </w:r>
    </w:p>
    <w:p>
      <w:pPr>
        <w:numPr>
          <w:ilvl w:val="0"/>
          <w:numId w:val="1012"/>
        </w:numPr>
        <w:pStyle w:val="Compact"/>
      </w:pPr>
      <w:r>
        <w:t xml:space="preserve">Calculate difference scores between pairs:</w:t>
      </w:r>
    </w:p>
    <w:p>
      <w:pPr>
        <w:pStyle w:val="FirstParagraph"/>
      </w:pPr>
      <m:oMathPara>
        <m:oMathParaPr>
          <m:jc m:val="center"/>
        </m:oMathParaPr>
        <m:oMath>
          <m:r>
            <m:t>D</m:t>
          </m:r>
          <m:r>
            <m:rPr>
              <m:sty m:val="p"/>
            </m:rPr>
            <m:t>=</m:t>
          </m:r>
          <m:sSub>
            <m:e>
              <m:r>
                <m:t>X</m:t>
              </m:r>
            </m:e>
            <m:sub>
              <m:r>
                <m:t>2</m:t>
              </m:r>
            </m:sub>
          </m:sSub>
          <m:r>
            <m:rPr>
              <m:sty m:val="p"/>
            </m:rPr>
            <m:t>−</m:t>
          </m:r>
          <m:sSub>
            <m:e>
              <m:r>
                <m:t>X</m:t>
              </m:r>
            </m:e>
            <m:sub>
              <m:r>
                <m:t>1</m:t>
              </m:r>
            </m:sub>
          </m:sSub>
        </m:oMath>
      </m:oMathPara>
    </w:p>
    <w:p>
      <w:pPr>
        <w:numPr>
          <w:ilvl w:val="0"/>
          <w:numId w:val="1013"/>
        </w:numPr>
        <w:pStyle w:val="Compact"/>
      </w:pPr>
      <w:r>
        <w:t xml:space="preserve">Calculate the positive and negative rank sums:</w:t>
      </w:r>
    </w:p>
    <w:p>
      <w:pPr>
        <w:pStyle w:val="FirstParagraph"/>
      </w:pPr>
      <m:oMathPara>
        <m:oMathParaPr>
          <m:jc m:val="center"/>
        </m:oMathParaPr>
        <m:oMath>
          <m:r>
            <m:rPr>
              <m:nor/>
              <m:sty m:val="p"/>
            </m:rPr>
            <m:t>When </m:t>
          </m:r>
          <m:sSub>
            <m:e>
              <m:r>
                <m:t>D</m:t>
              </m:r>
            </m:e>
            <m:sub>
              <m:r>
                <m:t>i</m:t>
              </m:r>
            </m:sub>
          </m:sSub>
          <m:r>
            <m:rPr>
              <m:sty m:val="p"/>
            </m:rPr>
            <m:t>&gt;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pStyle w:val="FirstParagraph"/>
      </w:pPr>
      <m:oMathPara>
        <m:oMathParaPr>
          <m:jc m:val="center"/>
        </m:oMathParaPr>
        <m:oMath>
          <m:r>
            <m:rPr>
              <m:nor/>
              <m:sty m:val="p"/>
            </m:rPr>
            <m:t>When </m:t>
          </m:r>
          <m:sSub>
            <m:e>
              <m:r>
                <m:t>D</m:t>
              </m:r>
            </m:e>
            <m:sub>
              <m:r>
                <m:t>i</m:t>
              </m:r>
            </m:sub>
          </m:sSub>
          <m:r>
            <m:rPr>
              <m:sty m:val="p"/>
            </m:rPr>
            <m:t>&lt;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numPr>
          <w:ilvl w:val="0"/>
          <w:numId w:val="1014"/>
        </w:numPr>
        <w:pStyle w:val="Compact"/>
      </w:pPr>
      <w:r>
        <w:t xml:space="preserve">We can set a constant,</w:t>
      </w:r>
      <w:r>
        <w:t xml:space="preserve"> </w:t>
      </w:r>
      <m:oMath>
        <m:r>
          <m:t>H</m:t>
        </m:r>
      </m:oMath>
      <w:r>
        <w:t xml:space="preserve">, to be -1 when the rank positive rank sum is greater than or equal to the negative rank sum (</w:t>
      </w:r>
      <m:oMath>
        <m:sSub>
          <m:e>
            <m:r>
              <m:t>R</m:t>
            </m:r>
          </m:e>
          <m:sub>
            <m:r>
              <m:rPr>
                <m:sty m:val="p"/>
              </m:rPr>
              <m:t>⊕</m:t>
            </m:r>
          </m:sub>
        </m:sSub>
        <m:r>
          <m:rPr>
            <m:sty m:val="p"/>
          </m:rPr>
          <m:t>≥</m:t>
        </m:r>
        <m:sSub>
          <m:e>
            <m:r>
              <m:t>R</m:t>
            </m:r>
          </m:e>
          <m:sub>
            <m:r>
              <m:rPr>
                <m:sty m:val="p"/>
              </m:rPr>
              <m:t>⊖</m:t>
            </m:r>
          </m:sub>
        </m:sSub>
      </m:oMath>
      <w:r>
        <w:t xml:space="preserve">) or we can set</w:t>
      </w:r>
      <w:r>
        <w:t xml:space="preserve"> </w:t>
      </w:r>
      <m:oMath>
        <m:r>
          <m:t>H</m:t>
        </m:r>
      </m:oMath>
      <w:r>
        <w:t xml:space="preserve"> </w:t>
      </w:r>
      <w:r>
        <w:t xml:space="preserve">to 1 when the rank positive rank sum is less than the negative rank sum (</w:t>
      </w:r>
      <m:oMath>
        <m:sSub>
          <m:e>
            <m:r>
              <m:t>R</m:t>
            </m:r>
          </m:e>
          <m:sub>
            <m:r>
              <m:rPr>
                <m:sty m:val="p"/>
              </m:rPr>
              <m:t>⊕</m:t>
            </m:r>
          </m:sub>
        </m:sSub>
        <m:r>
          <m:rPr>
            <m:sty m:val="p"/>
          </m:rPr>
          <m:t>&lt;</m:t>
        </m:r>
        <m:sSub>
          <m:e>
            <m:r>
              <m:t>R</m:t>
            </m:r>
          </m:e>
          <m:sub>
            <m:r>
              <m:rPr>
                <m:sty m:val="p"/>
              </m:rPr>
              <m:t>⊖</m:t>
            </m:r>
          </m:sub>
        </m:sSub>
      </m:oMath>
      <w:r>
        <w:t xml:space="preserve">).</w:t>
      </w:r>
    </w:p>
    <w:p>
      <w:pPr>
        <w:pStyle w:val="FirstParagraph"/>
      </w:pPr>
      <m:oMathPara>
        <m:oMathParaPr>
          <m:jc m:val="center"/>
        </m:oMathParaPr>
        <m:oMath>
          <m:r>
            <m:t>H</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t>
                    </m:r>
                    <m:r>
                      <m:t>1</m:t>
                    </m:r>
                  </m:e>
                  <m:e>
                    <m:sSub>
                      <m:e>
                        <m:r>
                          <m:t>R</m:t>
                        </m:r>
                      </m:e>
                      <m:sub>
                        <m:r>
                          <m:rPr>
                            <m:sty m:val="p"/>
                          </m:rPr>
                          <m:t>⊕</m:t>
                        </m:r>
                      </m:sub>
                    </m:sSub>
                    <m:r>
                      <m:rPr>
                        <m:sty m:val="p"/>
                      </m:rPr>
                      <m:t>≥</m:t>
                    </m:r>
                    <m:sSub>
                      <m:e>
                        <m:r>
                          <m:t>R</m:t>
                        </m:r>
                      </m:e>
                      <m:sub>
                        <m:r>
                          <m:rPr>
                            <m:sty m:val="p"/>
                          </m:rPr>
                          <m:t>⊖</m:t>
                        </m:r>
                      </m:sub>
                    </m:sSub>
                  </m:e>
                </m:mr>
                <m:mr>
                  <m:e>
                    <m:r>
                      <m:t>1</m:t>
                    </m:r>
                  </m:e>
                  <m:e>
                    <m:sSub>
                      <m:e>
                        <m:r>
                          <m:t>R</m:t>
                        </m:r>
                      </m:e>
                      <m:sub>
                        <m:r>
                          <m:rPr>
                            <m:sty m:val="p"/>
                          </m:rPr>
                          <m:t>⊕</m:t>
                        </m:r>
                      </m:sub>
                    </m:sSub>
                    <m:r>
                      <m:rPr>
                        <m:sty m:val="p"/>
                      </m:rPr>
                      <m:t>&lt;</m:t>
                    </m:r>
                    <m:sSub>
                      <m:e>
                        <m:r>
                          <m:t>R</m:t>
                        </m:r>
                      </m:e>
                      <m:sub>
                        <m:r>
                          <m:rPr>
                            <m:sty m:val="p"/>
                          </m:rPr>
                          <m:t>⊖</m:t>
                        </m:r>
                      </m:sub>
                    </m:sSub>
                  </m:e>
                </m:mr>
              </m:m>
            </m:e>
          </m:d>
        </m:oMath>
      </m:oMathPara>
    </w:p>
    <w:p>
      <w:pPr>
        <w:numPr>
          <w:ilvl w:val="0"/>
          <w:numId w:val="1015"/>
        </w:numPr>
        <w:pStyle w:val="Compact"/>
      </w:pPr>
      <w:r>
        <w:t xml:space="preserve">Calculate rank-biserial correlation:</w:t>
      </w:r>
    </w:p>
    <w:p>
      <w:pPr>
        <w:pStyle w:val="FirstParagraph"/>
      </w:pPr>
      <m:oMathPara>
        <m:oMathParaPr>
          <m:jc m:val="center"/>
        </m:oMathParaPr>
        <m:oMath>
          <m:sSub>
            <m:e>
              <m:r>
                <m:t>r</m:t>
              </m:r>
            </m:e>
            <m:sub>
              <m:r>
                <m:t>r</m:t>
              </m:r>
              <m:r>
                <m:t>b</m:t>
              </m:r>
            </m:sub>
          </m:sSub>
          <m:r>
            <m:rPr>
              <m:sty m:val="p"/>
            </m:rPr>
            <m:t>=</m:t>
          </m:r>
          <m:r>
            <m:t>4</m:t>
          </m:r>
          <m:r>
            <m:t>H</m:t>
          </m:r>
          <m:r>
            <m:rPr>
              <m:sty m:val="p"/>
            </m:rPr>
            <m:t>×</m:t>
          </m:r>
          <m:d>
            <m:dPr>
              <m:begChr m:val="|"/>
              <m:endChr m:val="|"/>
              <m:sepChr m:val=""/>
              <m:grow/>
            </m:dPr>
            <m:e>
              <m:f>
                <m:fPr>
                  <m:type m:val="bar"/>
                </m:fPr>
                <m:num>
                  <m:r>
                    <m:rPr>
                      <m:sty m:val="p"/>
                    </m:rPr>
                    <m:t>min</m:t>
                  </m:r>
                  <m:d>
                    <m:dPr>
                      <m:begChr m:val="("/>
                      <m:endChr m:val=")"/>
                      <m:sepChr m:val=""/>
                      <m:grow/>
                    </m:dPr>
                    <m:e>
                      <m:sSub>
                        <m:e>
                          <m:r>
                            <m:t>R</m:t>
                          </m:r>
                        </m:e>
                        <m:sub>
                          <m:r>
                            <m:rPr>
                              <m:sty m:val="p"/>
                            </m:rPr>
                            <m:t>⊕</m:t>
                          </m:r>
                        </m:sub>
                      </m:sSub>
                      <m:r>
                        <m:rPr>
                          <m:sty m:val="p"/>
                        </m:rPr>
                        <m:t>,</m:t>
                      </m:r>
                      <m:sSub>
                        <m:e>
                          <m:r>
                            <m:t>R</m:t>
                          </m:r>
                        </m:e>
                        <m:sub>
                          <m:r>
                            <m:rPr>
                              <m:sty m:val="p"/>
                            </m:rPr>
                            <m:t>⊖</m:t>
                          </m:r>
                        </m:sub>
                      </m:sSub>
                    </m:e>
                  </m:d>
                  <m:r>
                    <m:rPr>
                      <m:sty m:val="p"/>
                    </m:rPr>
                    <m:t>−</m:t>
                  </m:r>
                  <m:r>
                    <m:t>.5</m:t>
                  </m:r>
                  <m:r>
                    <m:rPr>
                      <m:sty m:val="p"/>
                    </m:rPr>
                    <m:t>×</m:t>
                  </m:r>
                  <m:d>
                    <m:dPr>
                      <m:begChr m:val="("/>
                      <m:endChr m:val=")"/>
                      <m:sepChr m:val=""/>
                      <m:grow/>
                    </m:dPr>
                    <m:e>
                      <m:sSub>
                        <m:e>
                          <m:r>
                            <m:t>R</m:t>
                          </m:r>
                        </m:e>
                        <m:sub>
                          <m:r>
                            <m:rPr>
                              <m:sty m:val="p"/>
                            </m:rPr>
                            <m:t>⊕</m:t>
                          </m:r>
                        </m:sub>
                      </m:sSub>
                      <m:r>
                        <m:rPr>
                          <m:sty m:val="p"/>
                        </m:rPr>
                        <m:t>+</m:t>
                      </m:r>
                      <m:sSub>
                        <m:e>
                          <m:r>
                            <m:t>R</m:t>
                          </m:r>
                        </m:e>
                        <m:sub>
                          <m:r>
                            <m:rPr>
                              <m:sty m:val="p"/>
                            </m:rPr>
                            <m:t>⊖</m:t>
                          </m:r>
                        </m:sub>
                      </m:sSub>
                    </m:e>
                  </m:d>
                </m:num>
                <m:den>
                  <m:r>
                    <m:t>n</m:t>
                  </m:r>
                  <m:d>
                    <m:dPr>
                      <m:begChr m:val="("/>
                      <m:endChr m:val=")"/>
                      <m:sepChr m:val=""/>
                      <m:grow/>
                    </m:dPr>
                    <m:e>
                      <m:r>
                        <m:t>n</m:t>
                      </m:r>
                      <m:r>
                        <m:rPr>
                          <m:sty m:val="p"/>
                        </m:rPr>
                        <m:t>+</m:t>
                      </m:r>
                      <m:r>
                        <m:t>1</m:t>
                      </m:r>
                    </m:e>
                  </m:d>
                </m:den>
              </m:f>
            </m:e>
          </m:d>
        </m:oMath>
      </m:oMathPara>
    </w:p>
    <w:p>
      <w:pPr>
        <w:numPr>
          <w:ilvl w:val="0"/>
          <w:numId w:val="1016"/>
        </w:numPr>
        <w:pStyle w:val="Compact"/>
      </w:pPr>
      <w:r>
        <w:t xml:space="preserve">For paired samples, or one sample, the standard error is calculated as the following:</w:t>
      </w:r>
    </w:p>
    <w:p>
      <w:pPr>
        <w:pStyle w:val="FirstParagraph"/>
      </w:pPr>
      <m:oMathPara>
        <m:oMathParaPr>
          <m:jc m:val="center"/>
        </m:oMathParaPr>
        <m:oMath>
          <m:r>
            <m:t>S</m:t>
          </m:r>
          <m:sSub>
            <m:e>
              <m:r>
                <m:t>E</m:t>
              </m:r>
            </m:e>
            <m:sub>
              <m:sSub>
                <m:e>
                  <m:r>
                    <m:t>r</m:t>
                  </m:r>
                </m:e>
                <m:sub>
                  <m:r>
                    <m:t>r</m:t>
                  </m:r>
                  <m:r>
                    <m:t>b</m:t>
                  </m:r>
                </m:sub>
              </m:sSub>
            </m:sub>
          </m:sSub>
          <m:r>
            <m:rPr>
              <m:sty m:val="p"/>
            </m:rPr>
            <m:t>=</m:t>
          </m:r>
          <m:rad>
            <m:radPr>
              <m:degHide m:val="1"/>
            </m:radPr>
            <m:deg/>
            <m:e>
              <m:f>
                <m:fPr>
                  <m:type m:val="bar"/>
                </m:fPr>
                <m:num>
                  <m:d>
                    <m:dPr>
                      <m:begChr m:val="("/>
                      <m:endChr m:val=")"/>
                      <m:sepChr m:val=""/>
                      <m:grow/>
                    </m:dPr>
                    <m:e>
                      <m:r>
                        <m:t>2</m:t>
                      </m:r>
                      <m:r>
                        <m:rPr>
                          <m:sty m:val="p"/>
                        </m:rPr>
                        <m:t>⋅</m:t>
                      </m:r>
                      <m:r>
                        <m:t>n</m:t>
                      </m:r>
                      <m:sSup>
                        <m:e>
                          <m:r>
                            <m:t>d</m:t>
                          </m:r>
                        </m:e>
                        <m:sup>
                          <m:r>
                            <m:t>3</m:t>
                          </m:r>
                        </m:sup>
                      </m:sSup>
                      <m:r>
                        <m:rPr>
                          <m:sty m:val="p"/>
                        </m:rPr>
                        <m:t>+</m:t>
                      </m:r>
                      <m:r>
                        <m:t>3</m:t>
                      </m:r>
                      <m:r>
                        <m:rPr>
                          <m:sty m:val="p"/>
                        </m:rPr>
                        <m:t>⋅</m:t>
                      </m:r>
                      <m:r>
                        <m:t>n</m:t>
                      </m:r>
                      <m:sSup>
                        <m:e>
                          <m:r>
                            <m:t>d</m:t>
                          </m:r>
                        </m:e>
                        <m:sup>
                          <m:r>
                            <m:t>2</m:t>
                          </m:r>
                        </m:sup>
                      </m:sSup>
                      <m:r>
                        <m:rPr>
                          <m:sty m:val="p"/>
                        </m:rPr>
                        <m:t>+</m:t>
                      </m:r>
                      <m:r>
                        <m:t>n</m:t>
                      </m:r>
                      <m:r>
                        <m:t>d</m:t>
                      </m:r>
                    </m:e>
                  </m:d>
                  <m:r>
                    <m:rPr>
                      <m:sty m:val="p"/>
                    </m:rPr>
                    <m:t>/</m:t>
                  </m:r>
                  <m:r>
                    <m:t>6</m:t>
                  </m:r>
                </m:num>
                <m:den>
                  <m:d>
                    <m:dPr>
                      <m:begChr m:val="("/>
                      <m:endChr m:val=")"/>
                      <m:sepChr m:val=""/>
                      <m:grow/>
                    </m:dPr>
                    <m:e>
                      <m:r>
                        <m:t>n</m:t>
                      </m:r>
                      <m:sSup>
                        <m:e>
                          <m:r>
                            <m:t>d</m:t>
                          </m:r>
                        </m:e>
                        <m:sup>
                          <m:r>
                            <m:t>2</m:t>
                          </m:r>
                        </m:sup>
                      </m:sSup>
                      <m:r>
                        <m:rPr>
                          <m:sty m:val="p"/>
                        </m:rPr>
                        <m:t>+</m:t>
                      </m:r>
                      <m:r>
                        <m:t>n</m:t>
                      </m:r>
                      <m:r>
                        <m:t>d</m:t>
                      </m:r>
                    </m:e>
                  </m:d>
                  <m:r>
                    <m:rPr>
                      <m:sty m:val="p"/>
                    </m:rPr>
                    <m:t>/</m:t>
                  </m:r>
                  <m:r>
                    <m:t>2</m:t>
                  </m:r>
                </m:den>
              </m:f>
            </m:e>
          </m:rad>
        </m:oMath>
      </m:oMathPara>
    </w:p>
    <w:p>
      <w:pPr>
        <w:pStyle w:val="FirstParagraph"/>
      </w:pPr>
      <w:r>
        <w:t xml:space="preserve">6. The confidence intervals can then be calculated by Z-transforming the correlation.</w:t>
      </w:r>
    </w:p>
    <w:p>
      <w:pPr>
        <w:pStyle w:val="BodyText"/>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17"/>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18"/>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72"/>
    <w:bookmarkStart w:id="173" w:name="two-sample-calculation"/>
    <w:p>
      <w:pPr>
        <w:pStyle w:val="Heading4"/>
      </w:pPr>
      <w:r>
        <w:t xml:space="preserve">Two Sample Calculation</w:t>
      </w:r>
    </w:p>
    <w:p>
      <w:pPr>
        <w:numPr>
          <w:ilvl w:val="0"/>
          <w:numId w:val="1019"/>
        </w:numPr>
        <w:pStyle w:val="Compact"/>
      </w:pPr>
      <w:r>
        <w:t xml:space="preserve">Calculate the ranks for each observation across all observations of in group 1 and 2</w:t>
      </w:r>
    </w:p>
    <w:p>
      <w:pPr>
        <w:pStyle w:val="FirstParagraph"/>
      </w:pPr>
      <m:oMathPara>
        <m:oMathParaPr>
          <m:jc m:val="center"/>
        </m:oMathParaPr>
        <m:oMath>
          <m:r>
            <m:t>R</m:t>
          </m:r>
          <m:r>
            <m:rPr>
              <m:sty m:val="p"/>
            </m:rPr>
            <m:t>=</m:t>
          </m:r>
          <m:r>
            <m:rPr>
              <m:nor/>
              <m:sty m:val="p"/>
            </m:rPr>
            <m:t>rank</m:t>
          </m:r>
          <m:d>
            <m:dPr>
              <m:begChr m:val="("/>
              <m:endChr m:val=")"/>
              <m:sepChr m:val=""/>
              <m:grow/>
            </m:dPr>
            <m:e>
              <m:r>
                <m:t>X</m:t>
              </m:r>
            </m:e>
          </m:d>
        </m:oMath>
      </m:oMathPara>
    </w:p>
    <w:p>
      <w:pPr>
        <w:numPr>
          <w:ilvl w:val="0"/>
          <w:numId w:val="1020"/>
        </w:numPr>
        <w:pStyle w:val="Compact"/>
      </w:pPr>
      <w:r>
        <w:t xml:space="preserve">Calculate the rank sums from each group</w:t>
      </w:r>
    </w:p>
    <w:p>
      <w:pPr>
        <w:pStyle w:val="FirstParagraph"/>
      </w:pPr>
      <m:oMathPara>
        <m:oMathParaPr>
          <m:jc m:val="center"/>
        </m:oMathParaPr>
        <m:oMath>
          <m:sSub>
            <m:e>
              <m:r>
                <m:t>U</m:t>
              </m:r>
            </m:e>
            <m:sub>
              <m:r>
                <m:t>1</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1</m:t>
                      </m:r>
                    </m:sub>
                  </m:sSub>
                </m:sup>
                <m:e>
                  <m:sSub>
                    <m:e>
                      <m:r>
                        <m:t>R</m:t>
                      </m:r>
                    </m:e>
                    <m:sub>
                      <m:r>
                        <m:t>1</m:t>
                      </m:r>
                      <m:r>
                        <m:t>i</m:t>
                      </m:r>
                    </m:sub>
                  </m:sSub>
                </m:e>
              </m:nary>
            </m:e>
          </m:d>
          <m:r>
            <m:rPr>
              <m:sty m:val="p"/>
            </m:rPr>
            <m:t>−</m:t>
          </m:r>
          <m:sSub>
            <m:e>
              <m:r>
                <m:t>n</m:t>
              </m:r>
            </m:e>
            <m:sub>
              <m:r>
                <m:t>1</m:t>
              </m:r>
            </m:sub>
          </m:sSub>
          <m:r>
            <m:rPr>
              <m:sty m:val="p"/>
            </m:rPr>
            <m:t>⋅</m:t>
          </m:r>
          <m:f>
            <m:fPr>
              <m:type m:val="bar"/>
            </m:fPr>
            <m:num>
              <m:sSub>
                <m:e>
                  <m:r>
                    <m:t>n</m:t>
                  </m:r>
                </m:e>
                <m:sub>
                  <m:r>
                    <m:t>1</m:t>
                  </m:r>
                </m:sub>
              </m:sSub>
              <m:r>
                <m:rPr>
                  <m:sty m:val="p"/>
                </m:rPr>
                <m:t>+</m:t>
              </m:r>
              <m:r>
                <m:t>1</m:t>
              </m:r>
            </m:num>
            <m:den>
              <m:r>
                <m:t>2</m:t>
              </m:r>
            </m:den>
          </m:f>
        </m:oMath>
      </m:oMathPara>
    </w:p>
    <w:p>
      <w:pPr>
        <w:pStyle w:val="FirstParagraph"/>
      </w:pPr>
      <m:oMathPara>
        <m:oMathParaPr>
          <m:jc m:val="center"/>
        </m:oMathParaPr>
        <m:oMath>
          <m:sSub>
            <m:e>
              <m:r>
                <m:t>U</m:t>
              </m:r>
            </m:e>
            <m:sub>
              <m:r>
                <m:t>2</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2</m:t>
                      </m:r>
                    </m:sub>
                  </m:sSub>
                </m:sup>
                <m:e>
                  <m:sSub>
                    <m:e>
                      <m:r>
                        <m:t>R</m:t>
                      </m:r>
                    </m:e>
                    <m:sub>
                      <m:r>
                        <m:t>2</m:t>
                      </m:r>
                      <m:r>
                        <m:t>i</m:t>
                      </m:r>
                    </m:sub>
                  </m:sSub>
                </m:e>
              </m:nary>
            </m:e>
          </m:d>
          <m:r>
            <m:rPr>
              <m:sty m:val="p"/>
            </m:rPr>
            <m:t>−</m:t>
          </m:r>
          <m:sSub>
            <m:e>
              <m:r>
                <m:t>n</m:t>
              </m:r>
            </m:e>
            <m:sub>
              <m:r>
                <m:t>2</m:t>
              </m:r>
            </m:sub>
          </m:sSub>
          <m:r>
            <m:rPr>
              <m:sty m:val="p"/>
            </m:rPr>
            <m:t>⋅</m:t>
          </m:r>
          <m:f>
            <m:fPr>
              <m:type m:val="bar"/>
            </m:fPr>
            <m:num>
              <m:sSub>
                <m:e>
                  <m:r>
                    <m:t>n</m:t>
                  </m:r>
                </m:e>
                <m:sub>
                  <m:r>
                    <m:t>2</m:t>
                  </m:r>
                </m:sub>
              </m:sSub>
              <m:r>
                <m:rPr>
                  <m:sty m:val="p"/>
                </m:rPr>
                <m:t>+</m:t>
              </m:r>
              <m:r>
                <m:t>1</m:t>
              </m:r>
            </m:num>
            <m:den>
              <m:r>
                <m:t>2</m:t>
              </m:r>
            </m:den>
          </m:f>
        </m:oMath>
      </m:oMathPara>
    </w:p>
    <w:p>
      <w:pPr>
        <w:numPr>
          <w:ilvl w:val="0"/>
          <w:numId w:val="1021"/>
        </w:numPr>
        <w:pStyle w:val="Compact"/>
      </w:pPr>
      <w:r>
        <w:t xml:space="preserve">Calculate rank biserial correlation</w:t>
      </w:r>
    </w:p>
    <w:p>
      <w:pPr>
        <w:pStyle w:val="FirstParagraph"/>
      </w:pPr>
      <m:oMathPara>
        <m:oMathParaPr>
          <m:jc m:val="center"/>
        </m:oMathParaPr>
        <m:oMath>
          <m:sSub>
            <m:e>
              <m:r>
                <m:t>r</m:t>
              </m:r>
            </m:e>
            <m:sub>
              <m:r>
                <m:t>r</m:t>
              </m:r>
              <m:r>
                <m:t>b</m:t>
              </m:r>
            </m:sub>
          </m:sSub>
          <m:r>
            <m:rPr>
              <m:sty m:val="p"/>
            </m:rPr>
            <m:t>=</m:t>
          </m:r>
          <m:f>
            <m:fPr>
              <m:type m:val="bar"/>
            </m:fPr>
            <m:num>
              <m:sSub>
                <m:e>
                  <m:r>
                    <m:t>U</m:t>
                  </m:r>
                </m:e>
                <m:sub>
                  <m:r>
                    <m:t>1</m:t>
                  </m:r>
                </m:sub>
              </m:sSub>
            </m:num>
            <m:den>
              <m:sSub>
                <m:e>
                  <m:r>
                    <m:t>n</m:t>
                  </m:r>
                </m:e>
                <m:sub>
                  <m:r>
                    <m:t>1</m:t>
                  </m:r>
                </m:sub>
              </m:sSub>
              <m:sSub>
                <m:e>
                  <m:r>
                    <m:t>n</m:t>
                  </m:r>
                </m:e>
                <m:sub>
                  <m:r>
                    <m:t>2</m:t>
                  </m:r>
                </m:sub>
              </m:sSub>
            </m:den>
          </m:f>
          <m:r>
            <m:rPr>
              <m:sty m:val="p"/>
            </m:rPr>
            <m:t>−</m:t>
          </m:r>
          <m:f>
            <m:fPr>
              <m:type m:val="bar"/>
            </m:fPr>
            <m:num>
              <m:sSub>
                <m:e>
                  <m:r>
                    <m:t>U</m:t>
                  </m:r>
                </m:e>
                <m:sub>
                  <m:r>
                    <m:t>2</m:t>
                  </m:r>
                </m:sub>
              </m:sSub>
            </m:num>
            <m:den>
              <m:sSub>
                <m:e>
                  <m:r>
                    <m:t>n</m:t>
                  </m:r>
                </m:e>
                <m:sub>
                  <m:r>
                    <m:t>1</m:t>
                  </m:r>
                </m:sub>
              </m:sSub>
              <m:sSub>
                <m:e>
                  <m:r>
                    <m:t>n</m:t>
                  </m:r>
                </m:e>
                <m:sub>
                  <m:r>
                    <m:t>2</m:t>
                  </m:r>
                </m:sub>
              </m:sSub>
            </m:den>
          </m:f>
        </m:oMath>
      </m:oMathPara>
    </w:p>
    <w:p>
      <w:pPr>
        <w:numPr>
          <w:ilvl w:val="0"/>
          <w:numId w:val="1022"/>
        </w:numPr>
        <w:pStyle w:val="Compact"/>
      </w:pPr>
      <w:r>
        <w:t xml:space="preserve">For independent samples, the standard error is calculated as the following:</w:t>
      </w:r>
    </w:p>
    <w:p>
      <w:pPr>
        <w:pStyle w:val="FirstParagraph"/>
      </w:pPr>
      <m:oMathPara>
        <m:oMathParaPr>
          <m:jc m:val="center"/>
        </m:oMathParaPr>
        <m:oMath>
          <m:r>
            <m:t>S</m:t>
          </m:r>
          <m:sSub>
            <m:e>
              <m:r>
                <m:t>E</m:t>
              </m:r>
            </m:e>
            <m:sub>
              <m:r>
                <m:t>r</m:t>
              </m:r>
              <m:r>
                <m:t>b</m:t>
              </m:r>
            </m:sub>
          </m:sSub>
          <m:r>
            <m:rPr>
              <m:sty m:val="p"/>
            </m:rPr>
            <m:t>=</m:t>
          </m:r>
          <m:rad>
            <m:radPr>
              <m:degHide m:val="1"/>
            </m:radPr>
            <m:deg/>
            <m:e>
              <m:f>
                <m:fPr>
                  <m:type m:val="bar"/>
                </m:fPr>
                <m:num>
                  <m:sSub>
                    <m:e>
                      <m:r>
                        <m:t>n</m:t>
                      </m:r>
                    </m:e>
                    <m:sub>
                      <m:r>
                        <m:t>1</m:t>
                      </m:r>
                    </m:sub>
                  </m:sSub>
                  <m:r>
                    <m:rPr>
                      <m:sty m:val="p"/>
                    </m:rPr>
                    <m:t>+</m:t>
                  </m:r>
                  <m:sSub>
                    <m:e>
                      <m:r>
                        <m:t>n</m:t>
                      </m:r>
                    </m:e>
                    <m:sub>
                      <m:r>
                        <m:t>2</m:t>
                      </m:r>
                    </m:sub>
                  </m:sSub>
                  <m:r>
                    <m:rPr>
                      <m:sty m:val="p"/>
                    </m:rPr>
                    <m:t>+</m:t>
                  </m:r>
                  <m:r>
                    <m:t>1</m:t>
                  </m:r>
                </m:num>
                <m:den>
                  <m:r>
                    <m:t>3</m:t>
                  </m:r>
                  <m:sSub>
                    <m:e>
                      <m:r>
                        <m:t>n</m:t>
                      </m:r>
                    </m:e>
                    <m:sub>
                      <m:r>
                        <m:t>1</m:t>
                      </m:r>
                    </m:sub>
                  </m:sSub>
                  <m:sSub>
                    <m:e>
                      <m:r>
                        <m:t>n</m:t>
                      </m:r>
                    </m:e>
                    <m:sub>
                      <m:r>
                        <m:t>2</m:t>
                      </m:r>
                    </m:sub>
                  </m:sSub>
                </m:den>
              </m:f>
            </m:e>
          </m:rad>
        </m:oMath>
      </m:oMathPara>
    </w:p>
    <w:p>
      <w:pPr>
        <w:numPr>
          <w:ilvl w:val="0"/>
          <w:numId w:val="1023"/>
        </w:numPr>
        <w:pStyle w:val="Compact"/>
      </w:pPr>
      <w:r>
        <w:t xml:space="preserve">The confidence intervals can then be calculated by transforming the estimate.</w:t>
      </w:r>
    </w:p>
    <w:p>
      <w:pPr>
        <w:pStyle w:val="FirstParagraph"/>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24"/>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25"/>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73"/>
    <w:bookmarkStart w:id="174" w:name="calculation-in-r"/>
    <w:p>
      <w:pPr>
        <w:pStyle w:val="Heading4"/>
      </w:pPr>
      <w:r>
        <w:t xml:space="preserve">Calculation in R</w:t>
      </w:r>
    </w:p>
    <w:p>
      <w:pPr>
        <w:pStyle w:val="FirstParagraph"/>
      </w:pPr>
      <w:r>
        <w:t xml:space="preserve">In R, we can use</w:t>
      </w:r>
      <w:r>
        <w:t xml:space="preserve"> </w:t>
      </w:r>
      <w:r>
        <w:rPr>
          <w:rStyle w:val="VerbatimChar"/>
        </w:rPr>
        <w:t xml:space="preserve">ses_calc</w:t>
      </w:r>
      <w:r>
        <w:t xml:space="preserve"> </w:t>
      </w:r>
      <w:r>
        <w:t xml:space="preserve">in the</w:t>
      </w:r>
      <w:r>
        <w:t xml:space="preserve"> </w:t>
      </w:r>
      <w:r>
        <w:rPr>
          <w:rStyle w:val="VerbatimChar"/>
        </w:rPr>
        <w:t xml:space="preserve">TOSTER</w:t>
      </w:r>
      <w:r>
        <w:t xml:space="preserve"> </w:t>
      </w:r>
      <w:r>
        <w:t xml:space="preserve">package can be utilized to calculate</w:t>
      </w:r>
      <w:r>
        <w:t xml:space="preserve"> </w:t>
      </w:r>
      <m:oMath>
        <m:sSub>
          <m:e>
            <m:r>
              <m:t>r</m:t>
            </m:r>
          </m:e>
          <m:sub>
            <m:r>
              <m:t>r</m:t>
            </m:r>
            <m:r>
              <m:t>b</m:t>
            </m:r>
          </m:sub>
        </m:sSub>
      </m:oMath>
      <w:r>
        <w:t xml:space="preserve">.</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rPr>
          <w:rStyle w:val="FunctionTok"/>
        </w:rPr>
        <w:t xml:space="preserve">library</w:t>
      </w:r>
      <w:r>
        <w:rPr>
          <w:rStyle w:val="NormalTok"/>
        </w:rPr>
        <w:t xml:space="preserve">(TOSTER)</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0.9818182 0.928369 0.9954785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FunctionTok"/>
        </w:rPr>
        <w:t xml:space="preserve">ses_calc</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-0.452381 -0.7831567 0.07794462       0.95</w:t>
      </w:r>
    </w:p>
    <w:bookmarkEnd w:id="174"/>
    <w:bookmarkEnd w:id="175"/>
    <w:bookmarkStart w:id="178" w:name="concordance-probability"/>
    <w:p>
      <w:pPr>
        <w:pStyle w:val="Heading3"/>
      </w:pPr>
      <w:r>
        <w:t xml:space="preserve">13.3.2 Concordance Probability</w:t>
      </w:r>
    </w:p>
    <w:p>
      <w:pPr>
        <w:pStyle w:val="FirstParagraph"/>
      </w:pPr>
      <w:r>
        <w:t xml:space="preserve">In the two sample case, concordance probability is the probability that a randomly chosen subject from one group has a response that is larger than that of a randomly chosen subject from the other group. In the two sample case, this is roughly equivalent to the statistic of the Brunner-Munzel test. In the paired sample case, it is the probability that a randomly chosen difference score (</w:t>
      </w:r>
      <m:oMath>
        <m:r>
          <m:t>D</m:t>
        </m:r>
      </m:oMath>
      <w:r>
        <w:t xml:space="preserve">) will have a positive (+) sign plus 0.5 times the probability of a tie (no/zero difference). The concordance probability can go by many names. It is also referred to as the c-index, the non-parametric probability of superiority, or the non-parametric common language effect size (CLES).</w:t>
      </w:r>
    </w:p>
    <w:bookmarkStart w:id="176" w:name="calculation"/>
    <w:p>
      <w:pPr>
        <w:pStyle w:val="Heading4"/>
      </w:pPr>
      <w:r>
        <w:t xml:space="preserve">Calculation</w:t>
      </w:r>
    </w:p>
    <w:p>
      <w:pPr>
        <w:pStyle w:val="FirstParagraph"/>
      </w:pPr>
      <w:r>
        <w:t xml:space="preserve">The calculation of concordance can be derived from the rank-biserial correlation. The concordance probability (</w:t>
      </w:r>
      <m:oMath>
        <m:sSub>
          <m:e>
            <m:r>
              <m:t>p</m:t>
            </m:r>
          </m:e>
          <m:sub>
            <m:r>
              <m:t>c</m:t>
            </m:r>
          </m:sub>
        </m:sSub>
      </m:oMath>
      <w:r>
        <w:t xml:space="preserve">) can be converted from the correlation.</w:t>
      </w:r>
    </w:p>
    <w:p>
      <w:pPr>
        <w:pStyle w:val="BodyText"/>
      </w:pPr>
      <m:oMathPara>
        <m:oMathParaPr>
          <m:jc m:val="center"/>
        </m:oMathParaPr>
        <m:oMath>
          <m:sSub>
            <m:e>
              <m:r>
                <m:t>p</m:t>
              </m:r>
            </m:e>
            <m:sub>
              <m:r>
                <m:t>c</m:t>
              </m:r>
            </m:sub>
          </m:sSub>
          <m:r>
            <m:rPr>
              <m:sty m:val="p"/>
            </m:rPr>
            <m:t>=</m:t>
          </m:r>
          <m:f>
            <m:fPr>
              <m:type m:val="bar"/>
            </m:fPr>
            <m:num>
              <m:sSub>
                <m:e>
                  <m:r>
                    <m:t>r</m:t>
                  </m:r>
                </m:e>
                <m:sub>
                  <m:r>
                    <m:t>r</m:t>
                  </m:r>
                  <m:r>
                    <m:t>b</m:t>
                  </m:r>
                </m:sub>
              </m:sSub>
              <m:r>
                <m:rPr>
                  <m:sty m:val="p"/>
                </m:rPr>
                <m:t>+</m:t>
              </m:r>
              <m:r>
                <m:t>1</m:t>
              </m:r>
            </m:num>
            <m:den>
              <m:r>
                <m:t>2</m:t>
              </m:r>
            </m:den>
          </m:f>
        </m:oMath>
      </m:oMathPara>
    </w:p>
    <w:bookmarkEnd w:id="176"/>
    <w:bookmarkStart w:id="177" w:name="calculation-in-r-1"/>
    <w:p>
      <w:pPr>
        <w:pStyle w:val="Heading4"/>
      </w:pPr>
      <w:r>
        <w:t xml:space="preserve">Calculation in R</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0.9909091 0.9641845 0.9977392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FunctionTok"/>
        </w:rPr>
        <w:t xml:space="preserve">ses_calc</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0.2738095 0.1084217 0.5389723       0.95</w:t>
      </w:r>
    </w:p>
    <w:bookmarkEnd w:id="177"/>
    <w:bookmarkEnd w:id="178"/>
    <w:bookmarkStart w:id="181" w:name="wilcoxon-mann-whitney-odds"/>
    <w:p>
      <w:pPr>
        <w:pStyle w:val="Heading3"/>
      </w:pPr>
      <w:r>
        <w:t xml:space="preserve">13.3.3 Wilcoxon-Mann-Whitney Odds</w:t>
      </w:r>
    </w:p>
    <w:p>
      <w:pPr>
        <w:pStyle w:val="FirstParagraph"/>
      </w:pPr>
      <w:r>
        <w:t xml:space="preserve">The Wilcoxon-Mann-Whitney odds</w:t>
      </w:r>
      <w:r>
        <w:t xml:space="preserve"> </w:t>
      </w:r>
      <w:r>
        <w:t xml:space="preserve">(O’Brien and Castelloe 2006)</w:t>
      </w:r>
      <w:r>
        <w:t xml:space="preserve">, also known as the</w:t>
      </w:r>
      <w:r>
        <w:t xml:space="preserve"> </w:t>
      </w:r>
      <w:r>
        <w:t xml:space="preserve">“</w:t>
      </w:r>
      <w:r>
        <w:t xml:space="preserve">Generalized Odds Ratio</w:t>
      </w:r>
      <w:r>
        <w:t xml:space="preserve">”</w:t>
      </w:r>
      <w:r>
        <w:t xml:space="preserve">(Agresti 1980)</w:t>
      </w:r>
      <w:r>
        <w:t xml:space="preserve">, essentially transforms the concordance probability into an odds ratio.</w:t>
      </w:r>
    </w:p>
    <w:bookmarkStart w:id="179" w:name="calculation-1"/>
    <w:p>
      <w:pPr>
        <w:pStyle w:val="Heading4"/>
      </w:pPr>
      <w:r>
        <w:t xml:space="preserve">Calculation</w:t>
      </w:r>
    </w:p>
    <w:p>
      <w:pPr>
        <w:pStyle w:val="FirstParagraph"/>
      </w:pPr>
      <w:r>
        <w:t xml:space="preserve">The odds can be converted from the concordance by taking the logit of the concordance. This will provide the log odds. The exponential value of the log-odds will provide the odds on a more interpretable scale.</w:t>
      </w:r>
    </w:p>
    <w:p>
      <w:pPr>
        <w:pStyle w:val="BodyText"/>
      </w:pPr>
      <m:oMathPara>
        <m:oMathParaPr>
          <m:jc m:val="center"/>
        </m:oMathParaPr>
        <m:oMath>
          <m:sSub>
            <m:e>
              <m:r>
                <m:t>O</m:t>
              </m:r>
            </m:e>
            <m:sub>
              <m:r>
                <m:t>W</m:t>
              </m:r>
              <m:r>
                <m:t>M</m:t>
              </m:r>
              <m:r>
                <m:t>W</m:t>
              </m:r>
            </m:sub>
          </m:sSub>
          <m:r>
            <m:rPr>
              <m:sty m:val="p"/>
            </m:rPr>
            <m:t>=</m:t>
          </m:r>
          <m:r>
            <m:rPr>
              <m:sty m:val="p"/>
            </m:rPr>
            <m:t>exp</m:t>
          </m:r>
          <m:d>
            <m:dPr>
              <m:begChr m:val="["/>
              <m:endChr m:val="]"/>
              <m:sepChr m:val=""/>
              <m:grow/>
            </m:dPr>
            <m:e>
              <m:r>
                <m:rPr>
                  <m:nor/>
                  <m:sty m:val="p"/>
                </m:rPr>
                <m:t>logit</m:t>
              </m:r>
              <m:d>
                <m:dPr>
                  <m:begChr m:val="("/>
                  <m:endChr m:val=")"/>
                  <m:sepChr m:val=""/>
                  <m:grow/>
                </m:dPr>
                <m:e>
                  <m:sSub>
                    <m:e>
                      <m:r>
                        <m:t>p</m:t>
                      </m:r>
                    </m:e>
                    <m:sub>
                      <m:r>
                        <m:t>c</m:t>
                      </m:r>
                    </m:sub>
                  </m:sSub>
                </m:e>
              </m:d>
            </m:e>
          </m:d>
        </m:oMath>
      </m:oMathPara>
    </w:p>
    <w:p>
      <w:pPr>
        <w:pStyle w:val="FirstParagraph"/>
      </w:pPr>
      <m:oMathPara>
        <m:oMathParaPr>
          <m:jc m:val="center"/>
        </m:oMathParaPr>
        <m:oMath>
          <m:r>
            <m:rPr>
              <m:sty m:val="p"/>
            </m:rPr>
            <m:t>log</m:t>
          </m:r>
          <m:d>
            <m:dPr>
              <m:begChr m:val="("/>
              <m:endChr m:val=")"/>
              <m:sepChr m:val=""/>
              <m:grow/>
            </m:dPr>
            <m:e>
              <m:sSub>
                <m:e>
                  <m:r>
                    <m:t>O</m:t>
                  </m:r>
                </m:e>
                <m:sub>
                  <m:r>
                    <m:t>W</m:t>
                  </m:r>
                  <m:r>
                    <m:t>M</m:t>
                  </m:r>
                  <m:r>
                    <m:t>W</m:t>
                  </m:r>
                </m:sub>
              </m:sSub>
            </m:e>
          </m:d>
          <m:r>
            <m:rPr>
              <m:sty m:val="p"/>
            </m:rPr>
            <m:t>=</m:t>
          </m:r>
          <m:r>
            <m:rPr>
              <m:nor/>
              <m:sty m:val="p"/>
            </m:rPr>
            <m:t>logit</m:t>
          </m:r>
          <m:d>
            <m:dPr>
              <m:begChr m:val="("/>
              <m:endChr m:val=")"/>
              <m:sepChr m:val=""/>
              <m:grow/>
            </m:dPr>
            <m:e>
              <m:sSub>
                <m:e>
                  <m:r>
                    <m:t>p</m:t>
                  </m:r>
                </m:e>
                <m:sub>
                  <m:r>
                    <m:t>c</m:t>
                  </m:r>
                </m:sub>
              </m:sSub>
            </m:e>
          </m:d>
        </m:oMath>
      </m:oMathPara>
    </w:p>
    <w:bookmarkEnd w:id="179"/>
    <w:bookmarkStart w:id="180" w:name="calculation-in-r-2"/>
    <w:p>
      <w:pPr>
        <w:pStyle w:val="Heading4"/>
      </w:pPr>
      <w:r>
        <w:t xml:space="preserve">Calculation in R</w:t>
      </w:r>
    </w:p>
    <w:p>
      <w:pPr>
        <w:pStyle w:val="SourceCode"/>
      </w:pPr>
      <w:r>
        <w:rPr>
          <w:rStyle w:val="CommentTok"/>
        </w:rPr>
        <w:t xml:space="preserve"># Paired samples ----</w:t>
      </w:r>
      <w:r>
        <w:br/>
      </w:r>
      <w:r>
        <w:br/>
      </w:r>
      <w:r>
        <w:rPr>
          <w:rStyle w:val="FunctionTok"/>
        </w:rPr>
        <w:t xml:space="preserve">data</w:t>
      </w:r>
      <w:r>
        <w:rPr>
          <w:rStyle w:val="NormalTok"/>
        </w:rPr>
        <w:t xml:space="preserve">(sleep)</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109 26.92087 441.3305       0.95</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0.3770492 0.1216064 1.169067       0.95</w:t>
      </w:r>
    </w:p>
    <w:bookmarkEnd w:id="180"/>
    <w:bookmarkEnd w:id="181"/>
    <w:bookmarkEnd w:id="182"/>
    <w:bookmarkEnd w:id="183"/>
    <w:bookmarkStart w:id="197" w:name="regression"/>
    <w:p>
      <w:pPr>
        <w:pStyle w:val="Heading1"/>
      </w:pPr>
      <w:r>
        <w:t xml:space="preserve">14. Regression</w:t>
      </w:r>
    </w:p>
    <w:p>
      <w:pPr>
        <w:pStyle w:val="FirstParagraph"/>
      </w:pPr>
      <w:r>
        <w:t xml:space="preserve">Regression is a method of predicting an outcome variable from one or more predictor variables.</w:t>
      </w:r>
    </w:p>
    <w:bookmarkStart w:id="187" w:name="regression-overview"/>
    <w:p>
      <w:pPr>
        <w:pStyle w:val="Heading2"/>
      </w:pPr>
      <w:r>
        <w:t xml:space="preserve">14.1 Regression Overview</w:t>
      </w:r>
    </w:p>
    <w:p>
      <w:pPr>
        <w:pStyle w:val="FirstParagraph"/>
      </w:pPr>
      <w:r>
        <w:t xml:space="preserve">In a simple linear regression there is only one predictor (</w:t>
      </w:r>
      <m:oMath>
        <m:r>
          <m:t>x</m:t>
        </m:r>
      </m:oMath>
      <w:r>
        <w:t xml:space="preserve">) and one outcome (</w:t>
      </w:r>
      <m:oMath>
        <m:r>
          <m:t>y</m:t>
        </m:r>
      </m:oMath>
      <w:r>
        <w:t xml:space="preserve">) in the regression model,</w:t>
      </w:r>
    </w:p>
    <w:p>
      <w:pPr>
        <w:pStyle w:val="BodyText"/>
      </w:pPr>
      <m:oMathPara>
        <m:oMathParaPr>
          <m:jc m:val="center"/>
        </m:oMathParaPr>
        <m:oMath>
          <m:r>
            <m:t>y</m:t>
          </m:r>
          <m:r>
            <m:rPr>
              <m:sty m:val="p"/>
            </m:rPr>
            <m:t>=</m:t>
          </m:r>
          <m:sSub>
            <m:e>
              <m:r>
                <m:t>b</m:t>
              </m:r>
            </m:e>
            <m:sub>
              <m:r>
                <m:t>0</m:t>
              </m:r>
            </m:sub>
          </m:sSub>
          <m:r>
            <m:rPr>
              <m:sty m:val="p"/>
            </m:rPr>
            <m:t>+</m:t>
          </m:r>
          <m:sSub>
            <m:e>
              <m:r>
                <m:t>b</m:t>
              </m:r>
            </m:e>
            <m:sub>
              <m:r>
                <m:t>1</m:t>
              </m:r>
            </m:sub>
          </m:sSub>
          <m:r>
            <m:t>x</m:t>
          </m:r>
          <m:r>
            <m:rPr>
              <m:sty m:val="p"/>
            </m:rPr>
            <m:t>+</m:t>
          </m:r>
          <m:r>
            <m:t>e</m:t>
          </m:r>
        </m:oMath>
      </m:oMathPara>
    </w:p>
    <w:p>
      <w:pPr>
        <w:pStyle w:val="FirstParagraph"/>
      </w:pPr>
      <w:r>
        <w:t xml:space="preserve">We can visualize this model by showing data from the palmer penguins data package:</w:t>
      </w:r>
    </w:p>
    <w:p>
      <w:pPr>
        <w:pStyle w:val="BodyText"/>
      </w:pPr>
      <w:r>
        <w:drawing>
          <wp:inline>
            <wp:extent cx="5334000" cy="4267200"/>
            <wp:effectExtent b="0" l="0" r="0" t="0"/>
            <wp:docPr descr="" title="" id="185" name="Picture"/>
            <a:graphic>
              <a:graphicData uri="http://schemas.openxmlformats.org/drawingml/2006/picture">
                <pic:pic>
                  <pic:nvPicPr>
                    <pic:cNvPr descr="Regression_files/figure-docx/unnamed-chunk-1-1.png" id="186" name="Picture"/>
                    <pic:cNvPicPr>
                      <a:picLocks noChangeArrowheads="1" noChangeAspect="1"/>
                    </pic:cNvPicPr>
                  </pic:nvPicPr>
                  <pic:blipFill>
                    <a:blip r:embed="rId1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where</w:t>
      </w:r>
      <w:r>
        <w:t xml:space="preserve"> </w:t>
      </w:r>
      <m:oMath>
        <m:sSub>
          <m:e>
            <m:r>
              <m:t>b</m:t>
            </m:r>
          </m:e>
          <m:sub>
            <m:r>
              <m:t>0</m:t>
            </m:r>
          </m:sub>
        </m:sSub>
      </m:oMath>
      <w:r>
        <w:t xml:space="preserve"> </w:t>
      </w:r>
      <w:r>
        <w:t xml:space="preserve">is the intercept coefficient,</w:t>
      </w:r>
      <w:r>
        <w:t xml:space="preserve"> </w:t>
      </w:r>
      <m:oMath>
        <m:sSub>
          <m:e>
            <m:r>
              <m:t>b</m:t>
            </m:r>
          </m:e>
          <m:sub>
            <m:r>
              <m:t>1</m:t>
            </m:r>
          </m:sub>
        </m:sSub>
      </m:oMath>
      <w:r>
        <w:t xml:space="preserve"> </w:t>
      </w:r>
      <w:r>
        <w:t xml:space="preserve">is the slope coefficient, and</w:t>
      </w:r>
      <w:r>
        <w:t xml:space="preserve"> </w:t>
      </w:r>
      <m:oMath>
        <m:r>
          <m:t>e</m:t>
        </m:r>
      </m:oMath>
      <w:r>
        <w:t xml:space="preserve"> </w:t>
      </w:r>
      <w:r>
        <w:t xml:space="preserve">is the error term that is normally distributed with a mean of zero and a variance of</w:t>
      </w:r>
      <w:r>
        <w:t xml:space="preserve"> </w:t>
      </w:r>
      <m:oMath>
        <m:sSup>
          <m:e>
            <m:r>
              <m:t>σ</m:t>
            </m:r>
          </m:e>
          <m:sup>
            <m:r>
              <m:t>2</m:t>
            </m:r>
          </m:sup>
        </m:sSup>
      </m:oMath>
      <w:r>
        <w:t xml:space="preserve">. For a simple linear regression we can obtain an unstandardized regression coefficient by finding the optimal value of</w:t>
      </w:r>
      <w:r>
        <w:t xml:space="preserve"> </w:t>
      </w:r>
      <m:oMath>
        <m:sSub>
          <m:e>
            <m:r>
              <m:t>b</m:t>
            </m:r>
          </m:e>
          <m:sub>
            <m:r>
              <m:t>0</m:t>
            </m:r>
          </m:sub>
        </m:sSub>
      </m:oMath>
      <w:r>
        <w:t xml:space="preserve"> </w:t>
      </w:r>
      <w:r>
        <w:t xml:space="preserve">and</w:t>
      </w:r>
      <w:r>
        <w:t xml:space="preserve"> </w:t>
      </w:r>
      <m:oMath>
        <m:sSub>
          <m:e>
            <m:r>
              <m:t>b</m:t>
            </m:r>
          </m:e>
          <m:sub>
            <m:r>
              <m:t>1</m:t>
            </m:r>
          </m:sub>
        </m:sSub>
      </m:oMath>
      <w:r>
        <w:t xml:space="preserve"> </w:t>
      </w:r>
      <w:r>
        <w:t xml:space="preserve">that minimizes the variance in</w:t>
      </w:r>
      <w:r>
        <w:t xml:space="preserve"> </w:t>
      </w:r>
      <m:oMath>
        <m:r>
          <m:t>e</m:t>
        </m:r>
      </m:oMath>
      <w:r>
        <w:t xml:space="preserve">, namely,</w:t>
      </w:r>
      <w:r>
        <w:t xml:space="preserve"> </w:t>
      </w:r>
      <m:oMath>
        <m:sSup>
          <m:e>
            <m:r>
              <m:t>σ</m:t>
            </m:r>
          </m:e>
          <m:sup>
            <m:r>
              <m:t>2</m:t>
            </m:r>
          </m:sup>
        </m:sSup>
      </m:oMath>
      <w:r>
        <w:t xml:space="preserve">. In a multiple regression we can model</w:t>
      </w:r>
      <w:r>
        <w:t xml:space="preserve"> </w:t>
      </w:r>
      <m:oMath>
        <m:r>
          <m:t>y</m:t>
        </m:r>
      </m:oMath>
      <w:r>
        <w:t xml:space="preserve"> </w:t>
      </w:r>
      <w:r>
        <w:t xml:space="preserve">as a function of multiple predictor variables such that,</w:t>
      </w:r>
    </w:p>
    <w:p>
      <w:pPr>
        <w:pStyle w:val="BodyText"/>
      </w:pPr>
      <m:oMathPara>
        <m:oMathParaPr>
          <m:jc m:val="center"/>
        </m:oMathParaPr>
        <m:oMath>
          <m:r>
            <m:t>y</m:t>
          </m:r>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r>
            <m:rPr>
              <m:sty m:val="p"/>
            </m:rPr>
            <m:t>.</m:t>
          </m:r>
          <m:r>
            <m:rPr>
              <m:sty m:val="p"/>
            </m:rPr>
            <m:t>+</m:t>
          </m:r>
          <m:r>
            <m:t>e</m:t>
          </m:r>
        </m:oMath>
      </m:oMathPara>
    </w:p>
    <w:p>
      <w:pPr>
        <w:pStyle w:val="FirstParagraph"/>
      </w:pPr>
      <w:r>
        <w:t xml:space="preserve">Where the coefficients are all optimized jointly to minimize the error variance. The line produced by the regression equation is our predicted values of</w:t>
      </w:r>
      <w:r>
        <w:t xml:space="preserve"> </w:t>
      </w:r>
      <m:oMath>
        <m:sSub>
          <m:e>
            <m:r>
              <m:t>y</m:t>
            </m:r>
          </m:e>
          <m:sub>
            <m:r>
              <m:t>i</m:t>
            </m:r>
          </m:sub>
        </m:sSub>
      </m:oMath>
      <w:r>
        <w:t xml:space="preserve">, however it can also be interpreted as the mean of</w:t>
      </w:r>
      <w:r>
        <w:t xml:space="preserve"> </w:t>
      </w:r>
      <m:oMath>
        <m:r>
          <m:t>y</m:t>
        </m:r>
      </m:oMath>
      <w:r>
        <w:t xml:space="preserve"> </w:t>
      </w:r>
      <w:r>
        <w:t xml:space="preserve">given some value of</w:t>
      </w:r>
      <w:r>
        <w:t xml:space="preserve"> </w:t>
      </w:r>
      <m:oMath>
        <m:r>
          <m:t>x</m:t>
        </m:r>
      </m:oMath>
      <w:r>
        <w:t xml:space="preserve">. In a regression equation we can construct more complex models that include non-linear terms such as interactions or polynomials (or any sort of function of</w:t>
      </w:r>
      <w:r>
        <w:t xml:space="preserve"> </w:t>
      </w:r>
      <m:oMath>
        <m:r>
          <m:t>x</m:t>
        </m:r>
      </m:oMath>
      <w:r>
        <w:t xml:space="preserve">). For example, we can create a model where we include a main effect,</w:t>
      </w:r>
      <w:r>
        <w:t xml:space="preserve"> </w:t>
      </w:r>
      <m:oMath>
        <m:sSub>
          <m:e>
            <m:r>
              <m:t>x</m:t>
            </m:r>
          </m:e>
          <m:sub>
            <m:r>
              <m:t>1</m:t>
            </m:r>
          </m:sub>
        </m:sSub>
      </m:oMath>
      <w:r>
        <w:t xml:space="preserve">, a quadratic polynomial term,</w:t>
      </w:r>
      <w:r>
        <w:t xml:space="preserve"> </w:t>
      </w:r>
      <m:oMath>
        <m:sSubSup>
          <m:e>
            <m:r>
              <m:t>x</m:t>
            </m:r>
          </m:e>
          <m:sub>
            <m:r>
              <m:t>1</m:t>
            </m:r>
          </m:sub>
          <m:sup>
            <m:r>
              <m:t>2</m:t>
            </m:r>
          </m:sup>
        </m:sSubSup>
      </m:oMath>
      <w:r>
        <w:t xml:space="preserve"> </w:t>
      </w:r>
      <w:r>
        <w:t xml:space="preserve">and an interaction term,</w:t>
      </w:r>
      <w:r>
        <w:t xml:space="preserve"> </w:t>
      </w:r>
      <m:oMath>
        <m:sSub>
          <m:e>
            <m:r>
              <m:t>x</m:t>
            </m:r>
          </m:e>
          <m:sub>
            <m:r>
              <m:t>1</m:t>
            </m:r>
          </m:sub>
        </m:sSub>
        <m:sSub>
          <m:e>
            <m:r>
              <m:t>x</m:t>
            </m:r>
          </m:e>
          <m:sub>
            <m:r>
              <m:t>2</m:t>
            </m:r>
          </m:sub>
        </m:sSub>
      </m:oMath>
      <w:r>
        <w:t xml:space="preserve">,</w:t>
      </w:r>
    </w:p>
    <w:p>
      <w:pPr>
        <w:pStyle w:val="BodyText"/>
      </w:pPr>
      <m:oMathPara>
        <m:oMathParaPr>
          <m:jc m:val="center"/>
        </m:oMathParaPr>
        <m:oMath>
          <m:sSub>
            <m:e>
              <m:r>
                <m:t>y</m:t>
              </m:r>
            </m:e>
            <m:sub>
              <m:r>
                <m:t>i</m:t>
              </m:r>
            </m:sub>
          </m:sSub>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Sup>
            <m:e>
              <m:r>
                <m:t>x</m:t>
              </m:r>
            </m:e>
            <m:sub>
              <m:r>
                <m:t>2</m:t>
              </m:r>
            </m:sub>
            <m:sup>
              <m:r>
                <m:t>2</m:t>
              </m:r>
            </m:sup>
          </m:sSubSup>
          <m:r>
            <m:rPr>
              <m:sty m:val="p"/>
            </m:rPr>
            <m:t>+</m:t>
          </m:r>
          <m:sSub>
            <m:e>
              <m:r>
                <m:t>b</m:t>
              </m:r>
            </m:e>
            <m:sub>
              <m:r>
                <m:t>2</m:t>
              </m:r>
            </m:sub>
          </m:sSub>
          <m:sSub>
            <m:e>
              <m:r>
                <m:t>x</m:t>
              </m:r>
            </m:e>
            <m:sub>
              <m:r>
                <m:t>1</m:t>
              </m:r>
            </m:sub>
          </m:sSub>
          <m:sSub>
            <m:e>
              <m:r>
                <m:t>x</m:t>
              </m:r>
            </m:e>
            <m:sub>
              <m:r>
                <m:t>2</m:t>
              </m:r>
            </m:sub>
          </m:sSub>
          <m:r>
            <m:rPr>
              <m:sty m:val="p"/>
            </m:rPr>
            <m:t>+</m:t>
          </m:r>
          <m:sSub>
            <m:e>
              <m:r>
                <m:t>e</m:t>
              </m:r>
            </m:e>
            <m:sub>
              <m:r>
                <m:t>i</m:t>
              </m:r>
            </m:sub>
          </m:sSub>
        </m:oMath>
      </m:oMathPara>
    </w:p>
    <w:bookmarkEnd w:id="187"/>
    <w:bookmarkStart w:id="188" w:name="effect-sizes-for-a-linear-regression"/>
    <w:p>
      <w:pPr>
        <w:pStyle w:val="Heading2"/>
      </w:pPr>
      <w:r>
        <w:t xml:space="preserve">14.2 Effect Sizes for a Linear Regression</w:t>
      </w:r>
    </w:p>
    <w:p>
      <w:pPr>
        <w:pStyle w:val="FirstParagraph"/>
      </w:pPr>
      <w:r>
        <w:t xml:space="preserve">If we want to calculate the variance explained in the outcome by all the predictor variables, we can compute an</w:t>
      </w:r>
      <w:r>
        <w:t xml:space="preserve"> </w:t>
      </w:r>
      <m:oMath>
        <m:sSup>
          <m:e>
            <m:r>
              <m:t>R</m:t>
            </m:r>
          </m:e>
          <m:sup>
            <m:r>
              <m:t>2</m:t>
            </m:r>
          </m:sup>
        </m:sSup>
      </m:oMath>
      <w:r>
        <w:t xml:space="preserve"> </w:t>
      </w:r>
      <w:r>
        <w:t xml:space="preserve">value. The</w:t>
      </w:r>
      <w:r>
        <w:t xml:space="preserve"> </w:t>
      </w:r>
      <m:oMath>
        <m:sSup>
          <m:e>
            <m:r>
              <m:t>R</m:t>
            </m:r>
          </m:e>
          <m:sup>
            <m:r>
              <m:t>2</m:t>
            </m:r>
          </m:sup>
        </m:sSup>
      </m:oMath>
      <w:r>
        <w:t xml:space="preserve"> </w:t>
      </w:r>
      <w:r>
        <w:t xml:space="preserve">value can be interpreted one of two ways:</w:t>
      </w:r>
    </w:p>
    <w:p>
      <w:pPr>
        <w:numPr>
          <w:ilvl w:val="0"/>
          <w:numId w:val="1026"/>
        </w:numPr>
        <w:pStyle w:val="Compact"/>
      </w:pPr>
      <w:r>
        <w:t xml:space="preserve">the variance in</w:t>
      </w:r>
      <w:r>
        <w:t xml:space="preserve"> </w:t>
      </w:r>
      <m:oMath>
        <m:r>
          <m:t>y</m:t>
        </m:r>
      </m:oMath>
      <w:r>
        <w:t xml:space="preserve"> </w:t>
      </w:r>
      <w:r>
        <w:t xml:space="preserve">explained by the predictor variables</w:t>
      </w:r>
    </w:p>
    <w:p>
      <w:pPr>
        <w:numPr>
          <w:ilvl w:val="0"/>
          <w:numId w:val="1026"/>
        </w:numPr>
        <w:pStyle w:val="Compact"/>
      </w:pPr>
      <w:r>
        <w:t xml:space="preserve">the square of the correlation between predicted</w:t>
      </w:r>
      <w:r>
        <w:t xml:space="preserve"> </w:t>
      </w:r>
      <m:oMath>
        <m:r>
          <m:t>y</m:t>
        </m:r>
      </m:oMath>
      <w:r>
        <w:t xml:space="preserve"> </w:t>
      </w:r>
      <w:r>
        <w:t xml:space="preserve">values and observed (actual)</w:t>
      </w:r>
      <w:r>
        <w:t xml:space="preserve"> </w:t>
      </w:r>
      <m:oMath>
        <m:r>
          <m:t>y</m:t>
        </m:r>
      </m:oMath>
      <w:r>
        <w:t xml:space="preserve"> </w:t>
      </w:r>
      <w:r>
        <w:t xml:space="preserve">values</w:t>
      </w:r>
    </w:p>
    <w:p>
      <w:pPr>
        <w:pStyle w:val="FirstParagraph"/>
      </w:pPr>
      <w:r>
        <w:t xml:space="preserve">Likewise we can also take the square root of</w:t>
      </w:r>
      <w:r>
        <w:t xml:space="preserve"> </w:t>
      </w:r>
      <m:oMath>
        <m:sSup>
          <m:e>
            <m:r>
              <m:t>R</m:t>
            </m:r>
          </m:e>
          <m:sup>
            <m:r>
              <m:t>2</m:t>
            </m:r>
          </m:sup>
        </m:sSup>
      </m:oMath>
      <w:r>
        <w:t xml:space="preserve"> </w:t>
      </w:r>
      <w:r>
        <w:t xml:space="preserve">to get the correlation between predicted and observed</w:t>
      </w:r>
      <w:r>
        <w:t xml:space="preserve"> </w:t>
      </w:r>
      <m:oMath>
        <m:r>
          <m:t>y</m:t>
        </m:r>
      </m:oMath>
      <w:r>
        <w:t xml:space="preserve"> </w:t>
      </w:r>
      <w:r>
        <w:t xml:space="preserve">values. We can construct an linear regression model quite easily in base R using the</w:t>
      </w:r>
      <w:r>
        <w:t xml:space="preserve"> </w:t>
      </w:r>
      <w:r>
        <w:rPr>
          <w:rStyle w:val="VerbatimChar"/>
        </w:rPr>
        <w:t xml:space="preserve">lm()</w:t>
      </w:r>
      <w:r>
        <w:t xml:space="preserve"> </w:t>
      </w:r>
      <w:r>
        <w:t xml:space="preserve">function. We will use the</w:t>
      </w:r>
      <w:r>
        <w:t xml:space="preserve"> </w:t>
      </w:r>
      <w:r>
        <w:rPr>
          <w:rStyle w:val="VerbatimChar"/>
        </w:rPr>
        <w:t xml:space="preserve">palmerpenguins</w:t>
      </w:r>
      <w:r>
        <w:t xml:space="preserve"> </w:t>
      </w:r>
      <w:r>
        <w:t xml:space="preserve">dataset for our example.</w:t>
      </w:r>
    </w:p>
    <w:p>
      <w:pPr>
        <w:pStyle w:val="SourceCode"/>
      </w:pPr>
      <w:r>
        <w:rPr>
          <w:rStyle w:val="FunctionTok"/>
        </w:rPr>
        <w:t xml:space="preserve">library</w:t>
      </w:r>
      <w:r>
        <w:rPr>
          <w:rStyle w:val="NormalTok"/>
        </w:rPr>
        <w:t xml:space="preserve">(palmerpenguins)</w:t>
      </w:r>
      <w:r>
        <w:br/>
      </w:r>
      <w:r>
        <w:br/>
      </w:r>
      <w:r>
        <w:br/>
      </w:r>
      <w:r>
        <w:rPr>
          <w:rStyle w:val="NormalTok"/>
        </w:rPr>
        <w:t xml:space="preserve">mdl </w:t>
      </w:r>
      <w:r>
        <w:rPr>
          <w:rStyle w:val="OtherTok"/>
        </w:rPr>
        <w:t xml:space="preserve">&lt;-</w:t>
      </w:r>
      <w:r>
        <w:rPr>
          <w:rStyle w:val="NormalTok"/>
        </w:rPr>
        <w:t xml:space="preserve"> </w:t>
      </w:r>
      <w:r>
        <w:rPr>
          <w:rStyle w:val="FunctionTok"/>
        </w:rPr>
        <w:t xml:space="preserve">lm</w:t>
      </w:r>
      <w:r>
        <w:rPr>
          <w:rStyle w:val="NormalTok"/>
        </w:rPr>
        <w:t xml:space="preserve">(bill_length_mm </w:t>
      </w:r>
      <w:r>
        <w:rPr>
          <w:rStyle w:val="SpecialCharTok"/>
        </w:rPr>
        <w:t xml:space="preserve">~</w:t>
      </w:r>
      <w:r>
        <w:rPr>
          <w:rStyle w:val="NormalTok"/>
        </w:rPr>
        <w:t xml:space="preserve"> flipper_length_mm </w:t>
      </w:r>
      <w:r>
        <w:rPr>
          <w:rStyle w:val="SpecialCharTok"/>
        </w:rPr>
        <w:t xml:space="preserve">+</w:t>
      </w:r>
      <w:r>
        <w:rPr>
          <w:rStyle w:val="NormalTok"/>
        </w:rPr>
        <w:t xml:space="preserve"> bill_depth_mm, </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summary</w:t>
      </w:r>
      <w:r>
        <w:rPr>
          <w:rStyle w:val="NormalTok"/>
        </w:rPr>
        <w:t xml:space="preserve">(mdl)</w:t>
      </w:r>
    </w:p>
    <w:p>
      <w:pPr>
        <w:pStyle w:val="SourceCode"/>
      </w:pPr>
      <w:r>
        <w:br/>
      </w:r>
      <w:r>
        <w:rPr>
          <w:rStyle w:val="VerbatimChar"/>
        </w:rPr>
        <w:t xml:space="preserve">Call:</w:t>
      </w:r>
      <w:r>
        <w:br/>
      </w:r>
      <w:r>
        <w:rPr>
          <w:rStyle w:val="VerbatimChar"/>
        </w:rPr>
        <w:t xml:space="preserve">lm(formula = bill_length_mm ~ flipper_length_mm + bill_depth_mm, </w:t>
      </w:r>
      <w:r>
        <w:br/>
      </w:r>
      <w:r>
        <w:rPr>
          <w:rStyle w:val="VerbatimChar"/>
        </w:rPr>
        <w:t xml:space="preserve">    data = penguins)</w:t>
      </w:r>
      <w:r>
        <w:br/>
      </w:r>
      <w:r>
        <w:br/>
      </w:r>
      <w:r>
        <w:rPr>
          <w:rStyle w:val="VerbatimChar"/>
        </w:rPr>
        <w:t xml:space="preserve">Residuals:</w:t>
      </w:r>
      <w:r>
        <w:br/>
      </w:r>
      <w:r>
        <w:rPr>
          <w:rStyle w:val="VerbatimChar"/>
        </w:rPr>
        <w:t xml:space="preserve">     Min       1Q   Median       3Q      Max </w:t>
      </w:r>
      <w:r>
        <w:br/>
      </w:r>
      <w:r>
        <w:rPr>
          <w:rStyle w:val="VerbatimChar"/>
        </w:rPr>
        <w:t xml:space="preserve">-10.8831  -2.7734  -0.3268   2.3128  19.7630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-28.14701    5.51435  -5.104 5.54e-07 ***</w:t>
      </w:r>
      <w:r>
        <w:br/>
      </w:r>
      <w:r>
        <w:rPr>
          <w:rStyle w:val="VerbatimChar"/>
        </w:rPr>
        <w:t xml:space="preserve">flipper_length_mm   0.30569    0.01902  16.073  &lt; 2e-16 ***</w:t>
      </w:r>
      <w:r>
        <w:br/>
      </w:r>
      <w:r>
        <w:rPr>
          <w:rStyle w:val="VerbatimChar"/>
        </w:rPr>
        <w:t xml:space="preserve">bill_depth_mm       0.62103    0.13543   4.586 6.38e-06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4.009 on 339 degrees of freedom</w:t>
      </w:r>
      <w:r>
        <w:br/>
      </w:r>
      <w:r>
        <w:rPr>
          <w:rStyle w:val="VerbatimChar"/>
        </w:rPr>
        <w:t xml:space="preserve">  (2 observations deleted due to missingness)</w:t>
      </w:r>
      <w:r>
        <w:br/>
      </w:r>
      <w:r>
        <w:rPr>
          <w:rStyle w:val="VerbatimChar"/>
        </w:rPr>
        <w:t xml:space="preserve">Multiple R-squared:  0.4638,    Adjusted R-squared:  0.4607 </w:t>
      </w:r>
      <w:r>
        <w:br/>
      </w:r>
      <w:r>
        <w:rPr>
          <w:rStyle w:val="VerbatimChar"/>
        </w:rPr>
        <w:t xml:space="preserve">F-statistic: 146.6 on 2 and 339 DF,  p-value: &lt; 2.2e-16</w:t>
      </w:r>
    </w:p>
    <w:p>
      <w:pPr>
        <w:pStyle w:val="FirstParagraph"/>
      </w:pPr>
      <w:r>
        <w:t xml:space="preserve">We will notice that the linear regression summary returns two</w:t>
      </w:r>
      <w:r>
        <w:t xml:space="preserve"> </w:t>
      </w:r>
      <m:oMath>
        <m:sSup>
          <m:e>
            <m:r>
              <m:t>R</m:t>
            </m:r>
          </m:e>
          <m:sup>
            <m:r>
              <m:t>2</m:t>
            </m:r>
          </m:sup>
        </m:sSup>
      </m:oMath>
      <w:r>
        <w:t xml:space="preserve"> </w:t>
      </w:r>
      <w:r>
        <w:t xml:space="preserve">values. The first one is the traditional</w:t>
      </w:r>
      <w:r>
        <w:t xml:space="preserve"> </w:t>
      </w:r>
      <m:oMath>
        <m:sSup>
          <m:e>
            <m:r>
              <m:t>R</m:t>
            </m:r>
          </m:e>
          <m:sup>
            <m:r>
              <m:t>2</m:t>
            </m:r>
          </m:sup>
        </m:sSup>
      </m:oMath>
      <w:r>
        <w:t xml:space="preserve"> </w:t>
      </w:r>
      <w:r>
        <w:t xml:space="preserve">and the other is the adjusted</w:t>
      </w:r>
      <w:r>
        <w:t xml:space="preserve"> </w:t>
      </w:r>
      <m:oMath>
        <m:sSup>
          <m:e>
            <m:r>
              <m:t>R</m:t>
            </m:r>
          </m:e>
          <m:sup>
            <m:r>
              <m:t>2</m:t>
            </m:r>
          </m:sup>
        </m:sSup>
      </m:oMath>
      <w:r>
        <w:t xml:space="preserve">. The adjusted</w:t>
      </w:r>
      <w:r>
        <w:t xml:space="preserve"> </w:t>
      </w:r>
      <m:oMath>
        <m:sSubSup>
          <m:e>
            <m:r>
              <m:t>R</m:t>
            </m:r>
          </m:e>
          <m:sub>
            <m:r>
              <m:rPr>
                <m:nor/>
                <m:sty m:val="p"/>
              </m:rPr>
              <m:t>adj</m:t>
            </m:r>
          </m:sub>
          <m:sup>
            <m:r>
              <m:t>2</m:t>
            </m:r>
          </m:sup>
        </m:sSubSup>
      </m:oMath>
      <w:r>
        <w:t xml:space="preserve"> </w:t>
      </w:r>
      <w:r>
        <w:t xml:space="preserve">applies a correction factor since</w:t>
      </w:r>
      <w:r>
        <w:t xml:space="preserve"> </w:t>
      </w:r>
      <m:oMath>
        <m:sSup>
          <m:e>
            <m:r>
              <m:t>R</m:t>
            </m:r>
          </m:e>
          <m:sup>
            <m:r>
              <m:t>2</m:t>
            </m:r>
          </m:sup>
        </m:sSup>
      </m:oMath>
      <w:r>
        <w:t xml:space="preserve"> </w:t>
      </w:r>
      <w:r>
        <w:t xml:space="preserve">it is often bias when there are more predictor variables and a smaller sample size. If we want to know the contribution for each term in the regression model, we can also use semi-partial</w:t>
      </w:r>
      <w:r>
        <w:t xml:space="preserve"> </w:t>
      </w:r>
      <m:oMath>
        <m:r>
          <m:t>s</m:t>
        </m:r>
        <m:sSup>
          <m:e>
            <m:r>
              <m:t>r</m:t>
            </m:r>
          </m:e>
          <m:sup>
            <m:r>
              <m:t>2</m:t>
            </m:r>
          </m:sup>
        </m:sSup>
      </m:oMath>
      <w:r>
        <w:t xml:space="preserve"> </w:t>
      </w:r>
      <w:r>
        <w:t xml:space="preserve">values that are similar to partial eta-squared in the ANOVA section of this book. In R, we can calculate</w:t>
      </w:r>
      <w:r>
        <w:t xml:space="preserve"> </w:t>
      </w:r>
      <m:oMath>
        <m:r>
          <m:t>s</m:t>
        </m:r>
        <m:sSup>
          <m:e>
            <m:r>
              <m:t>r</m:t>
            </m:r>
          </m:e>
          <m:sup>
            <m:r>
              <m:t>2</m:t>
            </m:r>
          </m:sup>
        </m:sSup>
      </m:oMath>
      <w:r>
        <w:t xml:space="preserve"> </w:t>
      </w:r>
      <w:r>
        <w:t xml:space="preserve">with the</w:t>
      </w:r>
      <w:r>
        <w:t xml:space="preserve"> </w:t>
      </w:r>
      <w:r>
        <w:rPr>
          <w:rStyle w:val="VerbatimChar"/>
        </w:rPr>
        <w:t xml:space="preserve">r2_semipartial()</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FunctionTok"/>
        </w:rPr>
        <w:t xml:space="preserve">library</w:t>
      </w:r>
      <w:r>
        <w:rPr>
          <w:rStyle w:val="NormalTok"/>
        </w:rPr>
        <w:t xml:space="preserve">(effectsize)</w:t>
      </w:r>
      <w:r>
        <w:br/>
      </w:r>
      <w:r>
        <w:br/>
      </w:r>
      <w:r>
        <w:rPr>
          <w:rStyle w:val="FunctionTok"/>
        </w:rPr>
        <w:t xml:space="preserve">r2_semipartial</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Term              |  sr2 |       95% CI</w:t>
      </w:r>
      <w:r>
        <w:br/>
      </w:r>
      <w:r>
        <w:rPr>
          <w:rStyle w:val="VerbatimChar"/>
        </w:rPr>
        <w:t xml:space="preserve">---------------------------------------</w:t>
      </w:r>
      <w:r>
        <w:br/>
      </w:r>
      <w:r>
        <w:rPr>
          <w:rStyle w:val="VerbatimChar"/>
        </w:rPr>
        <w:t xml:space="preserve">flipper_length_mm | 0.41 | [0.33, 0.49]</w:t>
      </w:r>
      <w:r>
        <w:br/>
      </w:r>
      <w:r>
        <w:rPr>
          <w:rStyle w:val="VerbatimChar"/>
        </w:rPr>
        <w:t xml:space="preserve">bill_depth_mm     | 0.03 | [0.01, 0.06]</w:t>
      </w:r>
    </w:p>
    <w:p>
      <w:pPr>
        <w:pStyle w:val="FirstParagraph"/>
      </w:pPr>
      <w:r>
        <w:t xml:space="preserve">A standardized effect size for each term could also be calculated from standardizing the regression coefficients. Standardized regression coefficients are calculated by re-scaling the predictor and outcome variables to be z-scores (i.e., setting the mean and variance to be zero and one, respectively).</w:t>
      </w:r>
    </w:p>
    <w:p>
      <w:pPr>
        <w:pStyle w:val="SourceCode"/>
      </w:pPr>
      <w:r>
        <w:rPr>
          <w:rStyle w:val="NormalTok"/>
        </w:rPr>
        <w:t xml:space="preserve">stand_mdl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scale</w:t>
      </w:r>
      <w:r>
        <w:rPr>
          <w:rStyle w:val="NormalTok"/>
        </w:rPr>
        <w:t xml:space="preserve">(bill_length_mm) </w:t>
      </w:r>
      <w:r>
        <w:rPr>
          <w:rStyle w:val="SpecialCharTok"/>
        </w:rPr>
        <w:t xml:space="preserve">~</w:t>
      </w:r>
      <w:r>
        <w:rPr>
          <w:rStyle w:val="NormalTok"/>
        </w:rPr>
        <w:t xml:space="preserve"> </w:t>
      </w:r>
      <w:r>
        <w:rPr>
          <w:rStyle w:val="FunctionTok"/>
        </w:rPr>
        <w:t xml:space="preserve">scale</w:t>
      </w:r>
      <w:r>
        <w:rPr>
          <w:rStyle w:val="NormalTok"/>
        </w:rPr>
        <w:t xml:space="preserve">(flipper_length_mm) </w:t>
      </w:r>
      <w:r>
        <w:rPr>
          <w:rStyle w:val="SpecialCharTok"/>
        </w:rPr>
        <w:t xml:space="preserve">+</w:t>
      </w:r>
      <w:r>
        <w:rPr>
          <w:rStyle w:val="NormalTok"/>
        </w:rPr>
        <w:t xml:space="preserve"> </w:t>
      </w:r>
      <w:r>
        <w:rPr>
          <w:rStyle w:val="FunctionTok"/>
        </w:rPr>
        <w:t xml:space="preserve">scale</w:t>
      </w:r>
      <w:r>
        <w:rPr>
          <w:rStyle w:val="NormalTok"/>
        </w:rPr>
        <w:t xml:space="preserve">(bill_depth_mm), </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summary</w:t>
      </w:r>
      <w:r>
        <w:rPr>
          <w:rStyle w:val="NormalTok"/>
        </w:rPr>
        <w:t xml:space="preserve">(stand_mdl)</w:t>
      </w:r>
    </w:p>
    <w:p>
      <w:pPr>
        <w:pStyle w:val="SourceCode"/>
      </w:pPr>
      <w:r>
        <w:br/>
      </w:r>
      <w:r>
        <w:rPr>
          <w:rStyle w:val="VerbatimChar"/>
        </w:rPr>
        <w:t xml:space="preserve">Call:</w:t>
      </w:r>
      <w:r>
        <w:br/>
      </w:r>
      <w:r>
        <w:rPr>
          <w:rStyle w:val="VerbatimChar"/>
        </w:rPr>
        <w:t xml:space="preserve">lm(formula = scale(bill_length_mm) ~ scale(flipper_length_mm) + </w:t>
      </w:r>
      <w:r>
        <w:br/>
      </w:r>
      <w:r>
        <w:rPr>
          <w:rStyle w:val="VerbatimChar"/>
        </w:rPr>
        <w:t xml:space="preserve">    scale(bill_depth_mm), data = penguins)</w:t>
      </w:r>
      <w:r>
        <w:br/>
      </w:r>
      <w:r>
        <w:br/>
      </w:r>
      <w:r>
        <w:rPr>
          <w:rStyle w:val="VerbatimChar"/>
        </w:rPr>
        <w:t xml:space="preserve">Residuals:</w:t>
      </w:r>
      <w:r>
        <w:br/>
      </w:r>
      <w:r>
        <w:rPr>
          <w:rStyle w:val="VerbatimChar"/>
        </w:rPr>
        <w:t xml:space="preserve">    Min      1Q  Median      3Q     Max </w:t>
      </w:r>
      <w:r>
        <w:br/>
      </w:r>
      <w:r>
        <w:rPr>
          <w:rStyle w:val="VerbatimChar"/>
        </w:rPr>
        <w:t xml:space="preserve">-1.9934 -0.5080 -0.0599  0.4236  3.6199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-2.328e-15  3.971e-02   0.000        1    </w:t>
      </w:r>
      <w:r>
        <w:br/>
      </w:r>
      <w:r>
        <w:rPr>
          <w:rStyle w:val="VerbatimChar"/>
        </w:rPr>
        <w:t xml:space="preserve">scale(flipper_length_mm)  7.873e-01  4.899e-02  16.073  &lt; 2e-16 ***</w:t>
      </w:r>
      <w:r>
        <w:br/>
      </w:r>
      <w:r>
        <w:rPr>
          <w:rStyle w:val="VerbatimChar"/>
        </w:rPr>
        <w:t xml:space="preserve">scale(bill_depth_mm)      2.246e-01  4.899e-02   4.586 6.38e-06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0.7344 on 339 degrees of freedom</w:t>
      </w:r>
      <w:r>
        <w:br/>
      </w:r>
      <w:r>
        <w:rPr>
          <w:rStyle w:val="VerbatimChar"/>
        </w:rPr>
        <w:t xml:space="preserve">  (2 observations deleted due to missingness)</w:t>
      </w:r>
      <w:r>
        <w:br/>
      </w:r>
      <w:r>
        <w:rPr>
          <w:rStyle w:val="VerbatimChar"/>
        </w:rPr>
        <w:t xml:space="preserve">Multiple R-squared:  0.4638,    Adjusted R-squared:  0.4607 </w:t>
      </w:r>
      <w:r>
        <w:br/>
      </w:r>
      <w:r>
        <w:rPr>
          <w:rStyle w:val="VerbatimChar"/>
        </w:rPr>
        <w:t xml:space="preserve">F-statistic: 146.6 on 2 and 339 DF,  p-value: &lt; 2.2e-16</w:t>
      </w:r>
    </w:p>
    <w:p>
      <w:pPr>
        <w:pStyle w:val="FirstParagraph"/>
      </w:pPr>
      <w:r>
        <w:t xml:space="preserve">Alternatively, we can use the</w:t>
      </w:r>
      <w:r>
        <w:t xml:space="preserve"> </w:t>
      </w:r>
      <w:r>
        <w:rPr>
          <w:rStyle w:val="VerbatimChar"/>
        </w:rPr>
        <w:t xml:space="preserve">standardise</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FunctionTok"/>
        </w:rPr>
        <w:t xml:space="preserve">standardise</w:t>
      </w:r>
      <w:r>
        <w:rPr>
          <w:rStyle w:val="NormalTok"/>
        </w:rPr>
        <w:t xml:space="preserve">(mdl)</w:t>
      </w:r>
    </w:p>
    <w:p>
      <w:pPr>
        <w:pStyle w:val="SourceCode"/>
      </w:pPr>
      <w:r>
        <w:br/>
      </w:r>
      <w:r>
        <w:rPr>
          <w:rStyle w:val="VerbatimChar"/>
        </w:rPr>
        <w:t xml:space="preserve">Call:</w:t>
      </w:r>
      <w:r>
        <w:br/>
      </w:r>
      <w:r>
        <w:rPr>
          <w:rStyle w:val="VerbatimChar"/>
        </w:rPr>
        <w:t xml:space="preserve">lm(formula = bill_length_mm ~ flipper_length_mm + bill_depth_mm, </w:t>
      </w:r>
      <w:r>
        <w:br/>
      </w:r>
      <w:r>
        <w:rPr>
          <w:rStyle w:val="VerbatimChar"/>
        </w:rPr>
        <w:t xml:space="preserve">    data = data_std)</w:t>
      </w:r>
      <w:r>
        <w:br/>
      </w:r>
      <w:r>
        <w:br/>
      </w:r>
      <w:r>
        <w:rPr>
          <w:rStyle w:val="VerbatimChar"/>
        </w:rPr>
        <w:t xml:space="preserve">Coefficients:</w:t>
      </w:r>
      <w:r>
        <w:br/>
      </w:r>
      <w:r>
        <w:rPr>
          <w:rStyle w:val="VerbatimChar"/>
        </w:rPr>
        <w:t xml:space="preserve">      (Intercept)  flipper_length_mm      bill_depth_mm  </w:t>
      </w:r>
      <w:r>
        <w:br/>
      </w:r>
      <w:r>
        <w:rPr>
          <w:rStyle w:val="VerbatimChar"/>
        </w:rPr>
        <w:t xml:space="preserve">        4.335e-16          7.873e-01          2.246e-01  </w:t>
      </w:r>
    </w:p>
    <w:bookmarkEnd w:id="188"/>
    <w:bookmarkStart w:id="189" w:name="X75c5940228b9c39bdfbc24c465099a38d05b98d"/>
    <w:p>
      <w:pPr>
        <w:pStyle w:val="Heading2"/>
      </w:pPr>
      <w:r>
        <w:t xml:space="preserve">14.3 Pearson correlation vs regression coefficients in simple linear regressions</w:t>
      </w:r>
    </w:p>
    <w:p>
      <w:pPr>
        <w:pStyle w:val="FirstParagraph"/>
      </w:pPr>
      <w:r>
        <w:t xml:space="preserve">A slope coefficient in a simple linear regression model can be defined as the covariance between predictor</w:t>
      </w:r>
      <w:r>
        <w:t xml:space="preserve"> </w:t>
      </w:r>
      <m:oMath>
        <m:r>
          <m:t>x</m:t>
        </m:r>
      </m:oMath>
      <w:r>
        <w:t xml:space="preserve"> </w:t>
      </w:r>
      <w:r>
        <w:t xml:space="preserve">and outcome</w:t>
      </w:r>
      <w:r>
        <w:t xml:space="preserve"> </w:t>
      </w:r>
      <m:oMath>
        <m:r>
          <m:t>y</m:t>
        </m:r>
      </m:oMath>
      <w:r>
        <w:t xml:space="preserve"> </w:t>
      </w:r>
      <w:r>
        <w:t xml:space="preserve">divided by the variance in</w:t>
      </w:r>
      <w:r>
        <w:t xml:space="preserve"> </w:t>
      </w:r>
      <m:oMath>
        <m:r>
          <m:t>x</m:t>
        </m:r>
      </m:oMath>
      <w:r>
        <w:t xml:space="preserve">,</w:t>
      </w:r>
    </w:p>
    <w:p>
      <w:pPr>
        <w:pStyle w:val="BodyText"/>
      </w:pPr>
      <m:oMathPara>
        <m:oMathParaPr>
          <m:jc m:val="center"/>
        </m:oMathParaPr>
        <m:oMath>
          <m:sSub>
            <m:e>
              <m:r>
                <m:t>b</m:t>
              </m:r>
            </m:e>
            <m:sub>
              <m:r>
                <m:t>1</m:t>
              </m:r>
            </m:sub>
          </m:sSub>
          <m:r>
            <m:rPr>
              <m:sty m:val="p"/>
            </m:rPr>
            <m:t>=</m:t>
          </m:r>
          <m:f>
            <m:fPr>
              <m:type m:val="bar"/>
            </m:fPr>
            <m:num>
              <m:r>
                <m:rPr>
                  <m:nor/>
                  <m:sty m:val="p"/>
                </m:rPr>
                <m:t>Cov</m:t>
              </m:r>
              <m:d>
                <m:dPr>
                  <m:begChr m:val="("/>
                  <m:endChr m:val=")"/>
                  <m:sepChr m:val=""/>
                  <m:grow/>
                </m:dPr>
                <m:e>
                  <m:r>
                    <m:t>x</m:t>
                  </m:r>
                  <m:r>
                    <m:rPr>
                      <m:sty m:val="p"/>
                    </m:rPr>
                    <m:t>,</m:t>
                  </m:r>
                  <m:r>
                    <m:t>y</m:t>
                  </m:r>
                </m:e>
              </m:d>
            </m:num>
            <m:den>
              <m:sSubSup>
                <m:e>
                  <m:r>
                    <m:t>S</m:t>
                  </m:r>
                </m:e>
                <m:sub>
                  <m:r>
                    <m:t>x</m:t>
                  </m:r>
                </m:sub>
                <m:sup>
                  <m:r>
                    <m:t>2</m:t>
                  </m:r>
                </m:sup>
              </m:sSubSup>
            </m:den>
          </m:f>
        </m:oMath>
      </m:oMathPara>
    </w:p>
    <w:p>
      <w:pPr>
        <w:pStyle w:val="FirstParagraph"/>
      </w:pPr>
      <w:r>
        <w:t xml:space="preserve">Where</w:t>
      </w:r>
      <w:r>
        <w:t xml:space="preserve"> </w:t>
      </w:r>
      <m:oMath>
        <m:sSub>
          <m:e>
            <m:r>
              <m:t>S</m:t>
            </m:r>
          </m:e>
          <m:sub>
            <m:r>
              <m:t>x</m:t>
            </m:r>
          </m:sub>
        </m:sSub>
      </m:oMath>
      <w:r>
        <w:t xml:space="preserve"> </w:t>
      </w:r>
      <w:r>
        <w:t xml:space="preserve">is the standard deviation of</w:t>
      </w:r>
      <w:r>
        <w:t xml:space="preserve"> </w:t>
      </w:r>
      <m:oMath>
        <m:r>
          <m:t>x</m:t>
        </m:r>
      </m:oMath>
      <w:r>
        <w:t xml:space="preserve"> </w:t>
      </w:r>
      <w:r>
        <w:t xml:space="preserve">(the square of the standard deviation is the variance). A Pearson correlation is defined as,</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We can see that these formulas are quite similar, in fact we can express</w:t>
      </w:r>
      <w:r>
        <w:t xml:space="preserve"> </w:t>
      </w:r>
      <m:oMath>
        <m:r>
          <m:t>r</m:t>
        </m:r>
      </m:oMath>
      <w:r>
        <w:t xml:space="preserve"> </w:t>
      </w:r>
      <w:r>
        <w:t xml:space="preserve">as a function of</w:t>
      </w:r>
      <w:r>
        <w:t xml:space="preserve"> </w:t>
      </w:r>
      <m:oMath>
        <m:sSub>
          <m:e>
            <m:r>
              <m:t>b</m:t>
            </m:r>
          </m:e>
          <m:sub>
            <m:r>
              <m:t>1</m:t>
            </m:r>
          </m:sub>
        </m:sSub>
      </m:oMath>
      <w:r>
        <w:t xml:space="preserve"> </w:t>
      </w:r>
      <w:r>
        <w:t xml:space="preserve">such that,</w:t>
      </w:r>
    </w:p>
    <w:p>
      <w:pPr>
        <w:pStyle w:val="BodyText"/>
      </w:pPr>
      <m:oMathPara>
        <m:oMathParaPr>
          <m:jc m:val="center"/>
        </m:oMathParaPr>
        <m:oMath>
          <m:r>
            <m:t>r</m:t>
          </m:r>
          <m:r>
            <m:rPr>
              <m:sty m:val="p"/>
            </m:rPr>
            <m:t>=</m:t>
          </m:r>
          <m:sSub>
            <m:e>
              <m:r>
                <m:t>b</m:t>
              </m:r>
            </m:e>
            <m:sub>
              <m:r>
                <m:t>1</m:t>
              </m:r>
            </m:sub>
          </m:sSub>
          <m:f>
            <m:fPr>
              <m:type m:val="bar"/>
            </m:fPr>
            <m:num>
              <m:sSub>
                <m:e>
                  <m:r>
                    <m:t>S</m:t>
                  </m:r>
                </m:e>
                <m:sub>
                  <m:r>
                    <m:t>x</m:t>
                  </m:r>
                </m:sub>
              </m:sSub>
            </m:num>
            <m:den>
              <m:sSub>
                <m:e>
                  <m:r>
                    <m:t>S</m:t>
                  </m:r>
                </m:e>
                <m:sub>
                  <m:r>
                    <m:t>y</m:t>
                  </m:r>
                </m:sub>
              </m:sSub>
            </m:den>
          </m:f>
        </m:oMath>
      </m:oMathPara>
    </w:p>
    <w:p>
      <w:pPr>
        <w:pStyle w:val="FirstParagraph"/>
      </w:pPr>
      <w:r>
        <w:t xml:space="preserve">Which means that if</w:t>
      </w:r>
      <w:r>
        <w:t xml:space="preserve"> </w:t>
      </w:r>
      <m:oMath>
        <m:sSub>
          <m:e>
            <m:r>
              <m:t>S</m:t>
            </m:r>
          </m:e>
          <m:sub>
            <m:r>
              <m:t>x</m:t>
            </m:r>
          </m:sub>
        </m:sSub>
        <m:r>
          <m:rPr>
            <m:sty m:val="p"/>
          </m:rPr>
          <m:t>=</m:t>
        </m:r>
        <m:sSub>
          <m:e>
            <m:r>
              <m:t>S</m:t>
            </m:r>
          </m:e>
          <m:sub>
            <m:r>
              <m:t>y</m:t>
            </m:r>
          </m:sub>
        </m:sSub>
      </m:oMath>
      <w:r>
        <w:t xml:space="preserve"> </w:t>
      </w:r>
      <w:r>
        <w:t xml:space="preserve">then</w:t>
      </w:r>
      <w:r>
        <w:t xml:space="preserve"> </w:t>
      </w:r>
      <m:oMath>
        <m:r>
          <m:t>r</m:t>
        </m:r>
        <m:r>
          <m:rPr>
            <m:sty m:val="p"/>
          </m:rPr>
          <m:t>=</m:t>
        </m:r>
        <m:sSub>
          <m:e>
            <m:r>
              <m:t>b</m:t>
            </m:r>
          </m:e>
          <m:sub>
            <m:r>
              <m:t>1</m:t>
            </m:r>
          </m:sub>
        </m:sSub>
      </m:oMath>
      <w:r>
        <w:t xml:space="preserve">. Furthermore, if the regression coefficient is standardized this would make the outcome and predictor variable to both have a variance of 1, thus making</w:t>
      </w:r>
      <w:r>
        <w:t xml:space="preserve"> </w:t>
      </w:r>
      <m:oMath>
        <m:sSub>
          <m:e>
            <m:r>
              <m:t>S</m:t>
            </m:r>
          </m:e>
          <m:sub>
            <m:r>
              <m:t>x</m:t>
            </m:r>
          </m:sub>
        </m:sSub>
        <m:r>
          <m:rPr>
            <m:sty m:val="p"/>
          </m:rPr>
          <m:t>=</m:t>
        </m:r>
        <m:sSub>
          <m:e>
            <m:r>
              <m:t>S</m:t>
            </m:r>
          </m:e>
          <m:sub>
            <m:r>
              <m:t>y</m:t>
            </m:r>
          </m:sub>
        </m:sSub>
        <m:r>
          <m:rPr>
            <m:sty m:val="p"/>
          </m:rPr>
          <m:t>=</m:t>
        </m:r>
        <m:r>
          <m:t>1</m:t>
        </m:r>
      </m:oMath>
      <w:r>
        <w:t xml:space="preserve">. Therefore a standardized regression coefficient is equal to a pearson correlation.</w:t>
      </w:r>
    </w:p>
    <w:bookmarkEnd w:id="189"/>
    <w:bookmarkStart w:id="196" w:name="multi-level-regression-models"/>
    <w:p>
      <w:pPr>
        <w:pStyle w:val="Heading2"/>
      </w:pPr>
      <w:r>
        <w:t xml:space="preserve">14.4 Multi-Level Regression models</w:t>
      </w:r>
    </w:p>
    <w:p>
      <w:pPr>
        <w:pStyle w:val="FirstParagraph"/>
      </w:pPr>
      <w:r>
        <w:t xml:space="preserve">We can allow the regression coefficients such as the intercept and slope to vary randomly with respect to some grouping variable. For example, lets say we think that the intercept will vary between the different species of penguins when we look at the relationship between body mass and bill depth. Using the</w:t>
      </w:r>
      <w:r>
        <w:t xml:space="preserve"> </w:t>
      </w:r>
      <w:r>
        <w:rPr>
          <w:rStyle w:val="VerbatimChar"/>
        </w:rPr>
        <w:t xml:space="preserve">lme4</w:t>
      </w:r>
      <w:r>
        <w:t xml:space="preserve"> </w:t>
      </w:r>
      <w:r>
        <w:t xml:space="preserve">package in R, we can construct a model that allows the intercept coefficient to vary between species.</w:t>
      </w:r>
    </w:p>
    <w:p>
      <w:pPr>
        <w:pStyle w:val="SourceCode"/>
      </w:pPr>
      <w:r>
        <w:rPr>
          <w:rStyle w:val="FunctionTok"/>
        </w:rPr>
        <w:t xml:space="preserve">library</w:t>
      </w:r>
      <w:r>
        <w:rPr>
          <w:rStyle w:val="NormalTok"/>
        </w:rPr>
        <w:t xml:space="preserve">(palmerpenguins)</w:t>
      </w:r>
      <w:r>
        <w:br/>
      </w:r>
      <w:r>
        <w:rPr>
          <w:rStyle w:val="FunctionTok"/>
        </w:rPr>
        <w:t xml:space="preserve">library</w:t>
      </w:r>
      <w:r>
        <w:rPr>
          <w:rStyle w:val="NormalTok"/>
        </w:rPr>
        <w:t xml:space="preserve">(lme4)</w:t>
      </w:r>
      <w:r>
        <w:br/>
      </w:r>
      <w:r>
        <w:br/>
      </w:r>
      <w:r>
        <w:br/>
      </w:r>
      <w:r>
        <w:rPr>
          <w:rStyle w:val="NormalTok"/>
        </w:rPr>
        <w:t xml:space="preserve">ml_mdl </w:t>
      </w:r>
      <w:r>
        <w:rPr>
          <w:rStyle w:val="OtherTok"/>
        </w:rPr>
        <w:t xml:space="preserve">&lt;-</w:t>
      </w:r>
      <w:r>
        <w:rPr>
          <w:rStyle w:val="NormalTok"/>
        </w:rPr>
        <w:t xml:space="preserve"> </w:t>
      </w:r>
      <w:r>
        <w:rPr>
          <w:rStyle w:val="FunctionTok"/>
        </w:rPr>
        <w:t xml:space="preserve">lmer</w:t>
      </w:r>
      <w:r>
        <w:rPr>
          <w:rStyle w:val="NormalTok"/>
        </w:rPr>
        <w:t xml:space="preserve">(bill_length_mm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flipper_length_mm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penguins)</w:t>
      </w:r>
      <w:r>
        <w:br/>
      </w:r>
      <w:r>
        <w:rPr>
          <w:rStyle w:val="FunctionTok"/>
        </w:rPr>
        <w:t xml:space="preserve">summary</w:t>
      </w:r>
      <w:r>
        <w:rPr>
          <w:rStyle w:val="NormalTok"/>
        </w:rPr>
        <w:t xml:space="preserve">(ml_mdl)</w:t>
      </w:r>
    </w:p>
    <w:p>
      <w:pPr>
        <w:pStyle w:val="SourceCode"/>
      </w:pPr>
      <w:r>
        <w:rPr>
          <w:rStyle w:val="VerbatimChar"/>
        </w:rPr>
        <w:t xml:space="preserve">Linear mixed model fit by REML ['lmerMod']</w:t>
      </w:r>
      <w:r>
        <w:br/>
      </w:r>
      <w:r>
        <w:rPr>
          <w:rStyle w:val="VerbatimChar"/>
        </w:rPr>
        <w:t xml:space="preserve">Formula: bill_length_mm ~ 1 + flipper_length_mm + (1 | species)</w:t>
      </w:r>
      <w:r>
        <w:br/>
      </w:r>
      <w:r>
        <w:rPr>
          <w:rStyle w:val="VerbatimChar"/>
        </w:rPr>
        <w:t xml:space="preserve">   Data: penguins</w:t>
      </w:r>
      <w:r>
        <w:br/>
      </w:r>
      <w:r>
        <w:br/>
      </w:r>
      <w:r>
        <w:rPr>
          <w:rStyle w:val="VerbatimChar"/>
        </w:rPr>
        <w:t xml:space="preserve">REML criterion at convergence: 1640.6</w:t>
      </w:r>
      <w:r>
        <w:br/>
      </w:r>
      <w:r>
        <w:br/>
      </w:r>
      <w:r>
        <w:rPr>
          <w:rStyle w:val="VerbatimChar"/>
        </w:rPr>
        <w:t xml:space="preserve">Scaled residuals: </w:t>
      </w:r>
      <w:r>
        <w:br/>
      </w:r>
      <w:r>
        <w:rPr>
          <w:rStyle w:val="VerbatimChar"/>
        </w:rPr>
        <w:t xml:space="preserve">    Min      1Q  Median      3Q     Max </w:t>
      </w:r>
      <w:r>
        <w:br/>
      </w:r>
      <w:r>
        <w:rPr>
          <w:rStyle w:val="VerbatimChar"/>
        </w:rPr>
        <w:t xml:space="preserve">-2.5568 -0.6666  0.0109  0.7020  4.7678 </w:t>
      </w:r>
      <w:r>
        <w:br/>
      </w:r>
      <w:r>
        <w:br/>
      </w:r>
      <w:r>
        <w:rPr>
          <w:rStyle w:val="VerbatimChar"/>
        </w:rPr>
        <w:t xml:space="preserve">Random effects:</w:t>
      </w:r>
      <w:r>
        <w:br/>
      </w:r>
      <w:r>
        <w:rPr>
          <w:rStyle w:val="VerbatimChar"/>
        </w:rPr>
        <w:t xml:space="preserve"> Groups   Name        Variance Std.Dev.</w:t>
      </w:r>
      <w:r>
        <w:br/>
      </w:r>
      <w:r>
        <w:rPr>
          <w:rStyle w:val="VerbatimChar"/>
        </w:rPr>
        <w:t xml:space="preserve"> species  (Intercept) 20.06    4.479   </w:t>
      </w:r>
      <w:r>
        <w:br/>
      </w:r>
      <w:r>
        <w:rPr>
          <w:rStyle w:val="VerbatimChar"/>
        </w:rPr>
        <w:t xml:space="preserve"> Residual              6.74    2.596   </w:t>
      </w:r>
      <w:r>
        <w:br/>
      </w:r>
      <w:r>
        <w:rPr>
          <w:rStyle w:val="VerbatimChar"/>
        </w:rPr>
        <w:t xml:space="preserve">Number of obs: 342, groups:  species, 3</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1.81165    4.97514   0.364</w:t>
      </w:r>
      <w:r>
        <w:br/>
      </w:r>
      <w:r>
        <w:rPr>
          <w:rStyle w:val="VerbatimChar"/>
        </w:rPr>
        <w:t xml:space="preserve">flipper_length_mm  0.21507    0.02113  10.177</w:t>
      </w:r>
      <w:r>
        <w:br/>
      </w:r>
      <w:r>
        <w:br/>
      </w:r>
      <w:r>
        <w:rPr>
          <w:rStyle w:val="VerbatimChar"/>
        </w:rPr>
        <w:t xml:space="preserve">Correlation of Fixed Effects:</w:t>
      </w:r>
      <w:r>
        <w:br/>
      </w:r>
      <w:r>
        <w:rPr>
          <w:rStyle w:val="VerbatimChar"/>
        </w:rPr>
        <w:t xml:space="preserve">            (Intr)</w:t>
      </w:r>
      <w:r>
        <w:br/>
      </w:r>
      <w:r>
        <w:rPr>
          <w:rStyle w:val="VerbatimChar"/>
        </w:rPr>
        <w:t xml:space="preserve">flppr_lngt_ -0.854</w:t>
      </w:r>
    </w:p>
    <w:p>
      <w:pPr>
        <w:pStyle w:val="FirstParagraph"/>
      </w:pPr>
      <w:r>
        <w:t xml:space="preserve">Note in the table that we have random effects and fixed effects. The random effects shows the grouping (categorical) variable that the parameter is allowed to vary on and then it shows the parameter that is varying, which in our case is the intercept coefficient. It also includes the variance of the intercept, which is the extent to which the intercept varies between species. For the fixed effect terms, we see the intercept displayed as well as the slope, this shows the</w:t>
      </w:r>
      <w:r>
        <w:t xml:space="preserve"> </w:t>
      </w:r>
      <w:r>
        <w:rPr>
          <w:bCs/>
          <w:b/>
        </w:rPr>
        <w:t xml:space="preserve">mean</w:t>
      </w:r>
      <w:r>
        <w:t xml:space="preserve"> </w:t>
      </w:r>
      <w:r>
        <w:t xml:space="preserve">of the intercept across species and, since the slope is equal across species, the slope is just a single value. Let’s visualize how this model looks:</w:t>
      </w:r>
    </w:p>
    <w:p>
      <w:pPr>
        <w:pStyle w:val="BodyText"/>
      </w:pPr>
      <w:r>
        <w:drawing>
          <wp:inline>
            <wp:extent cx="5334000" cy="4267200"/>
            <wp:effectExtent b="0" l="0" r="0" t="0"/>
            <wp:docPr descr="" title="" id="191" name="Picture"/>
            <a:graphic>
              <a:graphicData uri="http://schemas.openxmlformats.org/drawingml/2006/picture">
                <pic:pic>
                  <pic:nvPicPr>
                    <pic:cNvPr descr="Regression_files/figure-docx/unnamed-chunk-7-1.png" id="192" name="Picture"/>
                    <pic:cNvPicPr>
                      <a:picLocks noChangeArrowheads="1" noChangeAspect="1"/>
                    </pic:cNvPicPr>
                  </pic:nvPicPr>
                  <pic:blipFill>
                    <a:blip r:embed="rId1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in the plot above the slopes are fixed and equal between each species and only the intercepts (i.e., the vertical height of each line) differs. We can also allow the slope to vary if we may choose by editing the formula:</w:t>
      </w:r>
    </w:p>
    <w:p>
      <w:pPr>
        <w:pStyle w:val="SourceCode"/>
      </w:pPr>
      <w:r>
        <w:rPr>
          <w:rStyle w:val="FunctionTok"/>
        </w:rPr>
        <w:t xml:space="preserve">library</w:t>
      </w:r>
      <w:r>
        <w:rPr>
          <w:rStyle w:val="NormalTok"/>
        </w:rPr>
        <w:t xml:space="preserve">(palmerpenguins)</w:t>
      </w:r>
      <w:r>
        <w:br/>
      </w:r>
      <w:r>
        <w:rPr>
          <w:rStyle w:val="FunctionTok"/>
        </w:rPr>
        <w:t xml:space="preserve">library</w:t>
      </w:r>
      <w:r>
        <w:rPr>
          <w:rStyle w:val="NormalTok"/>
        </w:rPr>
        <w:t xml:space="preserve">(lme4)</w:t>
      </w:r>
      <w:r>
        <w:br/>
      </w:r>
      <w:r>
        <w:br/>
      </w:r>
      <w:r>
        <w:br/>
      </w:r>
      <w:r>
        <w:rPr>
          <w:rStyle w:val="NormalTok"/>
        </w:rPr>
        <w:t xml:space="preserve">ml_mdl </w:t>
      </w:r>
      <w:r>
        <w:rPr>
          <w:rStyle w:val="OtherTok"/>
        </w:rPr>
        <w:t xml:space="preserve">&lt;-</w:t>
      </w:r>
      <w:r>
        <w:rPr>
          <w:rStyle w:val="NormalTok"/>
        </w:rPr>
        <w:t xml:space="preserve"> </w:t>
      </w:r>
      <w:r>
        <w:rPr>
          <w:rStyle w:val="FunctionTok"/>
        </w:rPr>
        <w:t xml:space="preserve">lmer</w:t>
      </w:r>
      <w:r>
        <w:rPr>
          <w:rStyle w:val="NormalTok"/>
        </w:rPr>
        <w:t xml:space="preserve">(bill_length_mm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flipper_length_mm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flipper_length_mm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penguins)</w:t>
      </w:r>
    </w:p>
    <w:p>
      <w:pPr>
        <w:pStyle w:val="SourceCode"/>
      </w:pPr>
      <w:r>
        <w:rPr>
          <w:rStyle w:val="VerbatimChar"/>
        </w:rPr>
        <w:t xml:space="preserve">Warning in checkConv(attr(opt, "derivs"), opt$par, ctrl = control$checkConv, :</w:t>
      </w:r>
      <w:r>
        <w:br/>
      </w:r>
      <w:r>
        <w:rPr>
          <w:rStyle w:val="VerbatimChar"/>
        </w:rPr>
        <w:t xml:space="preserve">unable to evaluate scaled gradient</w:t>
      </w:r>
    </w:p>
    <w:p>
      <w:pPr>
        <w:pStyle w:val="SourceCode"/>
      </w:pPr>
      <w:r>
        <w:rPr>
          <w:rStyle w:val="VerbatimChar"/>
        </w:rPr>
        <w:t xml:space="preserve">Warning in checkConv(attr(opt, "derivs"), opt$par, ctrl = control$checkConv, :</w:t>
      </w:r>
      <w:r>
        <w:br/>
      </w:r>
      <w:r>
        <w:rPr>
          <w:rStyle w:val="VerbatimChar"/>
        </w:rPr>
        <w:t xml:space="preserve">Model failed to converge: degenerate Hessian with 1 negative eigenvalues</w:t>
      </w:r>
    </w:p>
    <w:p>
      <w:pPr>
        <w:pStyle w:val="SourceCode"/>
      </w:pPr>
      <w:r>
        <w:rPr>
          <w:rStyle w:val="FunctionTok"/>
        </w:rPr>
        <w:t xml:space="preserve">summary</w:t>
      </w:r>
      <w:r>
        <w:rPr>
          <w:rStyle w:val="NormalTok"/>
        </w:rPr>
        <w:t xml:space="preserve">(ml_mdl)</w:t>
      </w:r>
    </w:p>
    <w:p>
      <w:pPr>
        <w:pStyle w:val="SourceCode"/>
      </w:pPr>
      <w:r>
        <w:rPr>
          <w:rStyle w:val="VerbatimChar"/>
        </w:rPr>
        <w:t xml:space="preserve">Linear mixed model fit by REML ['lmerMod']</w:t>
      </w:r>
      <w:r>
        <w:br/>
      </w:r>
      <w:r>
        <w:rPr>
          <w:rStyle w:val="VerbatimChar"/>
        </w:rPr>
        <w:t xml:space="preserve">Formula: bill_length_mm ~ 1 + flipper_length_mm + (1 + flipper_length_mm |  </w:t>
      </w:r>
      <w:r>
        <w:br/>
      </w:r>
      <w:r>
        <w:rPr>
          <w:rStyle w:val="VerbatimChar"/>
        </w:rPr>
        <w:t xml:space="preserve">    species)</w:t>
      </w:r>
      <w:r>
        <w:br/>
      </w:r>
      <w:r>
        <w:rPr>
          <w:rStyle w:val="VerbatimChar"/>
        </w:rPr>
        <w:t xml:space="preserve">   Data: penguins</w:t>
      </w:r>
      <w:r>
        <w:br/>
      </w:r>
      <w:r>
        <w:br/>
      </w:r>
      <w:r>
        <w:rPr>
          <w:rStyle w:val="VerbatimChar"/>
        </w:rPr>
        <w:t xml:space="preserve">REML criterion at convergence: 1638.2</w:t>
      </w:r>
      <w:r>
        <w:br/>
      </w:r>
      <w:r>
        <w:br/>
      </w:r>
      <w:r>
        <w:rPr>
          <w:rStyle w:val="VerbatimChar"/>
        </w:rPr>
        <w:t xml:space="preserve">Scaled residuals: </w:t>
      </w:r>
      <w:r>
        <w:br/>
      </w:r>
      <w:r>
        <w:rPr>
          <w:rStyle w:val="VerbatimChar"/>
        </w:rPr>
        <w:t xml:space="preserve">    Min      1Q  Median      3Q     Max </w:t>
      </w:r>
      <w:r>
        <w:br/>
      </w:r>
      <w:r>
        <w:rPr>
          <w:rStyle w:val="VerbatimChar"/>
        </w:rPr>
        <w:t xml:space="preserve">-2.6326 -0.6657  0.0083  0.6843  4.9531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species  (Intercept)       3.0062118 1.73384       </w:t>
      </w:r>
      <w:r>
        <w:br/>
      </w:r>
      <w:r>
        <w:rPr>
          <w:rStyle w:val="VerbatimChar"/>
        </w:rPr>
        <w:t xml:space="preserve">          flipper_length_mm 0.0007402 0.02721  -0.61</w:t>
      </w:r>
      <w:r>
        <w:br/>
      </w:r>
      <w:r>
        <w:rPr>
          <w:rStyle w:val="VerbatimChar"/>
        </w:rPr>
        <w:t xml:space="preserve"> Residual                   6.6886861 2.58625       </w:t>
      </w:r>
      <w:r>
        <w:br/>
      </w:r>
      <w:r>
        <w:rPr>
          <w:rStyle w:val="VerbatimChar"/>
        </w:rPr>
        <w:t xml:space="preserve">Number of obs: 342, groups:  species, 3</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1.56035    4.32870   0.360</w:t>
      </w:r>
      <w:r>
        <w:br/>
      </w:r>
      <w:r>
        <w:rPr>
          <w:rStyle w:val="VerbatimChar"/>
        </w:rPr>
        <w:t xml:space="preserve">flipper_length_mm  0.21609    0.02623   8.237</w:t>
      </w:r>
      <w:r>
        <w:br/>
      </w:r>
      <w:r>
        <w:br/>
      </w:r>
      <w:r>
        <w:rPr>
          <w:rStyle w:val="VerbatimChar"/>
        </w:rPr>
        <w:t xml:space="preserve">Correlation of Fixed Effects:</w:t>
      </w:r>
      <w:r>
        <w:br/>
      </w:r>
      <w:r>
        <w:rPr>
          <w:rStyle w:val="VerbatimChar"/>
        </w:rPr>
        <w:t xml:space="preserve">            (Intr)</w:t>
      </w:r>
      <w:r>
        <w:br/>
      </w:r>
      <w:r>
        <w:rPr>
          <w:rStyle w:val="VerbatimChar"/>
        </w:rPr>
        <w:t xml:space="preserve">flppr_lngt_ -0.863</w:t>
      </w:r>
      <w:r>
        <w:br/>
      </w:r>
      <w:r>
        <w:rPr>
          <w:rStyle w:val="VerbatimChar"/>
        </w:rPr>
        <w:t xml:space="preserve">optimizer (nloptwrap) convergence code: 0 (OK)</w:t>
      </w:r>
      <w:r>
        <w:br/>
      </w:r>
      <w:r>
        <w:rPr>
          <w:rStyle w:val="VerbatimChar"/>
        </w:rPr>
        <w:t xml:space="preserve">unable to evaluate scaled gradient</w:t>
      </w:r>
      <w:r>
        <w:br/>
      </w:r>
      <w:r>
        <w:rPr>
          <w:rStyle w:val="VerbatimChar"/>
        </w:rPr>
        <w:t xml:space="preserve">Model failed to converge: degenerate  Hessian with 1 negative eigenvalues</w:t>
      </w:r>
    </w:p>
    <w:p>
      <w:pPr>
        <w:pStyle w:val="FirstParagraph"/>
      </w:pPr>
      <w:r>
        <w:t xml:space="preserve">Varying the slope will include</w:t>
      </w:r>
      <w:r>
        <w:t xml:space="preserve"> </w:t>
      </w:r>
      <w:r>
        <w:rPr>
          <w:rStyle w:val="VerbatimChar"/>
        </w:rPr>
        <w:t xml:space="preserve">flipper_length_mm</w:t>
      </w:r>
      <w:r>
        <w:t xml:space="preserve"> </w:t>
      </w:r>
      <w:r>
        <w:t xml:space="preserve">in the random effects terms. Also note that the summary returns the correlation between random effect terms, which may be useful to know if there is a strong relationship between the intercept and slope across species. Now we see that the random effects terms now include the slope coefficient corresponding to the</w:t>
      </w:r>
      <w:r>
        <w:t xml:space="preserve"> </w:t>
      </w:r>
      <w:r>
        <w:rPr>
          <w:rStyle w:val="VerbatimChar"/>
        </w:rPr>
        <w:t xml:space="preserve">flipper_length_mm</w:t>
      </w:r>
      <w:r>
        <w:t xml:space="preserve"> </w:t>
      </w:r>
      <w:r>
        <w:t xml:space="preserve">predictor variable. Let’s visualize</w:t>
      </w:r>
    </w:p>
    <w:p>
      <w:pPr>
        <w:pStyle w:val="BodyText"/>
      </w:pPr>
      <w:r>
        <w:drawing>
          <wp:inline>
            <wp:extent cx="5334000" cy="4267200"/>
            <wp:effectExtent b="0" l="0" r="0" t="0"/>
            <wp:docPr descr="" title="" id="194" name="Picture"/>
            <a:graphic>
              <a:graphicData uri="http://schemas.openxmlformats.org/drawingml/2006/picture">
                <pic:pic>
                  <pic:nvPicPr>
                    <pic:cNvPr descr="Regression_files/figure-docx/unnamed-chunk-9-1.png" id="195" name="Picture"/>
                    <pic:cNvPicPr>
                      <a:picLocks noChangeArrowheads="1" noChangeAspect="1"/>
                    </pic:cNvPicPr>
                  </pic:nvPicPr>
                  <pic:blipFill>
                    <a:blip r:embed="rId1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shows slight variation in the slope between the three species, however the slope does not vary all that much. For multi-level models we can compute a conditional</w:t>
      </w:r>
      <w:r>
        <w:t xml:space="preserve"> </w:t>
      </w:r>
      <m:oMath>
        <m:sSup>
          <m:e>
            <m:r>
              <m:t>R</m:t>
            </m:r>
          </m:e>
          <m:sup>
            <m:r>
              <m:t>2</m:t>
            </m:r>
          </m:sup>
        </m:sSup>
      </m:oMath>
      <w:r>
        <w:t xml:space="preserve"> </w:t>
      </w:r>
      <w:r>
        <w:t xml:space="preserve">and a marginal</w:t>
      </w:r>
      <w:r>
        <w:t xml:space="preserve"> </w:t>
      </w:r>
      <m:oMath>
        <m:sSup>
          <m:e>
            <m:r>
              <m:t>R</m:t>
            </m:r>
          </m:e>
          <m:sup>
            <m:r>
              <m:t>2</m:t>
            </m:r>
          </m:sup>
        </m:sSup>
      </m:oMath>
      <w:r>
        <w:t xml:space="preserve"> </w:t>
      </w:r>
      <w:r>
        <w:t xml:space="preserve">which are each described below</w:t>
      </w:r>
    </w:p>
    <w:p>
      <w:pPr>
        <w:numPr>
          <w:ilvl w:val="0"/>
          <w:numId w:val="1027"/>
        </w:numPr>
        <w:pStyle w:val="Compact"/>
      </w:pPr>
      <w:r>
        <w:rPr>
          <w:bCs/>
          <w:b/>
        </w:rPr>
        <w:t xml:space="preserve">Marginal</w:t>
      </w:r>
      <w:r>
        <w:t xml:space="preserve"> </w:t>
      </w:r>
      <m:oMath>
        <m:sSup>
          <m:e>
            <m:r>
              <m:t>R</m:t>
            </m:r>
          </m:e>
          <m:sup>
            <m:r>
              <m:t>2</m:t>
            </m:r>
          </m:sup>
        </m:sSup>
      </m:oMath>
      <w:r>
        <w:t xml:space="preserve">: the variance explained solely by the fixed effects</w:t>
      </w:r>
    </w:p>
    <w:p>
      <w:pPr>
        <w:numPr>
          <w:ilvl w:val="0"/>
          <w:numId w:val="1027"/>
        </w:numPr>
        <w:pStyle w:val="Compact"/>
      </w:pPr>
      <w:r>
        <w:rPr>
          <w:bCs/>
          <w:b/>
        </w:rPr>
        <w:t xml:space="preserve">Conditional</w:t>
      </w:r>
      <w:r>
        <w:t xml:space="preserve"> </w:t>
      </w:r>
      <m:oMath>
        <m:sSup>
          <m:e>
            <m:r>
              <m:t>R</m:t>
            </m:r>
          </m:e>
          <m:sup>
            <m:r>
              <m:t>2</m:t>
            </m:r>
          </m:sup>
        </m:sSup>
      </m:oMath>
      <w:r>
        <w:t xml:space="preserve">: the variance explained in the whole model, including both the fixed effects and random effects terms.</w:t>
      </w:r>
    </w:p>
    <w:p>
      <w:pPr>
        <w:pStyle w:val="FirstParagraph"/>
      </w:pPr>
      <w:r>
        <w:t xml:space="preserve">In R, we can use the</w:t>
      </w:r>
      <w:r>
        <w:t xml:space="preserve"> </w:t>
      </w:r>
      <w:r>
        <w:rPr>
          <w:rStyle w:val="VerbatimChar"/>
        </w:rPr>
        <w:t xml:space="preserve">MuMIn</w:t>
      </w:r>
      <w:r>
        <w:t xml:space="preserve"> </w:t>
      </w:r>
      <w:r>
        <w:t xml:space="preserve">package</w:t>
      </w:r>
      <w:r>
        <w:t xml:space="preserve"> </w:t>
      </w:r>
      <w:r>
        <w:t xml:space="preserve">(Bartoń 2023)</w:t>
      </w:r>
      <w:r>
        <w:t xml:space="preserve"> </w:t>
      </w:r>
      <w:r>
        <w:t xml:space="preserve">to compute both the marginal and conditional</w:t>
      </w:r>
      <w:r>
        <w:t xml:space="preserve"> </w:t>
      </w:r>
      <m:oMath>
        <m:sSup>
          <m:e>
            <m:r>
              <m:t>R</m:t>
            </m:r>
          </m:e>
          <m:sup>
            <m:r>
              <m:t>2</m:t>
            </m:r>
          </m:sup>
        </m:sSup>
      </m:oMath>
      <w:r>
        <w:t xml:space="preserve">:</w:t>
      </w:r>
    </w:p>
    <w:p>
      <w:pPr>
        <w:pStyle w:val="SourceCode"/>
      </w:pPr>
      <w:r>
        <w:rPr>
          <w:rStyle w:val="FunctionTok"/>
        </w:rPr>
        <w:t xml:space="preserve">library</w:t>
      </w:r>
      <w:r>
        <w:rPr>
          <w:rStyle w:val="NormalTok"/>
        </w:rPr>
        <w:t xml:space="preserve">(MuMIn)</w:t>
      </w:r>
      <w:r>
        <w:br/>
      </w:r>
      <w:r>
        <w:br/>
      </w:r>
      <w:r>
        <w:rPr>
          <w:rStyle w:val="FunctionTok"/>
        </w:rPr>
        <w:t xml:space="preserve">r.squaredGLMM</w:t>
      </w:r>
      <w:r>
        <w:rPr>
          <w:rStyle w:val="NormalTok"/>
        </w:rPr>
        <w:t xml:space="preserve">(ml_mdl)</w:t>
      </w:r>
    </w:p>
    <w:p>
      <w:pPr>
        <w:pStyle w:val="SourceCode"/>
      </w:pPr>
      <w:r>
        <w:rPr>
          <w:rStyle w:val="VerbatimChar"/>
        </w:rPr>
        <w:t xml:space="preserve">           R2m       R2c</w:t>
      </w:r>
      <w:r>
        <w:br/>
      </w:r>
      <w:r>
        <w:rPr>
          <w:rStyle w:val="VerbatimChar"/>
        </w:rPr>
        <w:t xml:space="preserve">[1,] 0.2470201 0.8210591</w:t>
      </w:r>
    </w:p>
    <w:bookmarkEnd w:id="196"/>
    <w:bookmarkEnd w:id="197"/>
    <w:bookmarkStart w:id="202" w:name="converting-to-cohens-d"/>
    <w:p>
      <w:pPr>
        <w:pStyle w:val="Heading1"/>
      </w:pPr>
      <w:r>
        <w:t xml:space="preserve">15. Converting to Cohen’s</w:t>
      </w:r>
      <w:r>
        <w:t xml:space="preserve"> </w:t>
      </w:r>
      <m:oMath>
        <m:r>
          <m:t>d</m:t>
        </m:r>
      </m:oMath>
    </w:p>
    <w:bookmarkStart w:id="198" w:name="from-independent-samples-t-statistic"/>
    <w:p>
      <w:pPr>
        <w:pStyle w:val="Heading2"/>
      </w:pPr>
      <w:r>
        <w:t xml:space="preserve">15.1 From Independent Samples</w:t>
      </w:r>
      <w:r>
        <w:t xml:space="preserve"> </w:t>
      </w:r>
      <m:oMath>
        <m:r>
          <m:t>t</m:t>
        </m:r>
      </m:oMath>
      <w:r>
        <w:t xml:space="preserve">-statistic</w:t>
      </w:r>
    </w:p>
    <w:p>
      <w:pPr>
        <w:pStyle w:val="FirstParagraph"/>
      </w:pPr>
      <w:r>
        <w:t xml:space="preserve">To calculate a between subject standardized mean difference (</w:t>
      </w:r>
      <m:oMath>
        <m:sSub>
          <m:e>
            <m:r>
              <m:t>d</m:t>
            </m:r>
          </m:e>
          <m:sub>
            <m:r>
              <m:t>p</m:t>
            </m:r>
          </m:sub>
        </m:sSub>
      </m:oMath>
      <w:r>
        <w:t xml:space="preserve">, i.e., pooled standard deviation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independent sample t-test and plug it into the following formula:</w:t>
      </w:r>
    </w:p>
    <w:p>
      <w:pPr>
        <w:pStyle w:val="BodyText"/>
      </w:pPr>
      <m:oMathPara>
        <m:oMathParaPr>
          <m:jc m:val="center"/>
        </m:oMathParaPr>
        <m:oMath>
          <m:sSub>
            <m:e>
              <m:r>
                <m:t>d</m:t>
              </m:r>
            </m:e>
            <m:sub>
              <m:r>
                <m:t>p</m:t>
              </m:r>
            </m:sub>
          </m:sSub>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unpaired t-statistic = 3.25</w:t>
      </w:r>
      <w:r>
        <w:br/>
      </w:r>
      <w:r>
        <w:rPr>
          <w:rStyle w:val="CommentTok"/>
        </w:rPr>
        <w:t xml:space="preserve"># n1 = 50, n2 = 40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0.69 | [0.26, 1.12]</w:t>
      </w:r>
    </w:p>
    <w:bookmarkEnd w:id="198"/>
    <w:bookmarkStart w:id="199" w:name="from-paired-sample-t-statistic"/>
    <w:p>
      <w:pPr>
        <w:pStyle w:val="Heading2"/>
      </w:pPr>
      <w:r>
        <w:t xml:space="preserve">15.2 From Paired Sample</w:t>
      </w:r>
      <w:r>
        <w:t xml:space="preserve"> </w:t>
      </w:r>
      <m:oMath>
        <m:r>
          <m:t>t</m:t>
        </m:r>
      </m:oMath>
      <w:r>
        <w:t xml:space="preserve">-statistic</w:t>
      </w:r>
    </w:p>
    <w:p>
      <w:pPr>
        <w:pStyle w:val="FirstParagraph"/>
      </w:pPr>
      <w:r>
        <w:t xml:space="preserve">To calculate a within-subject standardized mean difference (</w:t>
      </w:r>
      <m:oMath>
        <m:sSub>
          <m:e>
            <m:r>
              <m:t>d</m:t>
            </m:r>
          </m:e>
          <m:sub>
            <m:r>
              <m:t>z</m:t>
            </m:r>
          </m:sub>
        </m:sSub>
      </m:oMath>
      <w:r>
        <w:t xml:space="preserve">, i.e., difference score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paired sample t-test and plug it into the following formula:</w:t>
      </w:r>
    </w:p>
    <w:p>
      <w:pPr>
        <w:pStyle w:val="BodyText"/>
      </w:pPr>
      <m:oMathPara>
        <m:oMathParaPr>
          <m:jc m:val="center"/>
        </m:oMathParaPr>
        <m:oMath>
          <m:sSub>
            <m:e>
              <m:r>
                <m:t>d</m:t>
              </m:r>
            </m:e>
            <m:sub>
              <m:r>
                <m:t>z</m:t>
              </m:r>
            </m:sub>
          </m:sSub>
          <m:r>
            <m:rPr>
              <m:sty m:val="p"/>
            </m:rPr>
            <m:t>=</m:t>
          </m:r>
          <m:f>
            <m:fPr>
              <m:type m:val="bar"/>
            </m:fPr>
            <m:num>
              <m:r>
                <m:t>t</m:t>
              </m:r>
            </m:num>
            <m:den>
              <m:rad>
                <m:radPr>
                  <m:degHide m:val="1"/>
                </m:radPr>
                <m:deg/>
                <m:e>
                  <m:r>
                    <m:t>n</m:t>
                  </m:r>
                </m:e>
              </m:rad>
            </m:den>
          </m:f>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z</m:t>
            </m:r>
          </m:sub>
        </m:sSub>
      </m:oMath>
      <w:r>
        <w:t xml:space="preserve">.</w:t>
      </w:r>
    </w:p>
    <w:p>
      <w:pPr>
        <w:pStyle w:val="SourceCode"/>
      </w:pPr>
      <w:r>
        <w:rPr>
          <w:rStyle w:val="CommentTok"/>
        </w:rPr>
        <w:t xml:space="preserve"># Example:</w:t>
      </w:r>
      <w:r>
        <w:br/>
      </w:r>
      <w:r>
        <w:rPr>
          <w:rStyle w:val="CommentTok"/>
        </w:rPr>
        <w:t xml:space="preserve"># paired t-statistic = 3.25</w:t>
      </w:r>
      <w:r>
        <w:br/>
      </w:r>
      <w:r>
        <w:rPr>
          <w:rStyle w:val="CommentTok"/>
        </w:rPr>
        <w:t xml:space="preserve"># n = 50</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w:t>
      </w:r>
      <w:r>
        <w:rPr>
          <w:rStyle w:val="DecValTok"/>
        </w:rPr>
        <w:t xml:space="preserve">-1</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0.46 | [0.17, 0.76]</w:t>
      </w:r>
    </w:p>
    <w:bookmarkEnd w:id="199"/>
    <w:bookmarkStart w:id="200" w:name="from-pearson-correlation"/>
    <w:p>
      <w:pPr>
        <w:pStyle w:val="Heading2"/>
      </w:pPr>
      <w:r>
        <w:t xml:space="preserve">15.3 From Pearson Correlation</w:t>
      </w:r>
    </w:p>
    <w:p>
      <w:pPr>
        <w:pStyle w:val="FirstParagraph"/>
      </w:pPr>
      <w:r>
        <w:t xml:space="preserve">If a Pearson correlation is calculated between a continuous score and a dichotomous score, this is considered a point-biserial correlation. The point-biserial correlation can be converted into a</w:t>
      </w:r>
      <w:r>
        <w:t xml:space="preserve"> </w:t>
      </w:r>
      <m:oMath>
        <m:sSub>
          <m:e>
            <m:r>
              <m:t>d</m:t>
            </m:r>
          </m:e>
          <m:sub>
            <m:r>
              <m:t>p</m:t>
            </m:r>
          </m:sub>
        </m:sSub>
      </m:oMath>
      <w:r>
        <w:t xml:space="preserve"> </w:t>
      </w:r>
      <w:r>
        <w:t xml:space="preserve">value using the following formula:</w:t>
      </w:r>
    </w:p>
    <w:p>
      <w:pPr>
        <w:pStyle w:val="BodyText"/>
      </w:pPr>
      <m:oMathPara>
        <m:oMathParaPr>
          <m:jc m:val="center"/>
        </m:oMathParaPr>
        <m:oMath>
          <m:sSub>
            <m:e>
              <m:r>
                <m:t>d</m:t>
              </m:r>
            </m:e>
            <m:sub>
              <m:r>
                <m:t>p</m:t>
              </m:r>
            </m:sub>
          </m:sSub>
          <m:r>
            <m:rPr>
              <m:sty m:val="p"/>
            </m:rPr>
            <m:t>=</m:t>
          </m:r>
          <m:f>
            <m:fPr>
              <m:type m:val="bar"/>
            </m:fPr>
            <m:num>
              <m:r>
                <m:t>r</m:t>
              </m:r>
            </m:num>
            <m:den>
              <m:rad>
                <m:radPr>
                  <m:degHide m:val="1"/>
                </m:radPr>
                <m:deg/>
                <m:e>
                  <m:r>
                    <m:t>1</m:t>
                  </m:r>
                  <m:r>
                    <m:rPr>
                      <m:sty m:val="p"/>
                    </m:rPr>
                    <m:t>−</m:t>
                  </m:r>
                  <m:sSup>
                    <m:e>
                      <m:r>
                        <m:t>r</m:t>
                      </m:r>
                    </m:e>
                    <m:sup>
                      <m:r>
                        <m:t>2</m:t>
                      </m:r>
                    </m:sup>
                  </m:sSup>
                </m:e>
              </m:rad>
            </m:den>
          </m:f>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oMath>
      </m:oMathPara>
    </w:p>
    <w:p>
      <w:pPr>
        <w:pStyle w:val="FirstParagraph"/>
      </w:pPr>
      <w:r>
        <w:t xml:space="preserve">Or if sample sizes within each group are unknown (or equal), the equatio simplifies to be approximately,</w:t>
      </w:r>
    </w:p>
    <w:p>
      <w:pPr>
        <w:pStyle w:val="BodyText"/>
      </w:pPr>
      <m:oMathPara>
        <m:oMathParaPr>
          <m:jc m:val="center"/>
        </m:oMathParaPr>
        <m:oMath>
          <m:sSub>
            <m:e>
              <m:r>
                <m:t>d</m:t>
              </m:r>
            </m:e>
            <m:sub>
              <m:r>
                <m:t>p</m:t>
              </m:r>
            </m:sub>
          </m:sSub>
          <m:r>
            <m:rPr>
              <m:sty m:val="p"/>
            </m:rPr>
            <m:t>≈</m:t>
          </m:r>
          <m:f>
            <m:fPr>
              <m:type m:val="bar"/>
            </m:fPr>
            <m:num>
              <m:r>
                <m:t>r</m:t>
              </m:r>
              <m:rad>
                <m:radPr>
                  <m:degHide m:val="1"/>
                </m:radPr>
                <m:deg/>
                <m:e>
                  <m:r>
                    <m:t>4</m:t>
                  </m:r>
                </m:e>
              </m:rad>
            </m:num>
            <m:den>
              <m:rad>
                <m:radPr>
                  <m:degHide m:val="1"/>
                </m:radPr>
                <m:deg/>
                <m:e>
                  <m:r>
                    <m:t>1</m:t>
                  </m:r>
                  <m:r>
                    <m:rPr>
                      <m:sty m:val="p"/>
                    </m:rPr>
                    <m:t>−</m:t>
                  </m:r>
                  <m:sSup>
                    <m:e>
                      <m:r>
                        <m:t>r</m:t>
                      </m:r>
                    </m:e>
                    <m:sup>
                      <m:r>
                        <m:t>2</m:t>
                      </m:r>
                    </m:sup>
                  </m:sSup>
                </m:e>
              </m:rad>
            </m:den>
          </m:f>
        </m:oMath>
      </m:oMathPara>
    </w:p>
    <w:p>
      <w:pPr>
        <w:pStyle w:val="FirstParagraph"/>
      </w:pPr>
      <w:r>
        <w:t xml:space="preserve">Using the</w:t>
      </w:r>
      <w:r>
        <w:t xml:space="preserve"> </w:t>
      </w:r>
      <w:r>
        <w:rPr>
          <w:rStyle w:val="VerbatimChar"/>
        </w:rPr>
        <w:t xml:space="preserve">r_to_d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r = 3.25</w:t>
      </w:r>
      <w:r>
        <w:br/>
      </w:r>
      <w:r>
        <w:rPr>
          <w:rStyle w:val="CommentTok"/>
        </w:rPr>
        <w:t xml:space="preserve"># n1 = 50, n2 = 40</w:t>
      </w:r>
      <w:r>
        <w:br/>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r_to_d</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1.148913</w:t>
      </w:r>
    </w:p>
    <w:bookmarkEnd w:id="200"/>
    <w:bookmarkStart w:id="201" w:name="from-odds-ratio"/>
    <w:p>
      <w:pPr>
        <w:pStyle w:val="Heading2"/>
      </w:pPr>
      <w:r>
        <w:t xml:space="preserve">15.4 From Odds-Ratio</w:t>
      </w:r>
    </w:p>
    <w:p>
      <w:pPr>
        <w:pStyle w:val="FirstParagraph"/>
      </w:pPr>
      <w:r>
        <w:t xml:space="preserve">An odds-ratio from a contingency table can also be converted to a</w:t>
      </w:r>
      <w:r>
        <w:t xml:space="preserve"> </w:t>
      </w:r>
      <m:oMath>
        <m:sSub>
          <m:e>
            <m:r>
              <m:t>d</m:t>
            </m:r>
          </m:e>
          <m:sub>
            <m:r>
              <m:t>p</m:t>
            </m:r>
          </m:sub>
        </m:sSub>
      </m:oMath>
      <w:r>
        <w:t xml:space="preserve">. Note that this formula is an approximation:</w:t>
      </w:r>
    </w:p>
    <w:p>
      <w:pPr>
        <w:pStyle w:val="BodyText"/>
      </w:pPr>
      <m:oMathPara>
        <m:oMathParaPr>
          <m:jc m:val="center"/>
        </m:oMathParaPr>
        <m:oMath>
          <m:sSub>
            <m:e>
              <m:r>
                <m:t>d</m:t>
              </m:r>
            </m:e>
            <m:sub>
              <m:r>
                <m:t>p</m:t>
              </m:r>
            </m:sub>
          </m:sSub>
          <m:r>
            <m:rPr>
              <m:sty m:val="p"/>
            </m:rPr>
            <m:t>=</m:t>
          </m:r>
          <m:f>
            <m:fPr>
              <m:type m:val="bar"/>
            </m:fPr>
            <m:num>
              <m:r>
                <m:rPr>
                  <m:sty m:val="p"/>
                </m:rPr>
                <m:t>log</m:t>
              </m:r>
              <m:d>
                <m:dPr>
                  <m:begChr m:val="("/>
                  <m:endChr m:val=")"/>
                  <m:sepChr m:val=""/>
                  <m:grow/>
                </m:dPr>
                <m:e>
                  <m:r>
                    <m:t>O</m:t>
                  </m:r>
                  <m:r>
                    <m:t>R</m:t>
                  </m:r>
                </m:e>
              </m:d>
              <m:rad>
                <m:radPr>
                  <m:degHide m:val="1"/>
                </m:radPr>
                <m:deg/>
                <m:e>
                  <m:r>
                    <m:t>3</m:t>
                  </m:r>
                </m:e>
              </m:rad>
            </m:num>
            <m:den>
              <m:r>
                <m:t>π</m:t>
              </m:r>
            </m:den>
          </m:f>
        </m:oMath>
      </m:oMathPara>
    </w:p>
    <w:p>
      <w:pPr>
        <w:pStyle w:val="FirstParagraph"/>
      </w:pPr>
      <w:r>
        <w:t xml:space="preserve">Using the</w:t>
      </w:r>
      <w:r>
        <w:t xml:space="preserve"> </w:t>
      </w:r>
      <w:r>
        <w:rPr>
          <w:rStyle w:val="VerbatimChar"/>
        </w:rPr>
        <w:t xml:space="preserve">oddsratio_to_d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OR = 1.62</w:t>
      </w:r>
      <w:r>
        <w:br/>
      </w:r>
      <w:r>
        <w:br/>
      </w:r>
      <w:r>
        <w:rPr>
          <w:rStyle w:val="NormalTok"/>
        </w:rPr>
        <w:t xml:space="preserve">OR </w:t>
      </w:r>
      <w:r>
        <w:rPr>
          <w:rStyle w:val="OtherTok"/>
        </w:rPr>
        <w:t xml:space="preserve">&lt;-</w:t>
      </w:r>
      <w:r>
        <w:rPr>
          <w:rStyle w:val="NormalTok"/>
        </w:rPr>
        <w:t xml:space="preserve"> </w:t>
      </w:r>
      <w:r>
        <w:rPr>
          <w:rStyle w:val="FloatTok"/>
        </w:rPr>
        <w:t xml:space="preserve">1.46</w:t>
      </w:r>
      <w:r>
        <w:br/>
      </w:r>
      <w:r>
        <w:br/>
      </w:r>
      <w:r>
        <w:rPr>
          <w:rStyle w:val="FunctionTok"/>
        </w:rPr>
        <w:t xml:space="preserve">oddsratio_to_d</w:t>
      </w:r>
      <w:r>
        <w:rPr>
          <w:rStyle w:val="NormalTok"/>
        </w:rPr>
        <w:t xml:space="preserve">(</w:t>
      </w:r>
      <w:r>
        <w:rPr>
          <w:rStyle w:val="AttributeTok"/>
        </w:rPr>
        <w:t xml:space="preserve">OR =</w:t>
      </w:r>
      <w:r>
        <w:rPr>
          <w:rStyle w:val="NormalTok"/>
        </w:rPr>
        <w:t xml:space="preserve"> OR)</w:t>
      </w:r>
    </w:p>
    <w:p>
      <w:pPr>
        <w:pStyle w:val="SourceCode"/>
      </w:pPr>
      <w:r>
        <w:rPr>
          <w:rStyle w:val="VerbatimChar"/>
        </w:rPr>
        <w:t xml:space="preserve">[1] 0.2086429</w:t>
      </w:r>
    </w:p>
    <w:bookmarkEnd w:id="201"/>
    <w:bookmarkEnd w:id="202"/>
    <w:bookmarkStart w:id="206" w:name="converting-to-pearson-correlation"/>
    <w:p>
      <w:pPr>
        <w:pStyle w:val="Heading1"/>
      </w:pPr>
      <w:r>
        <w:t xml:space="preserve">16. Converting to Pearson Correlation</w:t>
      </w:r>
    </w:p>
    <w:bookmarkStart w:id="203" w:name="from-t-statistic"/>
    <w:p>
      <w:pPr>
        <w:pStyle w:val="Heading2"/>
      </w:pPr>
      <w:r>
        <w:t xml:space="preserve">16.1 From</w:t>
      </w:r>
      <w:r>
        <w:t xml:space="preserve"> </w:t>
      </w:r>
      <m:oMath>
        <m:r>
          <m:t>t</m:t>
        </m:r>
      </m:oMath>
      <w:r>
        <w:t xml:space="preserve">-statistic</w:t>
      </w:r>
    </w:p>
    <w:p>
      <w:pPr>
        <w:pStyle w:val="FirstParagraph"/>
      </w:pPr>
      <w:r>
        <w:t xml:space="preserve">From a</w:t>
      </w:r>
      <w:r>
        <w:t xml:space="preserve"> </w:t>
      </w:r>
      <m:oMath>
        <m:r>
          <m:t>t</m:t>
        </m:r>
      </m:oMath>
      <w:r>
        <w:t xml:space="preserve"> </w:t>
      </w:r>
      <w:r>
        <w:t xml:space="preserve">statistic calculated from a correlational test, we can calculate the correlation coefficient using the following formula:</w:t>
      </w:r>
    </w:p>
    <w:p>
      <w:pPr>
        <w:pStyle w:val="BodyText"/>
      </w:pPr>
      <m:oMathPara>
        <m:oMathParaPr>
          <m:jc m:val="center"/>
        </m:oMathParaPr>
        <m:oMath>
          <m:r>
            <m:t>r</m:t>
          </m:r>
          <m:r>
            <m:rPr>
              <m:sty m:val="p"/>
            </m:rPr>
            <m:t>=</m:t>
          </m:r>
          <m:rad>
            <m:radPr>
              <m:degHide m:val="1"/>
            </m:radPr>
            <m:deg/>
            <m:e>
              <m:f>
                <m:fPr>
                  <m:type m:val="bar"/>
                </m:fPr>
                <m:num>
                  <m:sSup>
                    <m:e>
                      <m:r>
                        <m:t>t</m:t>
                      </m:r>
                    </m:e>
                    <m:sup>
                      <m:r>
                        <m:t>2</m:t>
                      </m:r>
                    </m:sup>
                  </m:sSup>
                </m:num>
                <m:den>
                  <m:sSup>
                    <m:e>
                      <m:r>
                        <m:t>t</m:t>
                      </m:r>
                    </m:e>
                    <m:sup>
                      <m:r>
                        <m:t>2</m:t>
                      </m:r>
                    </m:sup>
                  </m:sSup>
                  <m:r>
                    <m:rPr>
                      <m:sty m:val="p"/>
                    </m:rPr>
                    <m:t>+</m:t>
                  </m:r>
                  <m:r>
                    <m:t>n</m:t>
                  </m:r>
                  <m:r>
                    <m:rPr>
                      <m:sty m:val="p"/>
                    </m:rPr>
                    <m:t>−</m:t>
                  </m:r>
                  <m:r>
                    <m:t>2</m:t>
                  </m:r>
                </m:den>
              </m:f>
            </m:e>
          </m:rad>
        </m:oMath>
      </m:oMathPara>
    </w:p>
    <w:p>
      <w:pPr>
        <w:pStyle w:val="FirstParagraph"/>
      </w:pPr>
      <w:r>
        <w:t xml:space="preserve">Using the</w:t>
      </w:r>
      <w:r>
        <w:t xml:space="preserve"> </w:t>
      </w:r>
      <w:r>
        <w:rPr>
          <w:rStyle w:val="VerbatimChar"/>
        </w:rPr>
        <w:t xml:space="preserve">t_to_r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t = 4.14, n = 50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4.14</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t_to_r</w:t>
      </w:r>
      <w:r>
        <w:rPr>
          <w:rStyle w:val="NormalTok"/>
        </w:rPr>
        <w:t xml:space="preserve">(</w:t>
      </w:r>
      <w:r>
        <w:rPr>
          <w:rStyle w:val="AttributeTok"/>
        </w:rPr>
        <w:t xml:space="preserve">t =</w:t>
      </w:r>
      <w:r>
        <w:rPr>
          <w:rStyle w:val="NormalTok"/>
        </w:rPr>
        <w:t xml:space="preserve"> t, </w:t>
      </w:r>
      <w:r>
        <w:rPr>
          <w:rStyle w:val="AttributeTok"/>
        </w:rPr>
        <w:t xml:space="preserve">df =</w:t>
      </w:r>
      <w:r>
        <w:rPr>
          <w:rStyle w:val="NormalTok"/>
        </w:rPr>
        <w:t xml:space="preserve"> n</w:t>
      </w:r>
      <w:r>
        <w:rPr>
          <w:rStyle w:val="DecValTok"/>
        </w:rPr>
        <w:t xml:space="preserve">-2</w:t>
      </w:r>
      <w:r>
        <w:rPr>
          <w:rStyle w:val="NormalTok"/>
        </w:rPr>
        <w:t xml:space="preserve">)</w:t>
      </w:r>
    </w:p>
    <w:p>
      <w:pPr>
        <w:pStyle w:val="SourceCode"/>
      </w:pPr>
      <w:r>
        <w:rPr>
          <w:rStyle w:val="VerbatimChar"/>
        </w:rPr>
        <w:t xml:space="preserve">r    |       95% CI</w:t>
      </w:r>
      <w:r>
        <w:br/>
      </w:r>
      <w:r>
        <w:rPr>
          <w:rStyle w:val="VerbatimChar"/>
        </w:rPr>
        <w:t xml:space="preserve">-------------------</w:t>
      </w:r>
      <w:r>
        <w:br/>
      </w:r>
      <w:r>
        <w:rPr>
          <w:rStyle w:val="VerbatimChar"/>
        </w:rPr>
        <w:t xml:space="preserve">0.51 | [0.28, 0.67]</w:t>
      </w:r>
    </w:p>
    <w:bookmarkEnd w:id="203"/>
    <w:bookmarkStart w:id="204" w:name="from-cohens-d"/>
    <w:p>
      <w:pPr>
        <w:pStyle w:val="Heading2"/>
      </w:pPr>
      <w:r>
        <w:t xml:space="preserve">16.2 From Cohen’s</w:t>
      </w:r>
      <w:r>
        <w:t xml:space="preserve"> </w:t>
      </w:r>
      <m:oMath>
        <m:r>
          <m:t>d</m:t>
        </m:r>
      </m:oMath>
    </w:p>
    <w:p>
      <w:pPr>
        <w:pStyle w:val="FirstParagraph"/>
      </w:pPr>
      <w:r>
        <w:t xml:space="preserve">From a between groups Cohen’s</w:t>
      </w:r>
      <w:r>
        <w:t xml:space="preserve"> </w:t>
      </w:r>
      <m:oMath>
        <m:r>
          <m:t>d</m:t>
        </m:r>
      </m:oMath>
      <w:r>
        <w:t xml:space="preserve"> </w:t>
      </w:r>
      <w:r>
        <w:t xml:space="preserve">value (</w:t>
      </w:r>
      <m:oMath>
        <m:sSub>
          <m:e>
            <m:r>
              <m:t>d</m:t>
            </m:r>
          </m:e>
          <m:sub>
            <m:r>
              <m:t>p</m:t>
            </m:r>
          </m:sub>
        </m:sSub>
      </m:oMath>
      <w:r>
        <w:t xml:space="preserve">), we can calculate the correlation coefficient from the following formula:</w:t>
      </w:r>
    </w:p>
    <w:p>
      <w:pPr>
        <w:pStyle w:val="BodyText"/>
      </w:pPr>
      <m:oMathPara>
        <m:oMathParaPr>
          <m:jc m:val="center"/>
        </m:oMathParaPr>
        <m:oMath>
          <m:r>
            <m:t>r</m:t>
          </m:r>
          <m:r>
            <m:rPr>
              <m:sty m:val="p"/>
            </m:rPr>
            <m:t>=</m:t>
          </m:r>
          <m:f>
            <m:fPr>
              <m:type m:val="bar"/>
            </m:fPr>
            <m:num>
              <m:sSub>
                <m:e>
                  <m:r>
                    <m:t>d</m:t>
                  </m:r>
                </m:e>
                <m:sub>
                  <m:r>
                    <m:t>p</m:t>
                  </m:r>
                </m:sub>
              </m:sSub>
            </m:num>
            <m:den>
              <m:rad>
                <m:radPr>
                  <m:degHide m:val="1"/>
                </m:radPr>
                <m:deg/>
                <m:e>
                  <m:sSubSup>
                    <m:e>
                      <m:r>
                        <m:t>d</m:t>
                      </m:r>
                    </m:e>
                    <m:sub>
                      <m:r>
                        <m:t>p</m:t>
                      </m:r>
                    </m:sub>
                    <m:sup>
                      <m:r>
                        <m:t>2</m:t>
                      </m:r>
                    </m:sup>
                  </m:sSubSup>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d_to_r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sSub>
          <m:e>
            <m:r>
              <m:t>d</m:t>
            </m:r>
          </m:e>
          <m:sub>
            <m:r>
              <m:t>p</m:t>
            </m:r>
          </m:sub>
        </m:sSub>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d_to_r</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0.2858532</w:t>
      </w:r>
    </w:p>
    <w:bookmarkEnd w:id="204"/>
    <w:bookmarkStart w:id="205" w:name="from-odds-ratio-1"/>
    <w:p>
      <w:pPr>
        <w:pStyle w:val="Heading2"/>
      </w:pPr>
      <w:r>
        <w:t xml:space="preserve">16.3 From Odds-Ratio</w:t>
      </w:r>
    </w:p>
    <w:p>
      <w:pPr>
        <w:pStyle w:val="FirstParagraph"/>
      </w:pPr>
      <w:r>
        <w:t xml:space="preserve">The correlation coefficient from an odds ratio can be calculated with the following formula:</w:t>
      </w:r>
    </w:p>
    <w:p>
      <w:pPr>
        <w:pStyle w:val="BodyText"/>
      </w:pPr>
      <m:oMathPara>
        <m:oMathParaPr>
          <m:jc m:val="center"/>
        </m:oMathParaPr>
        <m:oMath>
          <m:r>
            <m:t>r</m:t>
          </m:r>
          <m:r>
            <m:rPr>
              <m:sty m:val="p"/>
            </m:rPr>
            <m:t>=</m:t>
          </m:r>
          <m:f>
            <m:fPr>
              <m:type m:val="bar"/>
            </m:fPr>
            <m:num>
              <m:r>
                <m:rPr>
                  <m:sty m:val="p"/>
                </m:rPr>
                <m:t>log</m:t>
              </m:r>
              <m:d>
                <m:dPr>
                  <m:begChr m:val="("/>
                  <m:endChr m:val=")"/>
                  <m:sepChr m:val=""/>
                  <m:grow/>
                </m:dPr>
                <m:e>
                  <m:r>
                    <m:t>O</m:t>
                  </m:r>
                  <m:r>
                    <m:t>R</m:t>
                  </m:r>
                </m:e>
              </m:d>
              <m:r>
                <m:rPr>
                  <m:sty m:val="p"/>
                </m:rPr>
                <m:t>×</m:t>
              </m:r>
              <m:rad>
                <m:radPr>
                  <m:degHide m:val="1"/>
                </m:radPr>
                <m:deg/>
                <m:e>
                  <m:r>
                    <m:t>3</m:t>
                  </m:r>
                </m:e>
              </m:rad>
            </m:num>
            <m:den>
              <m:r>
                <m:t>π</m:t>
              </m:r>
              <m:rad>
                <m:radPr>
                  <m:degHide m:val="1"/>
                </m:radPr>
                <m:deg/>
                <m:e>
                  <m:f>
                    <m:fPr>
                      <m:type m:val="bar"/>
                    </m:fPr>
                    <m:num>
                      <m:r>
                        <m:t>3</m:t>
                      </m:r>
                      <m:r>
                        <m:rPr>
                          <m:sty m:val="p"/>
                        </m:rPr>
                        <m:t>log</m:t>
                      </m:r>
                      <m:sSup>
                        <m:e>
                          <m:d>
                            <m:dPr>
                              <m:begChr m:val="("/>
                              <m:endChr m:val=")"/>
                              <m:sepChr m:val=""/>
                              <m:grow/>
                            </m:dPr>
                            <m:e>
                              <m:r>
                                <m:t>O</m:t>
                              </m:r>
                              <m:r>
                                <m:t>R</m:t>
                              </m:r>
                            </m:e>
                          </m:d>
                        </m:e>
                        <m:sup>
                          <m:r>
                            <m:t>2</m:t>
                          </m:r>
                        </m:sup>
                      </m:sSup>
                    </m:num>
                    <m:den>
                      <m:sSup>
                        <m:e>
                          <m:r>
                            <m:t>π</m:t>
                          </m:r>
                        </m:e>
                        <m:sup>
                          <m:r>
                            <m:t>2</m:t>
                          </m:r>
                        </m:sup>
                      </m:sSup>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oddsratio_to_r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OR = 2.21, n1 = 50, n2 = 70</w:t>
      </w:r>
      <w:r>
        <w:br/>
      </w:r>
      <w:r>
        <w:br/>
      </w:r>
      <w:r>
        <w:rPr>
          <w:rStyle w:val="NormalTok"/>
        </w:rPr>
        <w:t xml:space="preserve">OR </w:t>
      </w:r>
      <w:r>
        <w:rPr>
          <w:rStyle w:val="OtherTok"/>
        </w:rPr>
        <w:t xml:space="preserve">&lt;-</w:t>
      </w:r>
      <w:r>
        <w:rPr>
          <w:rStyle w:val="NormalTok"/>
        </w:rPr>
        <w:t xml:space="preserve"> </w:t>
      </w:r>
      <w:r>
        <w:rPr>
          <w:rStyle w:val="FloatTok"/>
        </w:rPr>
        <w:t xml:space="preserve">2.21</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oddsratio_to_r</w:t>
      </w:r>
      <w:r>
        <w:rPr>
          <w:rStyle w:val="NormalTok"/>
        </w:rPr>
        <w:t xml:space="preserve">(</w:t>
      </w:r>
      <w:r>
        <w:rPr>
          <w:rStyle w:val="AttributeTok"/>
        </w:rPr>
        <w:t xml:space="preserve">OR=</w:t>
      </w:r>
      <w:r>
        <w:rPr>
          <w:rStyle w:val="NormalTok"/>
        </w:rPr>
        <w:t xml:space="preserve">OR,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0.2124017</w:t>
      </w:r>
    </w:p>
    <w:bookmarkEnd w:id="205"/>
    <w:bookmarkEnd w:id="206"/>
    <w:bookmarkStart w:id="209" w:name="converting-to-odds-ratio"/>
    <w:p>
      <w:pPr>
        <w:pStyle w:val="Heading1"/>
      </w:pPr>
      <w:r>
        <w:t xml:space="preserve">17. Converting to Odds Ratio</w:t>
      </w:r>
    </w:p>
    <w:bookmarkStart w:id="207" w:name="from-cohens-d-1"/>
    <w:p>
      <w:pPr>
        <w:pStyle w:val="Heading2"/>
      </w:pPr>
      <w:r>
        <w:t xml:space="preserve">17.1 From Cohen’s</w:t>
      </w:r>
      <w:r>
        <w:t xml:space="preserve"> </w:t>
      </w:r>
      <m:oMath>
        <m:r>
          <m:t>d</m:t>
        </m:r>
      </m:oMath>
    </w:p>
    <w:p>
      <w:pPr>
        <w:pStyle w:val="FirstParagraph"/>
      </w:pPr>
      <w:r>
        <w:t xml:space="preserve">We can calculate an odds-ratio from a between groups cohen’s</w:t>
      </w:r>
      <w:r>
        <w:t xml:space="preserve"> </w:t>
      </w:r>
      <m:oMath>
        <m:r>
          <m:t>d</m:t>
        </m:r>
      </m:oMath>
      <w:r>
        <w:t xml:space="preserve"> </w:t>
      </w:r>
      <w:r>
        <w:t xml:space="preserve">(</w:t>
      </w:r>
      <m:oMath>
        <m:sSub>
          <m:e>
            <m:r>
              <m:t>d</m:t>
            </m:r>
          </m:e>
          <m:sub>
            <m:r>
              <m:t>p</m:t>
            </m:r>
          </m:sub>
        </m:sSub>
      </m:oMath>
      <w:r>
        <w:t xml:space="preserve">):</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sSub>
                    <m:e>
                      <m:r>
                        <m:t>d</m:t>
                      </m:r>
                    </m:e>
                    <m:sub>
                      <m:r>
                        <m:t>p</m:t>
                      </m:r>
                    </m:sub>
                  </m:sSub>
                  <m:r>
                    <m:t>π</m:t>
                  </m:r>
                </m:num>
                <m:den>
                  <m:rad>
                    <m:radPr>
                      <m:degHide m:val="1"/>
                    </m:radPr>
                    <m:deg/>
                    <m:e>
                      <m:r>
                        <m:t>3</m:t>
                      </m:r>
                    </m:e>
                  </m:rad>
                </m:den>
              </m:f>
            </m:e>
          </m:d>
        </m:oMath>
      </m:oMathPara>
    </w:p>
    <w:p>
      <w:pPr>
        <w:pStyle w:val="FirstParagraph"/>
      </w:pPr>
      <w:r>
        <w:t xml:space="preserve">Where</w:t>
      </w:r>
      <w:r>
        <w:t xml:space="preserve"> </w:t>
      </w:r>
      <m:oMath>
        <m:r>
          <m:rPr>
            <m:sty m:val="p"/>
          </m:rPr>
          <m:t>exp</m:t>
        </m:r>
        <m:d>
          <m:dPr>
            <m:begChr m:val="("/>
            <m:endChr m:val=")"/>
            <m:sepChr m:val=""/>
            <m:grow/>
          </m:dPr>
          <m:e>
            <m:r>
              <m:rPr>
                <m:sty m:val="p"/>
              </m:rPr>
              <m:t>⋅</m:t>
            </m:r>
          </m:e>
        </m:d>
      </m:oMath>
      <w:r>
        <w:t xml:space="preserve"> </w:t>
      </w:r>
      <w:r>
        <w:t xml:space="preserve">is an exponential transformation (this inverses the logarithm). Using the</w:t>
      </w:r>
      <w:r>
        <w:t xml:space="preserve"> </w:t>
      </w:r>
      <w:r>
        <w:rPr>
          <w:rStyle w:val="VerbatimChar"/>
        </w:rPr>
        <w:t xml:space="preserve">d_to_oddsratio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FunctionTok"/>
        </w:rPr>
        <w:t xml:space="preserve">library</w:t>
      </w:r>
      <w:r>
        <w:rPr>
          <w:rStyle w:val="NormalTok"/>
        </w:rPr>
        <w:t xml:space="preserve">(effectsize)</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d_to_oddsratio</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2.969162</w:t>
      </w:r>
    </w:p>
    <w:bookmarkEnd w:id="207"/>
    <w:bookmarkStart w:id="208" w:name="from-a-pearson-correlation"/>
    <w:p>
      <w:pPr>
        <w:pStyle w:val="Heading2"/>
      </w:pPr>
      <w:r>
        <w:t xml:space="preserve">17.2 From a Pearson Correlation</w:t>
      </w:r>
    </w:p>
    <w:p>
      <w:pPr>
        <w:pStyle w:val="FirstParagraph"/>
      </w:pPr>
      <w:r>
        <w:t xml:space="preserve">We can calculate an odds ratio from a Pearson correlation using the following formula:</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When sample sizes are equal, this equation can be simplified to be approximately,</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r>
                        <m:t>4</m:t>
                      </m:r>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Using the</w:t>
      </w:r>
      <w:r>
        <w:t xml:space="preserve"> </w:t>
      </w:r>
      <w:r>
        <w:rPr>
          <w:rStyle w:val="VerbatimChar"/>
        </w:rPr>
        <w:t xml:space="preserve">r_to_oddsratio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r = .50, n1 = 50, n2 = 70</w:t>
      </w:r>
      <w:r>
        <w:br/>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r_to_oddsratio</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4.870584</w:t>
      </w:r>
    </w:p>
    <w:bookmarkEnd w:id="208"/>
    <w:bookmarkEnd w:id="209"/>
    <w:bookmarkStart w:id="212" w:name="conclusion-1"/>
    <w:p>
      <w:pPr>
        <w:pStyle w:val="Heading1"/>
      </w:pPr>
      <w:r>
        <w:t xml:space="preserve">18. Conclusion</w:t>
      </w:r>
    </w:p>
    <w:bookmarkStart w:id="210" w:name="limitations-and-future-directions"/>
    <w:p>
      <w:pPr>
        <w:pStyle w:val="Heading2"/>
      </w:pPr>
      <w:r>
        <w:t xml:space="preserve">18.1 Limitations and Future Directions</w:t>
      </w:r>
    </w:p>
    <w:p>
      <w:pPr>
        <w:pStyle w:val="FirstParagraph"/>
      </w:pPr>
      <w:r>
        <w:t xml:space="preserve">While this guide covers a wide range of effect size and confidence interval methods, there are some limitations to note. First, our instructions focus specifically on applications in behavioral, cognitive, and social science research. The techniques may need to be adapted for other scientific domains. Second, we only cover free and open source options, so proprietary software packages are not discussed. Finally, as new methods and R packages arise, the guide will need to be continually updated, perhaps in a similar manner as Parsons et al. (2022) Open Scholarship terms after publication.</w:t>
      </w:r>
    </w:p>
    <w:p>
      <w:pPr>
        <w:pStyle w:val="BodyText"/>
      </w:pPr>
      <w:r>
        <w:t xml:space="preserve">In the future, we aim to expand the guide by collaborating with experts in other fields to include discipline-specific recommendations. We also plan to incorporate new R packages and techniques as they emerge. Readers are encouraged to consult the cited packages’ documentation and peer-reviewed sources to further explore limitations and assumptions of the covered techniques.</w:t>
      </w:r>
    </w:p>
    <w:bookmarkEnd w:id="210"/>
    <w:bookmarkStart w:id="211" w:name="conclusion-2"/>
    <w:p>
      <w:pPr>
        <w:pStyle w:val="Heading2"/>
      </w:pPr>
      <w:r>
        <w:t xml:space="preserve">18.2 Conclusion</w:t>
      </w:r>
    </w:p>
    <w:p>
      <w:pPr>
        <w:pStyle w:val="FirstParagraph"/>
      </w:pPr>
      <w:r>
        <w:t xml:space="preserve">Robust quantification of study results is a central pillar of open and reproducible science. With this collaborative collection of applied instructions, our guide aims to make calculating effect sizes and confidence intervals more accessible. We hope these resources empower both young researchers and experienced scholars across a variety of disciplines to incorporate these crucial statistical practices into their workflows. In our view, more widespread and thoughtful adoption of these methods will greatly strengthen the collective rigor, transparency, and impact of scientific research.</w:t>
      </w:r>
    </w:p>
    <w:bookmarkEnd w:id="211"/>
    <w:bookmarkEnd w:id="212"/>
    <w:bookmarkStart w:id="361" w:name="references"/>
    <w:p>
      <w:pPr>
        <w:pStyle w:val="Heading1"/>
      </w:pPr>
      <w:r>
        <w:t xml:space="preserve">References</w:t>
      </w:r>
    </w:p>
    <w:bookmarkStart w:id="360" w:name="refs"/>
    <w:bookmarkStart w:id="213" w:name="ref-agresti1980generalized"/>
    <w:p>
      <w:pPr>
        <w:pStyle w:val="Bibliography"/>
      </w:pPr>
      <w:r>
        <w:t xml:space="preserve">Agresti, Alan. 1980.</w:t>
      </w:r>
      <w:r>
        <w:t xml:space="preserve"> </w:t>
      </w:r>
      <w:r>
        <w:t xml:space="preserve">“Generalized Odds Ratios for Ordinal Data.”</w:t>
      </w:r>
      <w:r>
        <w:t xml:space="preserve"> </w:t>
      </w:r>
      <w:r>
        <w:rPr>
          <w:iCs/>
          <w:i/>
        </w:rPr>
        <w:t xml:space="preserve">Biometrics</w:t>
      </w:r>
      <w:r>
        <w:t xml:space="preserve">, 59–67.</w:t>
      </w:r>
    </w:p>
    <w:bookmarkEnd w:id="213"/>
    <w:bookmarkStart w:id="215" w:name="ref-algina2003"/>
    <w:p>
      <w:pPr>
        <w:pStyle w:val="Bibliography"/>
      </w:pPr>
      <w:r>
        <w:t xml:space="preserve">Algina, James, and H. J. Keselman. 2003.</w:t>
      </w:r>
      <w:r>
        <w:t xml:space="preserve"> </w:t>
      </w:r>
      <w:r>
        <w:t xml:space="preserve">“Approximate Confidence Intervals for Effect Sizes.”</w:t>
      </w:r>
      <w:r>
        <w:t xml:space="preserve"> </w:t>
      </w:r>
      <w:r>
        <w:rPr>
          <w:iCs/>
          <w:i/>
        </w:rPr>
        <w:t xml:space="preserve">Educational and Psychological Measurement</w:t>
      </w:r>
      <w:r>
        <w:t xml:space="preserve"> </w:t>
      </w:r>
      <w:r>
        <w:t xml:space="preserve">63 (4): 537–53.</w:t>
      </w:r>
      <w:r>
        <w:t xml:space="preserve"> </w:t>
      </w:r>
      <w:hyperlink r:id="rId214">
        <w:r>
          <w:rPr>
            <w:rStyle w:val="Hyperlink"/>
          </w:rPr>
          <w:t xml:space="preserve">https://doi.org/10.1177/0013164403256358</w:t>
        </w:r>
      </w:hyperlink>
      <w:r>
        <w:t xml:space="preserve">.</w:t>
      </w:r>
    </w:p>
    <w:bookmarkEnd w:id="215"/>
    <w:bookmarkStart w:id="216" w:name="ref-anvari2021using"/>
    <w:p>
      <w:pPr>
        <w:pStyle w:val="Bibliography"/>
      </w:pPr>
      <w:r>
        <w:t xml:space="preserve">Anvari, Farid, and Daniël Lakens. 2021.</w:t>
      </w:r>
      <w:r>
        <w:t xml:space="preserve"> </w:t>
      </w:r>
      <w:r>
        <w:t xml:space="preserve">“Using Anchor-Based Methods to Determine the Smallest Effect Size of Interest.”</w:t>
      </w:r>
      <w:r>
        <w:t xml:space="preserve"> </w:t>
      </w:r>
      <w:r>
        <w:rPr>
          <w:iCs/>
          <w:i/>
        </w:rPr>
        <w:t xml:space="preserve">Journal of Experimental Social Psychology</w:t>
      </w:r>
      <w:r>
        <w:t xml:space="preserve"> </w:t>
      </w:r>
      <w:r>
        <w:t xml:space="preserve">96: 104159.</w:t>
      </w:r>
    </w:p>
    <w:bookmarkEnd w:id="216"/>
    <w:bookmarkStart w:id="218" w:name="ref-association2010"/>
    <w:p>
      <w:pPr>
        <w:pStyle w:val="Bibliography"/>
      </w:pPr>
      <w:r>
        <w:t xml:space="preserve">APA. 2010.</w:t>
      </w:r>
      <w:r>
        <w:t xml:space="preserve"> </w:t>
      </w:r>
      <w:r>
        <w:rPr>
          <w:iCs/>
          <w:i/>
        </w:rPr>
        <w:t xml:space="preserve">Publication Manual of the American Psychological Association</w:t>
      </w:r>
      <w:r>
        <w:t xml:space="preserve">. American Psychological Association.</w:t>
      </w:r>
      <w:r>
        <w:t xml:space="preserve"> </w:t>
      </w:r>
      <w:hyperlink r:id="rId217">
        <w:r>
          <w:rPr>
            <w:rStyle w:val="Hyperlink"/>
          </w:rPr>
          <w:t xml:space="preserve">https://thuvienso.hoasen.edu.vn/handle/123456789/8327</w:t>
        </w:r>
      </w:hyperlink>
      <w:r>
        <w:t xml:space="preserve">.</w:t>
      </w:r>
    </w:p>
    <w:bookmarkEnd w:id="218"/>
    <w:bookmarkStart w:id="219" w:name="ref-baayen2008mixed"/>
    <w:p>
      <w:pPr>
        <w:pStyle w:val="Bibliography"/>
      </w:pPr>
      <w:r>
        <w:t xml:space="preserve">Baayen, R Harald, Douglas J Davidson, and Douglas M Bates. 2008.</w:t>
      </w:r>
      <w:r>
        <w:t xml:space="preserve"> </w:t>
      </w:r>
      <w:r>
        <w:t xml:space="preserve">“Mixed-Effects Modeling with Crossed Random Effects for Subjects and Items.”</w:t>
      </w:r>
      <w:r>
        <w:t xml:space="preserve"> </w:t>
      </w:r>
      <w:r>
        <w:rPr>
          <w:iCs/>
          <w:i/>
        </w:rPr>
        <w:t xml:space="preserve">Journal of Memory and Language</w:t>
      </w:r>
      <w:r>
        <w:t xml:space="preserve"> </w:t>
      </w:r>
      <w:r>
        <w:t xml:space="preserve">59 (4): 390–412.</w:t>
      </w:r>
    </w:p>
    <w:bookmarkEnd w:id="219"/>
    <w:bookmarkStart w:id="220" w:name="ref-baguley2009standardized"/>
    <w:p>
      <w:pPr>
        <w:pStyle w:val="Bibliography"/>
      </w:pPr>
      <w:r>
        <w:t xml:space="preserve">Baguley, Thom. 2009.</w:t>
      </w:r>
      <w:r>
        <w:t xml:space="preserve"> </w:t>
      </w:r>
      <w:r>
        <w:t xml:space="preserve">“Standardized or Simple Effect Size: What Should Be Reported?”</w:t>
      </w:r>
      <w:r>
        <w:t xml:space="preserve"> </w:t>
      </w:r>
      <w:r>
        <w:rPr>
          <w:iCs/>
          <w:i/>
        </w:rPr>
        <w:t xml:space="preserve">British Journal of Psychology</w:t>
      </w:r>
      <w:r>
        <w:t xml:space="preserve"> </w:t>
      </w:r>
      <w:r>
        <w:t xml:space="preserve">100 (3): 603–17.</w:t>
      </w:r>
    </w:p>
    <w:bookmarkEnd w:id="220"/>
    <w:bookmarkStart w:id="221" w:name="ref-barr2013random"/>
    <w:p>
      <w:pPr>
        <w:pStyle w:val="Bibliography"/>
      </w:pPr>
      <w:r>
        <w:t xml:space="preserve">Barr, Dale J, Roger Levy, Christoph Scheepers, and Harry J Tily. 2013.</w:t>
      </w:r>
      <w:r>
        <w:t xml:space="preserve"> </w:t>
      </w:r>
      <w:r>
        <w:t xml:space="preserve">“Random Effects Structure for Confirmatory Hypothesis Testing: Keep It Maximal.”</w:t>
      </w:r>
      <w:r>
        <w:t xml:space="preserve"> </w:t>
      </w:r>
      <w:r>
        <w:rPr>
          <w:iCs/>
          <w:i/>
        </w:rPr>
        <w:t xml:space="preserve">Journal of Memory and Language</w:t>
      </w:r>
      <w:r>
        <w:t xml:space="preserve"> </w:t>
      </w:r>
      <w:r>
        <w:t xml:space="preserve">68 (3): 255–78.</w:t>
      </w:r>
    </w:p>
    <w:bookmarkEnd w:id="221"/>
    <w:bookmarkStart w:id="223" w:name="ref-mumin"/>
    <w:p>
      <w:pPr>
        <w:pStyle w:val="Bibliography"/>
      </w:pPr>
      <w:r>
        <w:t xml:space="preserve">Bartoń, Kamil. 2023.</w:t>
      </w:r>
      <w:r>
        <w:t xml:space="preserve"> </w:t>
      </w:r>
      <w:r>
        <w:rPr>
          <w:iCs/>
          <w:i/>
        </w:rPr>
        <w:t xml:space="preserve">MuMIn: Multi-Model Inference</w:t>
      </w:r>
      <w:r>
        <w:t xml:space="preserve">.</w:t>
      </w:r>
      <w:r>
        <w:t xml:space="preserve"> </w:t>
      </w:r>
      <w:hyperlink r:id="rId222">
        <w:r>
          <w:rPr>
            <w:rStyle w:val="Hyperlink"/>
          </w:rPr>
          <w:t xml:space="preserve">https://CRAN.R-project.org/package=MuMIn</w:t>
        </w:r>
      </w:hyperlink>
      <w:r>
        <w:t xml:space="preserve">.</w:t>
      </w:r>
    </w:p>
    <w:bookmarkEnd w:id="223"/>
    <w:bookmarkStart w:id="225" w:name="ref-beck2020"/>
    <w:p>
      <w:pPr>
        <w:pStyle w:val="Bibliography"/>
      </w:pPr>
      <w:r>
        <w:t xml:space="preserve">Beck, Edward C., Anirudh K. Gowd, Joseph N. Liu, Brian R. Waterman, Kristen F. Nicholson, Brian Forsythe, Adam B. Yanke, Brian J. Cole, and Nikhil N. Verma. 2020.</w:t>
      </w:r>
      <w:r>
        <w:t xml:space="preserve"> </w:t>
      </w:r>
      <w:r>
        <w:t xml:space="preserve">“How Is Maximum Outcome Improvement Defined in Patients Undergoing Shoulder Arthroscopy for Rotator Cuff Repair? A 1-Year Follow-up Study.”</w:t>
      </w:r>
      <w:r>
        <w:t xml:space="preserve"> </w:t>
      </w:r>
      <w:r>
        <w:rPr>
          <w:iCs/>
          <w:i/>
        </w:rPr>
        <w:t xml:space="preserve">Arthroscopy: The Journal of Arthroscopic &amp; Related Surgery</w:t>
      </w:r>
      <w:r>
        <w:t xml:space="preserve"> </w:t>
      </w:r>
      <w:r>
        <w:t xml:space="preserve">36 (7): 1805–10.</w:t>
      </w:r>
      <w:r>
        <w:t xml:space="preserve"> </w:t>
      </w:r>
      <w:hyperlink r:id="rId224">
        <w:r>
          <w:rPr>
            <w:rStyle w:val="Hyperlink"/>
          </w:rPr>
          <w:t xml:space="preserve">https://doi.org/10.1016/j.arthro.2020.02.047</w:t>
        </w:r>
      </w:hyperlink>
      <w:r>
        <w:t xml:space="preserve">.</w:t>
      </w:r>
    </w:p>
    <w:bookmarkEnd w:id="225"/>
    <w:bookmarkStart w:id="227" w:name="ref-becker1988"/>
    <w:p>
      <w:pPr>
        <w:pStyle w:val="Bibliography"/>
      </w:pPr>
      <w:r>
        <w:t xml:space="preserve">Becker, Betsy J. 1988.</w:t>
      </w:r>
      <w:r>
        <w:t xml:space="preserve"> </w:t>
      </w:r>
      <w:r>
        <w:t xml:space="preserve">“Synthesizing Standardized Mean-Change Measures - UConn Library.”</w:t>
      </w:r>
      <w:r>
        <w:t xml:space="preserve"> </w:t>
      </w:r>
      <w:r>
        <w:rPr>
          <w:iCs/>
          <w:i/>
        </w:rPr>
        <w:t xml:space="preserve">British Journal of Mathematical and Statistical Psychology</w:t>
      </w:r>
      <w:r>
        <w:t xml:space="preserve"> </w:t>
      </w:r>
      <w:r>
        <w:t xml:space="preserve">41 (2): 257278. https://doi.org/</w:t>
      </w:r>
      <w:hyperlink r:id="rId226">
        <w:r>
          <w:rPr>
            <w:rStyle w:val="Hyperlink"/>
          </w:rPr>
          <w:t xml:space="preserve">https://doi.org/10.1111/j.2044-8317.1988.tb00901.x</w:t>
        </w:r>
      </w:hyperlink>
      <w:r>
        <w:t xml:space="preserve">.</w:t>
      </w:r>
    </w:p>
    <w:bookmarkEnd w:id="227"/>
    <w:bookmarkStart w:id="229" w:name="ref-effectsize"/>
    <w:p>
      <w:pPr>
        <w:pStyle w:val="Bibliography"/>
      </w:pPr>
      <w:r>
        <w:t xml:space="preserve">Ben-Shachar, Mattan S., Daniel Lüdecke, and Dominique Makowski. 2020.</w:t>
      </w:r>
      <w:r>
        <w:t xml:space="preserve"> </w:t>
      </w:r>
      <w:r>
        <w:t xml:space="preserve">“</w:t>
      </w:r>
      <w:r>
        <w:t xml:space="preserve">e</w:t>
      </w:r>
      <w:r>
        <w:t xml:space="preserve">ffectsize: Estimation of Effect Size Indices and Standardized Parameters.”</w:t>
      </w:r>
      <w:r>
        <w:t xml:space="preserve"> </w:t>
      </w:r>
      <w:r>
        <w:rPr>
          <w:iCs/>
          <w:i/>
        </w:rPr>
        <w:t xml:space="preserve">Journal of Open Source Software</w:t>
      </w:r>
      <w:r>
        <w:t xml:space="preserve"> </w:t>
      </w:r>
      <w:r>
        <w:t xml:space="preserve">5 (56): 2815.</w:t>
      </w:r>
      <w:r>
        <w:t xml:space="preserve"> </w:t>
      </w:r>
      <w:hyperlink r:id="rId228">
        <w:r>
          <w:rPr>
            <w:rStyle w:val="Hyperlink"/>
          </w:rPr>
          <w:t xml:space="preserve">https://doi.org/10.21105/joss.02815</w:t>
        </w:r>
      </w:hyperlink>
      <w:r>
        <w:t xml:space="preserve">.</w:t>
      </w:r>
    </w:p>
    <w:bookmarkEnd w:id="229"/>
    <w:bookmarkStart w:id="231" w:name="ref-benshachar2023"/>
    <w:p>
      <w:pPr>
        <w:pStyle w:val="Bibliography"/>
      </w:pPr>
      <w:r>
        <w:t xml:space="preserve">Ben-Shachar, Mattan S., Indrajeet Patil, Rémi Thériault, Brenton M. Wiernik, and Daniel Lüdecke. 2023.</w:t>
      </w:r>
      <w:r>
        <w:t xml:space="preserve"> </w:t>
      </w:r>
      <w:r>
        <w:t xml:space="preserve">“Phi, Fei, Fo, Fum: Effect Sizes for Categorical Data That Use the Chi-Squared Statistic.”</w:t>
      </w:r>
      <w:r>
        <w:t xml:space="preserve"> </w:t>
      </w:r>
      <w:r>
        <w:rPr>
          <w:iCs/>
          <w:i/>
        </w:rPr>
        <w:t xml:space="preserve">Mathematics</w:t>
      </w:r>
      <w:r>
        <w:t xml:space="preserve"> </w:t>
      </w:r>
      <w:r>
        <w:t xml:space="preserve">11 (9): 1982.</w:t>
      </w:r>
      <w:r>
        <w:t xml:space="preserve"> </w:t>
      </w:r>
      <w:hyperlink r:id="rId230">
        <w:r>
          <w:rPr>
            <w:rStyle w:val="Hyperlink"/>
          </w:rPr>
          <w:t xml:space="preserve">https://doi.org/10.3390/math11091982</w:t>
        </w:r>
      </w:hyperlink>
      <w:r>
        <w:t xml:space="preserve">.</w:t>
      </w:r>
    </w:p>
    <w:bookmarkEnd w:id="231"/>
    <w:bookmarkStart w:id="233" w:name="ref-DeclareDesign"/>
    <w:p>
      <w:pPr>
        <w:pStyle w:val="Bibliography"/>
      </w:pPr>
      <w:r>
        <w:t xml:space="preserve">Blair, Graeme, Jasper Cooper, Alexander Coppock, and Macartan Humphreys. 2019.</w:t>
      </w:r>
      <w:r>
        <w:t xml:space="preserve"> </w:t>
      </w:r>
      <w:r>
        <w:t xml:space="preserve">“Declaring and Diagnosing Research Designs.”</w:t>
      </w:r>
      <w:r>
        <w:t xml:space="preserve"> </w:t>
      </w:r>
      <w:r>
        <w:rPr>
          <w:iCs/>
          <w:i/>
        </w:rPr>
        <w:t xml:space="preserve">American Political Science Review</w:t>
      </w:r>
      <w:r>
        <w:t xml:space="preserve"> </w:t>
      </w:r>
      <w:r>
        <w:t xml:space="preserve">113: 838–59.</w:t>
      </w:r>
      <w:r>
        <w:t xml:space="preserve"> </w:t>
      </w:r>
      <w:hyperlink r:id="rId232">
        <w:r>
          <w:rPr>
            <w:rStyle w:val="Hyperlink"/>
          </w:rPr>
          <w:t xml:space="preserve">https://declaredesign.org/paper.pdf</w:t>
        </w:r>
      </w:hyperlink>
      <w:r>
        <w:t xml:space="preserve">.</w:t>
      </w:r>
    </w:p>
    <w:bookmarkEnd w:id="233"/>
    <w:bookmarkStart w:id="234" w:name="ref-bonini2020minimal"/>
    <w:p>
      <w:pPr>
        <w:pStyle w:val="Bibliography"/>
      </w:pPr>
      <w:r>
        <w:t xml:space="preserve">Bonini, Matteo, Marcello Di Paolo, Diego Bagnasco, Ilaria Baiardini, Fulvio Braido, Marco Caminati, Elisiana Carpagnano, et al. 2020.</w:t>
      </w:r>
      <w:r>
        <w:t xml:space="preserve"> </w:t>
      </w:r>
      <w:r>
        <w:t xml:space="preserve">“Minimal Clinically Important Difference for Asthma Endpoints: An Expert Consensus Report.”</w:t>
      </w:r>
      <w:r>
        <w:t xml:space="preserve"> </w:t>
      </w:r>
      <w:r>
        <w:rPr>
          <w:iCs/>
          <w:i/>
        </w:rPr>
        <w:t xml:space="preserve">European Respiratory Review</w:t>
      </w:r>
      <w:r>
        <w:t xml:space="preserve"> </w:t>
      </w:r>
      <w:r>
        <w:t xml:space="preserve">29 (156).</w:t>
      </w:r>
    </w:p>
    <w:bookmarkEnd w:id="234"/>
    <w:bookmarkStart w:id="236" w:name="ref-bosco2015"/>
    <w:p>
      <w:pPr>
        <w:pStyle w:val="Bibliography"/>
      </w:pPr>
      <w:r>
        <w:t xml:space="preserve">Bosco, Frank A., Herman Aguinis, Kulraj Singh, James G. Field, and Charles A. Pierce. 2015.</w:t>
      </w:r>
      <w:r>
        <w:t xml:space="preserve"> </w:t>
      </w:r>
      <w:r>
        <w:t xml:space="preserve">“Correlational Effect Size Benchmarks.”</w:t>
      </w:r>
      <w:r>
        <w:t xml:space="preserve"> </w:t>
      </w:r>
      <w:r>
        <w:rPr>
          <w:iCs/>
          <w:i/>
        </w:rPr>
        <w:t xml:space="preserve">Journal of Applied Psychology</w:t>
      </w:r>
      <w:r>
        <w:t xml:space="preserve"> </w:t>
      </w:r>
      <w:r>
        <w:t xml:space="preserve">100 (2): 431–49.</w:t>
      </w:r>
      <w:r>
        <w:t xml:space="preserve"> </w:t>
      </w:r>
      <w:hyperlink r:id="rId235">
        <w:r>
          <w:rPr>
            <w:rStyle w:val="Hyperlink"/>
          </w:rPr>
          <w:t xml:space="preserve">https://doi.org/10.1037/a0038047</w:t>
        </w:r>
      </w:hyperlink>
      <w:r>
        <w:t xml:space="preserve">.</w:t>
      </w:r>
    </w:p>
    <w:bookmarkEnd w:id="236"/>
    <w:bookmarkStart w:id="238" w:name="ref-brunner2000"/>
    <w:p>
      <w:pPr>
        <w:pStyle w:val="Bibliography"/>
      </w:pPr>
      <w:r>
        <w:t xml:space="preserve">Brunner, Edgar, and Ullrich Munzel. 2000.</w:t>
      </w:r>
      <w:r>
        <w:t xml:space="preserve"> </w:t>
      </w:r>
      <w:r>
        <w:t xml:space="preserve">“The Nonparametric Behrens-Fisher Problem: Asymptotic Theory and a Small-Sample Approximation.”</w:t>
      </w:r>
      <w:r>
        <w:t xml:space="preserve"> </w:t>
      </w:r>
      <w:r>
        <w:rPr>
          <w:iCs/>
          <w:i/>
        </w:rPr>
        <w:t xml:space="preserve">Biometrical Journal</w:t>
      </w:r>
      <w:r>
        <w:t xml:space="preserve"> </w:t>
      </w:r>
      <w:r>
        <w:t xml:space="preserve">42 (1): 17–25.</w:t>
      </w:r>
      <w:r>
        <w:t xml:space="preserve"> </w:t>
      </w:r>
      <w:hyperlink r:id="rId237">
        <w:r>
          <w:rPr>
            <w:rStyle w:val="Hyperlink"/>
          </w:rPr>
          <w:t xml:space="preserve">https://doi.org/10.1002/(SICI)1521-4036(200001)42:1&lt;17::AID-BIMJ17&gt;3.0.CO;2-U</w:t>
        </w:r>
      </w:hyperlink>
      <w:r>
        <w:t xml:space="preserve">.</w:t>
      </w:r>
    </w:p>
    <w:bookmarkEnd w:id="238"/>
    <w:bookmarkStart w:id="240" w:name="ref-MOTE"/>
    <w:p>
      <w:pPr>
        <w:pStyle w:val="Bibliography"/>
      </w:pPr>
      <w:r>
        <w:t xml:space="preserve">Buchanan, Erin M., Amber Gillenwaters, John E. Scofield, and K. D. Valentine.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239">
        <w:r>
          <w:rPr>
            <w:rStyle w:val="Hyperlink"/>
          </w:rPr>
          <w:t xml:space="preserve">http://github.com/doomlab/MOTE</w:t>
        </w:r>
      </w:hyperlink>
      <w:r>
        <w:t xml:space="preserve">.</w:t>
      </w:r>
    </w:p>
    <w:bookmarkEnd w:id="240"/>
    <w:bookmarkStart w:id="242" w:name="ref-caldwell"/>
    <w:p>
      <w:pPr>
        <w:pStyle w:val="Bibliography"/>
      </w:pPr>
      <w:r>
        <w:t xml:space="preserve">Caldwell, Aaron R. 2022.</w:t>
      </w:r>
      <w:r>
        <w:t xml:space="preserve"> </w:t>
      </w:r>
      <w:r>
        <w:t xml:space="preserve">“Exploring Equivalence Testing with the Updated TOSTER r Package.”</w:t>
      </w:r>
      <w:r>
        <w:t xml:space="preserve"> </w:t>
      </w:r>
      <w:r>
        <w:rPr>
          <w:iCs/>
          <w:i/>
        </w:rPr>
        <w:t xml:space="preserve">PsyArXiv</w:t>
      </w:r>
      <w:r>
        <w:t xml:space="preserve">.</w:t>
      </w:r>
      <w:r>
        <w:t xml:space="preserve"> </w:t>
      </w:r>
      <w:hyperlink r:id="rId241">
        <w:r>
          <w:rPr>
            <w:rStyle w:val="Hyperlink"/>
          </w:rPr>
          <w:t xml:space="preserve">https://doi.org/10.31234/osf.io/ty8de</w:t>
        </w:r>
      </w:hyperlink>
      <w:r>
        <w:t xml:space="preserve">.</w:t>
      </w:r>
    </w:p>
    <w:bookmarkEnd w:id="242"/>
    <w:bookmarkStart w:id="243" w:name="ref-cliff1993dominance"/>
    <w:p>
      <w:pPr>
        <w:pStyle w:val="Bibliography"/>
      </w:pPr>
      <w:r>
        <w:t xml:space="preserve">Cliff, Norman. 1993.</w:t>
      </w:r>
      <w:r>
        <w:t xml:space="preserve"> </w:t>
      </w:r>
      <w:r>
        <w:t xml:space="preserve">“Dominance Statistics: Ordinal Analyses to Answer Ordinal Questions.”</w:t>
      </w:r>
      <w:r>
        <w:t xml:space="preserve"> </w:t>
      </w:r>
      <w:r>
        <w:rPr>
          <w:iCs/>
          <w:i/>
        </w:rPr>
        <w:t xml:space="preserve">Psychological Bulletin</w:t>
      </w:r>
      <w:r>
        <w:t xml:space="preserve"> </w:t>
      </w:r>
      <w:r>
        <w:t xml:space="preserve">114 (3): 494.</w:t>
      </w:r>
    </w:p>
    <w:bookmarkEnd w:id="243"/>
    <w:bookmarkStart w:id="245" w:name="ref-coe2012"/>
    <w:p>
      <w:pPr>
        <w:pStyle w:val="Bibliography"/>
      </w:pPr>
      <w:r>
        <w:t xml:space="preserve">Coe, R. 2012.</w:t>
      </w:r>
      <w:r>
        <w:t xml:space="preserve"> </w:t>
      </w:r>
      <w:r>
        <w:t xml:space="preserve">“It’s the Effect Size, Stupid What Effect Size Is and Why It Is Important.”</w:t>
      </w:r>
      <w:r>
        <w:t xml:space="preserve"> </w:t>
      </w:r>
      <w:r>
        <w:t xml:space="preserve">In.</w:t>
      </w:r>
      <w:r>
        <w:t xml:space="preserve"> </w:t>
      </w:r>
      <w:hyperlink r:id="rId244">
        <w:r>
          <w:rPr>
            <w:rStyle w:val="Hyperlink"/>
          </w:rPr>
          <w:t xml:space="preserve">https://www.semanticscholar.org/paper/It%27s-the-Effect-Size%2C-Stupid-What-effect-size-is-it-Coe/c5ac87df5d6e0e6b6de2f745284835c2a368b0f7</w:t>
        </w:r>
      </w:hyperlink>
      <w:r>
        <w:t xml:space="preserve">.</w:t>
      </w:r>
    </w:p>
    <w:bookmarkEnd w:id="245"/>
    <w:bookmarkStart w:id="246" w:name="ref-cohen1988"/>
    <w:p>
      <w:pPr>
        <w:pStyle w:val="Bibliography"/>
      </w:pPr>
      <w:r>
        <w:t xml:space="preserve">Cohen, Jacob. 1988.</w:t>
      </w:r>
      <w:r>
        <w:t xml:space="preserve"> </w:t>
      </w:r>
      <w:r>
        <w:rPr>
          <w:iCs/>
          <w:i/>
        </w:rPr>
        <w:t xml:space="preserve">Statistical Power Analysis for the Behavioral Sciences</w:t>
      </w:r>
      <w:r>
        <w:t xml:space="preserve">. Academic Press.</w:t>
      </w:r>
    </w:p>
    <w:bookmarkEnd w:id="246"/>
    <w:bookmarkStart w:id="248" w:name="ref-psychmeta"/>
    <w:p>
      <w:pPr>
        <w:pStyle w:val="Bibliography"/>
      </w:pPr>
      <w:r>
        <w:t xml:space="preserve">Dahlke, Jeffrey A., and Brenton M. Wiernik. 2019.</w:t>
      </w:r>
      <w:r>
        <w:t xml:space="preserve"> </w:t>
      </w:r>
      <w:r>
        <w:t xml:space="preserve">“</w:t>
      </w:r>
      <w:r>
        <w:t xml:space="preserve">psychmeta</w:t>
      </w:r>
      <w:r>
        <w:t xml:space="preserve">: An r Package for Psychometric Meta-Analysis.”</w:t>
      </w:r>
      <w:r>
        <w:t xml:space="preserve"> </w:t>
      </w:r>
      <w:r>
        <w:rPr>
          <w:iCs/>
          <w:i/>
        </w:rPr>
        <w:t xml:space="preserve">Applied Psychological Measurement</w:t>
      </w:r>
      <w:r>
        <w:t xml:space="preserve"> </w:t>
      </w:r>
      <w:r>
        <w:t xml:space="preserve">43 (5): 415–16.</w:t>
      </w:r>
      <w:r>
        <w:t xml:space="preserve"> </w:t>
      </w:r>
      <w:hyperlink r:id="rId247">
        <w:r>
          <w:rPr>
            <w:rStyle w:val="Hyperlink"/>
          </w:rPr>
          <w:t xml:space="preserve">https://doi.org/10.1177/0146621618795933</w:t>
        </w:r>
      </w:hyperlink>
      <w:r>
        <w:t xml:space="preserve">.</w:t>
      </w:r>
    </w:p>
    <w:bookmarkEnd w:id="248"/>
    <w:bookmarkStart w:id="250" w:name="ref-daste2022"/>
    <w:p>
      <w:pPr>
        <w:pStyle w:val="Bibliography"/>
      </w:pPr>
      <w:r>
        <w:t xml:space="preserve">Daste, Camille, Hendy Abdoul, Frantz Foissac, Marie-Martine Lefèvre-Colau, Serge Poiraudeau, François Rannou, and Christelle Nguyen. 2022.</w:t>
      </w:r>
      <w:r>
        <w:t xml:space="preserve"> </w:t>
      </w:r>
      <w:r>
        <w:t xml:space="preserve">“Patient Acceptable Symptom State for Patient-Reported Outcomes in People with Non-Specific Chronic Low Back Pain.”</w:t>
      </w:r>
      <w:r>
        <w:t xml:space="preserve"> </w:t>
      </w:r>
      <w:r>
        <w:rPr>
          <w:iCs/>
          <w:i/>
        </w:rPr>
        <w:t xml:space="preserve">Annals of Physical and Rehabilitation Medicine</w:t>
      </w:r>
      <w:r>
        <w:t xml:space="preserve"> </w:t>
      </w:r>
      <w:r>
        <w:t xml:space="preserve">65 (1): 101451.</w:t>
      </w:r>
      <w:r>
        <w:t xml:space="preserve"> </w:t>
      </w:r>
      <w:hyperlink r:id="rId249">
        <w:r>
          <w:rPr>
            <w:rStyle w:val="Hyperlink"/>
          </w:rPr>
          <w:t xml:space="preserve">https://doi.org/10.1016/j.rehab.2020.10.005</w:t>
        </w:r>
      </w:hyperlink>
      <w:r>
        <w:t xml:space="preserve">.</w:t>
      </w:r>
    </w:p>
    <w:bookmarkEnd w:id="250"/>
    <w:bookmarkStart w:id="251" w:name="ref-divine2018wilcoxon"/>
    <w:p>
      <w:pPr>
        <w:pStyle w:val="Bibliography"/>
      </w:pPr>
      <w:r>
        <w:t xml:space="preserve">Divine, George W, H James Norton, Anna E Barón, and Elizabeth Juarez-Colunga. 2018.</w:t>
      </w:r>
      <w:r>
        <w:t xml:space="preserve"> </w:t>
      </w:r>
      <w:r>
        <w:t xml:space="preserve">“The Wilcoxon–Mann–Whitney Procedure Fails as a Test of Medians.”</w:t>
      </w:r>
      <w:r>
        <w:t xml:space="preserve"> </w:t>
      </w:r>
      <w:r>
        <w:rPr>
          <w:iCs/>
          <w:i/>
        </w:rPr>
        <w:t xml:space="preserve">The American Statistician</w:t>
      </w:r>
      <w:r>
        <w:t xml:space="preserve"> </w:t>
      </w:r>
      <w:r>
        <w:t xml:space="preserve">72 (3): 278–86.</w:t>
      </w:r>
    </w:p>
    <w:bookmarkEnd w:id="251"/>
    <w:bookmarkStart w:id="253" w:name="ref-faul2009"/>
    <w:p>
      <w:pPr>
        <w:pStyle w:val="Bibliography"/>
      </w:pPr>
      <w:r>
        <w:t xml:space="preserve">Faul, Franz, Edgar Erdfelder, Axel Buchner, and Albert-Georg Lang. 2009.</w:t>
      </w:r>
      <w:r>
        <w:t xml:space="preserve"> </w:t>
      </w:r>
      <w:r>
        <w:t xml:space="preserve">“Statistical Power Analyses Using G*Power 3.1: Tests for Correlation and Regression Analyses.”</w:t>
      </w:r>
      <w:r>
        <w:t xml:space="preserve"> </w:t>
      </w:r>
      <w:r>
        <w:rPr>
          <w:iCs/>
          <w:i/>
        </w:rPr>
        <w:t xml:space="preserve">Behavior Research Methods</w:t>
      </w:r>
      <w:r>
        <w:t xml:space="preserve"> </w:t>
      </w:r>
      <w:r>
        <w:t xml:space="preserve">41 (4): 1149–60.</w:t>
      </w:r>
      <w:r>
        <w:t xml:space="preserve"> </w:t>
      </w:r>
      <w:hyperlink r:id="rId252">
        <w:r>
          <w:rPr>
            <w:rStyle w:val="Hyperlink"/>
          </w:rPr>
          <w:t xml:space="preserve">https://doi.org/10.3758/BRM.41.4.1149</w:t>
        </w:r>
      </w:hyperlink>
      <w:r>
        <w:t xml:space="preserve">.</w:t>
      </w:r>
    </w:p>
    <w:bookmarkEnd w:id="253"/>
    <w:bookmarkStart w:id="255" w:name="ref-fritz2012"/>
    <w:p>
      <w:pPr>
        <w:pStyle w:val="Bibliography"/>
      </w:pPr>
      <w:r>
        <w:t xml:space="preserve">Fritz, Catherine O., Peter E. Morris, and Jennifer J. Richler. 2012.</w:t>
      </w:r>
      <w:r>
        <w:t xml:space="preserve"> </w:t>
      </w:r>
      <w:r>
        <w:t xml:space="preserve">“Effect Size Estimates: Current Use, Calculations, and Interpretation.”</w:t>
      </w:r>
      <w:r>
        <w:t xml:space="preserve"> </w:t>
      </w:r>
      <w:r>
        <w:rPr>
          <w:iCs/>
          <w:i/>
        </w:rPr>
        <w:t xml:space="preserve">Journal of Experimental Psychology: General</w:t>
      </w:r>
      <w:r>
        <w:t xml:space="preserve"> </w:t>
      </w:r>
      <w:r>
        <w:t xml:space="preserve">141 (1): 2–18.</w:t>
      </w:r>
      <w:r>
        <w:t xml:space="preserve"> </w:t>
      </w:r>
      <w:hyperlink r:id="rId254">
        <w:r>
          <w:rPr>
            <w:rStyle w:val="Hyperlink"/>
          </w:rPr>
          <w:t xml:space="preserve">https://doi.org/10.1037/a0024338</w:t>
        </w:r>
      </w:hyperlink>
      <w:r>
        <w:t xml:space="preserve">.</w:t>
      </w:r>
    </w:p>
    <w:bookmarkEnd w:id="255"/>
    <w:bookmarkStart w:id="257"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256">
        <w:r>
          <w:rPr>
            <w:rStyle w:val="Hyperlink"/>
          </w:rPr>
          <w:t xml:space="preserve">https://doi.org/10.1177/2515245919847202</w:t>
        </w:r>
      </w:hyperlink>
      <w:r>
        <w:t xml:space="preserve">.</w:t>
      </w:r>
    </w:p>
    <w:bookmarkEnd w:id="257"/>
    <w:bookmarkStart w:id="259" w:name="ref-gelman"/>
    <w:p>
      <w:pPr>
        <w:pStyle w:val="Bibliography"/>
      </w:pPr>
      <w:r>
        <w:t xml:space="preserve">Gelman, Andrew. 2011.</w:t>
      </w:r>
      <w:r>
        <w:t xml:space="preserve"> </w:t>
      </w:r>
      <w:r>
        <w:t xml:space="preserve">“Why It Doesn</w:t>
      </w:r>
      <w:r>
        <w:t xml:space="preserve">’</w:t>
      </w:r>
      <w:r>
        <w:t xml:space="preserve">t Make Sense in General to Form Confidence Intervals by Inverting Hypothesis Tests | Statistical Modeling, Causal Inference, and Social Science.”</w:t>
      </w:r>
      <w:r>
        <w:t xml:space="preserve"> </w:t>
      </w:r>
      <w:hyperlink r:id="rId258">
        <w:r>
          <w:rPr>
            <w:rStyle w:val="Hyperlink"/>
          </w:rPr>
          <w:t xml:space="preserve">https://statmodeling.stat.columbia.edu/2011/08/25/why_it_doesnt_m/</w:t>
        </w:r>
      </w:hyperlink>
      <w:r>
        <w:t xml:space="preserve">.</w:t>
      </w:r>
    </w:p>
    <w:bookmarkEnd w:id="259"/>
    <w:bookmarkStart w:id="260"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30">
        <w:r>
          <w:rPr>
            <w:rStyle w:val="Hyperlink"/>
          </w:rPr>
          <w:t xml:space="preserve">https://doi.org/10.1016/j.paid.2016.06.069</w:t>
        </w:r>
      </w:hyperlink>
      <w:r>
        <w:t xml:space="preserve">.</w:t>
      </w:r>
    </w:p>
    <w:bookmarkEnd w:id="260"/>
    <w:bookmarkStart w:id="262" w:name="ref-glass1981"/>
    <w:p>
      <w:pPr>
        <w:pStyle w:val="Bibliography"/>
      </w:pPr>
      <w:r>
        <w:t xml:space="preserve">Glass, Gene V. 1981.</w:t>
      </w:r>
      <w:r>
        <w:t xml:space="preserve"> </w:t>
      </w:r>
      <w:r>
        <w:t xml:space="preserve">“Meta-Analysis in Social Research.”</w:t>
      </w:r>
      <w:r>
        <w:t xml:space="preserve"> </w:t>
      </w:r>
      <w:r>
        <w:rPr>
          <w:iCs/>
          <w:i/>
        </w:rPr>
        <w:t xml:space="preserve">(No Title)</w:t>
      </w:r>
      <w:r>
        <w:t xml:space="preserve">.</w:t>
      </w:r>
      <w:r>
        <w:t xml:space="preserve"> </w:t>
      </w:r>
      <w:hyperlink r:id="rId261">
        <w:r>
          <w:rPr>
            <w:rStyle w:val="Hyperlink"/>
          </w:rPr>
          <w:t xml:space="preserve">https://cir.nii.ac.jp/crid/1130000795088566912</w:t>
        </w:r>
      </w:hyperlink>
      <w:r>
        <w:t xml:space="preserve">.</w:t>
      </w:r>
    </w:p>
    <w:bookmarkEnd w:id="262"/>
    <w:bookmarkStart w:id="263" w:name="ref-glass1981a"/>
    <w:p>
      <w:pPr>
        <w:pStyle w:val="Bibliography"/>
      </w:pPr>
      <w:r>
        <w:t xml:space="preserve">Glass, Gene V., Barry McGaw, and Mary L. Smith. 1981.</w:t>
      </w:r>
      <w:r>
        <w:t xml:space="preserve"> </w:t>
      </w:r>
      <w:r>
        <w:t xml:space="preserve">“Meta-Analysis in Social Research.”</w:t>
      </w:r>
      <w:r>
        <w:t xml:space="preserve"> </w:t>
      </w:r>
      <w:r>
        <w:rPr>
          <w:iCs/>
          <w:i/>
        </w:rPr>
        <w:t xml:space="preserve">(No Title)</w:t>
      </w:r>
      <w:r>
        <w:t xml:space="preserve">.</w:t>
      </w:r>
      <w:r>
        <w:t xml:space="preserve"> </w:t>
      </w:r>
      <w:hyperlink r:id="rId261">
        <w:r>
          <w:rPr>
            <w:rStyle w:val="Hyperlink"/>
          </w:rPr>
          <w:t xml:space="preserve">https://cir.nii.ac.jp/crid/1130000795088566912</w:t>
        </w:r>
      </w:hyperlink>
      <w:r>
        <w:t xml:space="preserve">.</w:t>
      </w:r>
    </w:p>
    <w:bookmarkEnd w:id="263"/>
    <w:bookmarkStart w:id="265" w:name="ref-guilford1965"/>
    <w:p>
      <w:pPr>
        <w:pStyle w:val="Bibliography"/>
      </w:pPr>
      <w:r>
        <w:t xml:space="preserve">Guilford, J. P. 1965.</w:t>
      </w:r>
      <w:r>
        <w:t xml:space="preserve"> </w:t>
      </w:r>
      <w:r>
        <w:t xml:space="preserve">“The Minimal Phi Coefficient and the Maximal Phi.”</w:t>
      </w:r>
      <w:r>
        <w:t xml:space="preserve"> </w:t>
      </w:r>
      <w:r>
        <w:rPr>
          <w:iCs/>
          <w:i/>
        </w:rPr>
        <w:t xml:space="preserve">Educational and Psychological Measurement</w:t>
      </w:r>
      <w:r>
        <w:t xml:space="preserve"> </w:t>
      </w:r>
      <w:r>
        <w:t xml:space="preserve">25 (1): 3–8.</w:t>
      </w:r>
      <w:r>
        <w:t xml:space="preserve"> </w:t>
      </w:r>
      <w:hyperlink r:id="rId264">
        <w:r>
          <w:rPr>
            <w:rStyle w:val="Hyperlink"/>
          </w:rPr>
          <w:t xml:space="preserve">https://doi.org/10.1177/001316446502500101</w:t>
        </w:r>
      </w:hyperlink>
      <w:r>
        <w:t xml:space="preserve">.</w:t>
      </w:r>
    </w:p>
    <w:bookmarkEnd w:id="265"/>
    <w:bookmarkStart w:id="267" w:name="ref-harrell2020"/>
    <w:p>
      <w:pPr>
        <w:pStyle w:val="Bibliography"/>
      </w:pPr>
      <w:r>
        <w:t xml:space="preserve">Harrell, Frank. 2020.</w:t>
      </w:r>
      <w:r>
        <w:t xml:space="preserve"> </w:t>
      </w:r>
      <w:r>
        <w:t xml:space="preserve">“Author Checklist - Data Analysis.”</w:t>
      </w:r>
      <w:r>
        <w:t xml:space="preserve"> </w:t>
      </w:r>
      <w:hyperlink r:id="rId266">
        <w:r>
          <w:rPr>
            <w:rStyle w:val="Hyperlink"/>
          </w:rPr>
          <w:t xml:space="preserve">https://discourse.datamethods.org/t/author-checklist/3407</w:t>
        </w:r>
      </w:hyperlink>
      <w:r>
        <w:t xml:space="preserve">.</w:t>
      </w:r>
    </w:p>
    <w:bookmarkEnd w:id="267"/>
    <w:bookmarkStart w:id="269" w:name="ref-hedges1981"/>
    <w:p>
      <w:pPr>
        <w:pStyle w:val="Bibliography"/>
      </w:pPr>
      <w:r>
        <w:t xml:space="preserve">Hedges, Larry V. 1981.</w:t>
      </w:r>
      <w:r>
        <w:t xml:space="preserve"> </w:t>
      </w:r>
      <w:r>
        <w:t xml:space="preserve">“Distribution Theory for Glass’s Estimator of Effect Size and Related Estimators.”</w:t>
      </w:r>
      <w:r>
        <w:t xml:space="preserve"> </w:t>
      </w:r>
      <w:r>
        <w:rPr>
          <w:iCs/>
          <w:i/>
        </w:rPr>
        <w:t xml:space="preserve">Journal of Educational Statistics</w:t>
      </w:r>
      <w:r>
        <w:t xml:space="preserve"> </w:t>
      </w:r>
      <w:r>
        <w:t xml:space="preserve">6 (2): 107–28.</w:t>
      </w:r>
      <w:r>
        <w:t xml:space="preserve"> </w:t>
      </w:r>
      <w:hyperlink r:id="rId268">
        <w:r>
          <w:rPr>
            <w:rStyle w:val="Hyperlink"/>
          </w:rPr>
          <w:t xml:space="preserve">https://doi.org/10.3102/10769986006002107</w:t>
        </w:r>
      </w:hyperlink>
      <w:r>
        <w:t xml:space="preserve">.</w:t>
      </w:r>
    </w:p>
    <w:bookmarkEnd w:id="269"/>
    <w:bookmarkStart w:id="270" w:name="ref-van2001minimal"/>
    <w:p>
      <w:pPr>
        <w:pStyle w:val="Bibliography"/>
      </w:pPr>
      <w:r>
        <w:t xml:space="preserve">HEIJDE, DÉSIRÉE van der, MARISSA Lassere, JOHN Edmonds, JOHN Kirwan, VIBEKE Strand, and Maarten Boers. 2001.</w:t>
      </w:r>
      <w:r>
        <w:t xml:space="preserve"> </w:t>
      </w:r>
      <w:r>
        <w:t xml:space="preserve">“Minimal Clinically Important Difference in Plain Films in RA: Group Discussions, Conclusions, and Recommendations. OMERACT Imaging Task Force.”</w:t>
      </w:r>
      <w:r>
        <w:t xml:space="preserve"> </w:t>
      </w:r>
      <w:r>
        <w:rPr>
          <w:iCs/>
          <w:i/>
        </w:rPr>
        <w:t xml:space="preserve">The Journal of Rheumatology</w:t>
      </w:r>
      <w:r>
        <w:t xml:space="preserve"> </w:t>
      </w:r>
      <w:r>
        <w:t xml:space="preserve">28 (4): 914–17.</w:t>
      </w:r>
    </w:p>
    <w:bookmarkEnd w:id="270"/>
    <w:bookmarkStart w:id="272" w:name="ref-hoekstra2014"/>
    <w:p>
      <w:pPr>
        <w:pStyle w:val="Bibliography"/>
      </w:pPr>
      <w:r>
        <w:t xml:space="preserve">Hoekstra, Rink, Richard D. Morey, Jeffrey N. Rouder, and Eric-Jan Wagenmakers. 2014.</w:t>
      </w:r>
      <w:r>
        <w:t xml:space="preserve"> </w:t>
      </w:r>
      <w:r>
        <w:t xml:space="preserve">“Robust Misinterpretation of Confidence Intervals.”</w:t>
      </w:r>
      <w:r>
        <w:t xml:space="preserve"> </w:t>
      </w:r>
      <w:r>
        <w:rPr>
          <w:iCs/>
          <w:i/>
        </w:rPr>
        <w:t xml:space="preserve">Psychonomic Bulletin &amp; Review</w:t>
      </w:r>
      <w:r>
        <w:t xml:space="preserve"> </w:t>
      </w:r>
      <w:r>
        <w:t xml:space="preserve">21 (5): 1157–64.</w:t>
      </w:r>
      <w:r>
        <w:t xml:space="preserve"> </w:t>
      </w:r>
      <w:hyperlink r:id="rId271">
        <w:r>
          <w:rPr>
            <w:rStyle w:val="Hyperlink"/>
          </w:rPr>
          <w:t xml:space="preserve">https://doi.org/10.3758/s13423-013-0572-3</w:t>
        </w:r>
      </w:hyperlink>
      <w:r>
        <w:t xml:space="preserve">.</w:t>
      </w:r>
    </w:p>
    <w:bookmarkEnd w:id="272"/>
    <w:bookmarkStart w:id="274" w:name="ref-palmerpenguins"/>
    <w:p>
      <w:pPr>
        <w:pStyle w:val="Bibliography"/>
      </w:pPr>
      <w:r>
        <w:t xml:space="preserve">Horst, Allison Marie, Alison Presmanes Hill, and Kristen B Gorman. 2020.</w:t>
      </w:r>
      <w:r>
        <w:t xml:space="preserve"> </w:t>
      </w:r>
      <w:r>
        <w:rPr>
          <w:iCs/>
          <w:i/>
        </w:rPr>
        <w:t xml:space="preserve">Palmerpenguins: Palmer Archipelago (Antarctica) Penguin Data</w:t>
      </w:r>
      <w:r>
        <w:t xml:space="preserve">.</w:t>
      </w:r>
      <w:r>
        <w:t xml:space="preserve"> </w:t>
      </w:r>
      <w:hyperlink r:id="rId273">
        <w:r>
          <w:rPr>
            <w:rStyle w:val="Hyperlink"/>
          </w:rPr>
          <w:t xml:space="preserve">https://doi.org/10.5281/zenodo.3960218</w:t>
        </w:r>
      </w:hyperlink>
      <w:r>
        <w:t xml:space="preserve">.</w:t>
      </w:r>
    </w:p>
    <w:bookmarkEnd w:id="274"/>
    <w:bookmarkStart w:id="275" w:name="ref-hunter1990"/>
    <w:p>
      <w:pPr>
        <w:pStyle w:val="Bibliography"/>
      </w:pPr>
      <w:r>
        <w:t xml:space="preserve">Hunter, John E., and Frank L. Schmidt. 1990.</w:t>
      </w:r>
      <w:r>
        <w:t xml:space="preserve"> </w:t>
      </w:r>
      <w:r>
        <w:rPr>
          <w:iCs/>
          <w:i/>
        </w:rPr>
        <w:t xml:space="preserve">Methods of meta-analysis: correcting error and bias in research findings</w:t>
      </w:r>
      <w:r>
        <w:t xml:space="preserve">. Newbury Park: Sage Publications.</w:t>
      </w:r>
    </w:p>
    <w:bookmarkEnd w:id="275"/>
    <w:bookmarkStart w:id="277" w:name="ref-MatthewBJane2023"/>
    <w:p>
      <w:pPr>
        <w:pStyle w:val="Bibliography"/>
      </w:pPr>
      <w:r>
        <w:t xml:space="preserve">Jané, Matthew B. 2023.</w:t>
      </w:r>
      <w:r>
        <w:t xml:space="preserve"> </w:t>
      </w:r>
      <w:r>
        <w:rPr>
          <w:iCs/>
          <w:i/>
        </w:rPr>
        <w:t xml:space="preserve">Artifact Corrections for Effect Sizes: Implementation in r and Application to Meta-Analysis</w:t>
      </w:r>
      <w:r>
        <w:t xml:space="preserve">. (n.p.).</w:t>
      </w:r>
      <w:r>
        <w:t xml:space="preserve"> </w:t>
      </w:r>
      <w:hyperlink r:id="rId276">
        <w:r>
          <w:rPr>
            <w:rStyle w:val="Hyperlink"/>
          </w:rPr>
          <w:t xml:space="preserve">https://matthewbjane.quarto.pub/artifact-corrections-for-effect-sizes/</w:t>
        </w:r>
      </w:hyperlink>
      <w:r>
        <w:t xml:space="preserve">.</w:t>
      </w:r>
    </w:p>
    <w:bookmarkEnd w:id="277"/>
    <w:bookmarkStart w:id="278" w:name="ref-karch2021psychologists"/>
    <w:p>
      <w:pPr>
        <w:pStyle w:val="Bibliography"/>
      </w:pPr>
      <w:r>
        <w:t xml:space="preserve">Karch, Julian D. 2021.</w:t>
      </w:r>
      <w:r>
        <w:t xml:space="preserve"> </w:t>
      </w:r>
      <w:r>
        <w:t xml:space="preserve">“Psychologists Should Use Brunner-Munzel’s Instead of Mann-Whitney’s u Test as the Default Nonparametric Procedure.”</w:t>
      </w:r>
      <w:r>
        <w:t xml:space="preserve"> </w:t>
      </w:r>
      <w:r>
        <w:rPr>
          <w:iCs/>
          <w:i/>
        </w:rPr>
        <w:t xml:space="preserve">Advances in Methods and Practices in Psychological Science</w:t>
      </w:r>
      <w:r>
        <w:t xml:space="preserve"> </w:t>
      </w:r>
      <w:r>
        <w:t xml:space="preserve">4 (2): 2515245921999602.</w:t>
      </w:r>
    </w:p>
    <w:bookmarkEnd w:id="278"/>
    <w:bookmarkStart w:id="280" w:name="ref-datarium"/>
    <w:p>
      <w:pPr>
        <w:pStyle w:val="Bibliography"/>
      </w:pPr>
      <w:r>
        <w:t xml:space="preserve">Kassambara, Alboukadel. 2019.</w:t>
      </w:r>
      <w:r>
        <w:t xml:space="preserve"> </w:t>
      </w:r>
      <w:r>
        <w:rPr>
          <w:iCs/>
          <w:i/>
        </w:rPr>
        <w:t xml:space="preserve">Datarium: Data Bank for Statistical Analysis and Visualization</w:t>
      </w:r>
      <w:r>
        <w:t xml:space="preserve">.</w:t>
      </w:r>
      <w:r>
        <w:t xml:space="preserve"> </w:t>
      </w:r>
      <w:hyperlink r:id="rId279">
        <w:r>
          <w:rPr>
            <w:rStyle w:val="Hyperlink"/>
          </w:rPr>
          <w:t xml:space="preserve">https://CRAN.R-project.org/package=datarium</w:t>
        </w:r>
      </w:hyperlink>
      <w:r>
        <w:t xml:space="preserve">.</w:t>
      </w:r>
    </w:p>
    <w:bookmarkEnd w:id="280"/>
    <w:bookmarkStart w:id="282" w:name="ref-MBESS"/>
    <w:p>
      <w:pPr>
        <w:pStyle w:val="Bibliography"/>
      </w:pPr>
      <w:r>
        <w:t xml:space="preserve">Kelley, Ken. 2022.</w:t>
      </w:r>
      <w:r>
        <w:t xml:space="preserve"> </w:t>
      </w:r>
      <w:r>
        <w:rPr>
          <w:iCs/>
          <w:i/>
        </w:rPr>
        <w:t xml:space="preserve">MBESS: The MBESS r Package</w:t>
      </w:r>
      <w:r>
        <w:t xml:space="preserve">.</w:t>
      </w:r>
      <w:r>
        <w:t xml:space="preserve"> </w:t>
      </w:r>
      <w:hyperlink r:id="rId281">
        <w:r>
          <w:rPr>
            <w:rStyle w:val="Hyperlink"/>
          </w:rPr>
          <w:t xml:space="preserve">https://CRAN.R-project.org/package=MBESS</w:t>
        </w:r>
      </w:hyperlink>
      <w:r>
        <w:t xml:space="preserve">.</w:t>
      </w:r>
    </w:p>
    <w:bookmarkEnd w:id="282"/>
    <w:bookmarkStart w:id="284" w:name="ref-kelley2012"/>
    <w:p>
      <w:pPr>
        <w:pStyle w:val="Bibliography"/>
      </w:pPr>
      <w:r>
        <w:t xml:space="preserve">Kelley, Ken, and Kristopher J. Preacher. 2012.</w:t>
      </w:r>
      <w:r>
        <w:t xml:space="preserve"> </w:t>
      </w:r>
      <w:r>
        <w:t xml:space="preserve">“On Effect Size.”</w:t>
      </w:r>
      <w:r>
        <w:t xml:space="preserve"> </w:t>
      </w:r>
      <w:r>
        <w:rPr>
          <w:iCs/>
          <w:i/>
        </w:rPr>
        <w:t xml:space="preserve">Psychological Methods</w:t>
      </w:r>
      <w:r>
        <w:t xml:space="preserve"> </w:t>
      </w:r>
      <w:r>
        <w:t xml:space="preserve">17 (2): 137–52.</w:t>
      </w:r>
      <w:r>
        <w:t xml:space="preserve"> </w:t>
      </w:r>
      <w:hyperlink r:id="rId283">
        <w:r>
          <w:rPr>
            <w:rStyle w:val="Hyperlink"/>
          </w:rPr>
          <w:t xml:space="preserve">https://doi.org/10.1037/a0028086</w:t>
        </w:r>
      </w:hyperlink>
      <w:r>
        <w:t xml:space="preserve">.</w:t>
      </w:r>
    </w:p>
    <w:bookmarkEnd w:id="284"/>
    <w:bookmarkStart w:id="285" w:name="ref-BootES"/>
    <w:p>
      <w:pPr>
        <w:pStyle w:val="Bibliography"/>
      </w:pPr>
      <w:r>
        <w:t xml:space="preserve">Kirby, Kris N, and Daniel Gerlanc. 2013.</w:t>
      </w:r>
      <w:r>
        <w:t xml:space="preserve"> </w:t>
      </w:r>
      <w:r>
        <w:t xml:space="preserve">“BootES: An r Package for Bootstrap Confidence Intervals on Effect Sizes.”</w:t>
      </w:r>
      <w:r>
        <w:t xml:space="preserve"> </w:t>
      </w:r>
      <w:r>
        <w:rPr>
          <w:iCs/>
          <w:i/>
        </w:rPr>
        <w:t xml:space="preserve">Behavior Research Methods</w:t>
      </w:r>
      <w:r>
        <w:t xml:space="preserve"> </w:t>
      </w:r>
      <w:r>
        <w:t xml:space="preserve">45: 905–27.</w:t>
      </w:r>
    </w:p>
    <w:bookmarkEnd w:id="285"/>
    <w:bookmarkStart w:id="287" w:name="ref-lakens2013"/>
    <w:p>
      <w:pPr>
        <w:pStyle w:val="Bibliography"/>
      </w:pPr>
      <w:r>
        <w:t xml:space="preserve">Lakens, Daniël. 2013.</w:t>
      </w:r>
      <w:r>
        <w:t xml:space="preserve"> </w:t>
      </w:r>
      <w:r>
        <w:t xml:space="preserve">“Calculating and Reporting Effect Sizes to Facilitate Cumulative Science: A Practical Primer for t-Tests and ANOVAs.”</w:t>
      </w:r>
      <w:r>
        <w:t xml:space="preserve"> </w:t>
      </w:r>
      <w:r>
        <w:rPr>
          <w:iCs/>
          <w:i/>
        </w:rPr>
        <w:t xml:space="preserve">Frontiers in Psychology</w:t>
      </w:r>
      <w:r>
        <w:t xml:space="preserve"> </w:t>
      </w:r>
      <w:r>
        <w:t xml:space="preserve">4.</w:t>
      </w:r>
      <w:r>
        <w:t xml:space="preserve"> </w:t>
      </w:r>
      <w:hyperlink r:id="rId286">
        <w:r>
          <w:rPr>
            <w:rStyle w:val="Hyperlink"/>
          </w:rPr>
          <w:t xml:space="preserve">https://www.frontiersin.org/articles/10.3389/fpsyg.2013.00863</w:t>
        </w:r>
      </w:hyperlink>
      <w:r>
        <w:t xml:space="preserve">.</w:t>
      </w:r>
    </w:p>
    <w:bookmarkEnd w:id="287"/>
    <w:bookmarkStart w:id="289" w:name="ref-lakens2014"/>
    <w:p>
      <w:pPr>
        <w:pStyle w:val="Bibliography"/>
      </w:pPr>
      <w:r>
        <w:t xml:space="preserve">———. 2014.</w:t>
      </w:r>
      <w:r>
        <w:t xml:space="preserve"> </w:t>
      </w:r>
      <w:r>
        <w:t xml:space="preserve">“The 20.”</w:t>
      </w:r>
      <w:r>
        <w:t xml:space="preserve"> </w:t>
      </w:r>
      <w:hyperlink r:id="rId288">
        <w:r>
          <w:rPr>
            <w:rStyle w:val="Hyperlink"/>
          </w:rPr>
          <w:t xml:space="preserve">http://daniellakens.blogspot.com/2014/06/calculating-confidence-intervals-for.html</w:t>
        </w:r>
      </w:hyperlink>
      <w:r>
        <w:t xml:space="preserve">.</w:t>
      </w:r>
    </w:p>
    <w:bookmarkEnd w:id="289"/>
    <w:bookmarkStart w:id="291" w:name="ref-lakens2022"/>
    <w:p>
      <w:pPr>
        <w:pStyle w:val="Bibliography"/>
      </w:pPr>
      <w:r>
        <w:t xml:space="preserve">———. 2022.</w:t>
      </w:r>
      <w:r>
        <w:t xml:space="preserve"> </w:t>
      </w:r>
      <w:r>
        <w:t xml:space="preserve">“Sample Size Justification.”</w:t>
      </w:r>
      <w:r>
        <w:t xml:space="preserve"> </w:t>
      </w:r>
      <w:r>
        <w:rPr>
          <w:iCs/>
          <w:i/>
        </w:rPr>
        <w:t xml:space="preserve">Collabra: Psychology</w:t>
      </w:r>
      <w:r>
        <w:t xml:space="preserve"> </w:t>
      </w:r>
      <w:r>
        <w:t xml:space="preserve">8 (1): 33267.</w:t>
      </w:r>
      <w:r>
        <w:t xml:space="preserve"> </w:t>
      </w:r>
      <w:hyperlink r:id="rId290">
        <w:r>
          <w:rPr>
            <w:rStyle w:val="Hyperlink"/>
          </w:rPr>
          <w:t xml:space="preserve">https://doi.org/10.1525/collabra.33267</w:t>
        </w:r>
      </w:hyperlink>
      <w:r>
        <w:t xml:space="preserve">.</w:t>
      </w:r>
    </w:p>
    <w:bookmarkEnd w:id="291"/>
    <w:bookmarkStart w:id="292" w:name="ref-lakens2018equivalence"/>
    <w:p>
      <w:pPr>
        <w:pStyle w:val="Bibliography"/>
      </w:pPr>
      <w:r>
        <w:t xml:space="preserve">Lakens, Daniël, Anne M Scheel, and Peder M Isager. 2018.</w:t>
      </w:r>
      <w:r>
        <w:t xml:space="preserve"> </w:t>
      </w:r>
      <w:r>
        <w:t xml:space="preserve">“Equivalence Testing for Psychological Research: A Tutorial.”</w:t>
      </w:r>
      <w:r>
        <w:t xml:space="preserve"> </w:t>
      </w:r>
      <w:r>
        <w:rPr>
          <w:iCs/>
          <w:i/>
        </w:rPr>
        <w:t xml:space="preserve">Advances in Methods and Practices in Psychological Science</w:t>
      </w:r>
      <w:r>
        <w:t xml:space="preserve"> </w:t>
      </w:r>
      <w:r>
        <w:t xml:space="preserve">1 (2): 259–69.</w:t>
      </w:r>
    </w:p>
    <w:bookmarkEnd w:id="292"/>
    <w:bookmarkStart w:id="294" w:name="ref-TOSTER"/>
    <w:p>
      <w:pPr>
        <w:pStyle w:val="Bibliography"/>
      </w:pPr>
      <w:r>
        <w:t xml:space="preserve">Läkens, Daniel. 2017.</w:t>
      </w:r>
      <w:r>
        <w:t xml:space="preserve"> </w:t>
      </w:r>
      <w:r>
        <w:t xml:space="preserve">“Equivalence Tests: A Practical Primer for t-Tests, Correlations, and Meta-Analyses.”</w:t>
      </w:r>
      <w:r>
        <w:t xml:space="preserve"> </w:t>
      </w:r>
      <w:r>
        <w:rPr>
          <w:iCs/>
          <w:i/>
        </w:rPr>
        <w:t xml:space="preserve">Social Psychological and Personality Science</w:t>
      </w:r>
      <w:r>
        <w:t xml:space="preserve"> </w:t>
      </w:r>
      <w:r>
        <w:t xml:space="preserve">1: 1–8.</w:t>
      </w:r>
      <w:r>
        <w:t xml:space="preserve"> </w:t>
      </w:r>
      <w:hyperlink r:id="rId293">
        <w:r>
          <w:rPr>
            <w:rStyle w:val="Hyperlink"/>
          </w:rPr>
          <w:t xml:space="preserve">https://doi.org/10.1177/1948550617697177</w:t>
        </w:r>
      </w:hyperlink>
      <w:r>
        <w:t xml:space="preserve">.</w:t>
      </w:r>
    </w:p>
    <w:bookmarkEnd w:id="294"/>
    <w:bookmarkStart w:id="296" w:name="ref-liddell2018"/>
    <w:p>
      <w:pPr>
        <w:pStyle w:val="Bibliography"/>
      </w:pPr>
      <w:r>
        <w:t xml:space="preserve">Liddell, Torrin M., and John K. Kruschke. 2018.</w:t>
      </w:r>
      <w:r>
        <w:t xml:space="preserve"> </w:t>
      </w:r>
      <w:r>
        <w:t xml:space="preserve">“Analyzing Ordinal Data with Metric Models: What Could Possibly Go Wrong?”</w:t>
      </w:r>
      <w:r>
        <w:t xml:space="preserve"> </w:t>
      </w:r>
      <w:r>
        <w:rPr>
          <w:iCs/>
          <w:i/>
        </w:rPr>
        <w:t xml:space="preserve">Journal of Experimental Social Psychology</w:t>
      </w:r>
      <w:r>
        <w:t xml:space="preserve"> </w:t>
      </w:r>
      <w:r>
        <w:t xml:space="preserve">79 (November): 328–48.</w:t>
      </w:r>
      <w:r>
        <w:t xml:space="preserve"> </w:t>
      </w:r>
      <w:hyperlink r:id="rId295">
        <w:r>
          <w:rPr>
            <w:rStyle w:val="Hyperlink"/>
          </w:rPr>
          <w:t xml:space="preserve">https://doi.org/10.1016/j.jesp.2018.08.009</w:t>
        </w:r>
      </w:hyperlink>
      <w:r>
        <w:t xml:space="preserve">.</w:t>
      </w:r>
    </w:p>
    <w:bookmarkEnd w:id="296"/>
    <w:bookmarkStart w:id="298" w:name="ref-lovakov2021"/>
    <w:p>
      <w:pPr>
        <w:pStyle w:val="Bibliography"/>
      </w:pPr>
      <w:r>
        <w:t xml:space="preserve">Lovakov, Andrey, and Elena R. Agadullina. 2021.</w:t>
      </w:r>
      <w:r>
        <w:t xml:space="preserve"> </w:t>
      </w:r>
      <w:r>
        <w:t xml:space="preserve">“Empirically Derived Guidelines for Effect Size Interpretation in Social Psychology.”</w:t>
      </w:r>
      <w:r>
        <w:t xml:space="preserve"> </w:t>
      </w:r>
      <w:r>
        <w:rPr>
          <w:iCs/>
          <w:i/>
        </w:rPr>
        <w:t xml:space="preserve">European Journal of Social Psychology</w:t>
      </w:r>
      <w:r>
        <w:t xml:space="preserve"> </w:t>
      </w:r>
      <w:r>
        <w:t xml:space="preserve">51 (3): 485–504.</w:t>
      </w:r>
      <w:r>
        <w:t xml:space="preserve"> </w:t>
      </w:r>
      <w:hyperlink r:id="rId297">
        <w:r>
          <w:rPr>
            <w:rStyle w:val="Hyperlink"/>
          </w:rPr>
          <w:t xml:space="preserve">https://doi.org/10.1002/ejsp.2752</w:t>
        </w:r>
      </w:hyperlink>
      <w:r>
        <w:t xml:space="preserve">.</w:t>
      </w:r>
    </w:p>
    <w:bookmarkEnd w:id="298"/>
    <w:bookmarkStart w:id="300" w:name="ref-esc"/>
    <w:p>
      <w:pPr>
        <w:pStyle w:val="Bibliography"/>
      </w:pPr>
      <w:r>
        <w:t xml:space="preserve">Lüdecke, Daniel. 2019.</w:t>
      </w:r>
      <w:r>
        <w:t xml:space="preserve"> </w:t>
      </w:r>
      <w:r>
        <w:rPr>
          <w:iCs/>
          <w:i/>
        </w:rPr>
        <w:t xml:space="preserve">Esc: Effect Size Computation for Meta Analysis (Version 0.5.1)</w:t>
      </w:r>
      <w:r>
        <w:t xml:space="preserve">.</w:t>
      </w:r>
      <w:r>
        <w:t xml:space="preserve"> </w:t>
      </w:r>
      <w:hyperlink r:id="rId299">
        <w:r>
          <w:rPr>
            <w:rStyle w:val="Hyperlink"/>
          </w:rPr>
          <w:t xml:space="preserve">https://doi.org/10.5281/zenodo.1249218</w:t>
        </w:r>
      </w:hyperlink>
      <w:r>
        <w:t xml:space="preserve">.</w:t>
      </w:r>
    </w:p>
    <w:bookmarkEnd w:id="300"/>
    <w:bookmarkStart w:id="301" w:name="ref-magnusson2023causal"/>
    <w:p>
      <w:pPr>
        <w:pStyle w:val="Bibliography"/>
      </w:pPr>
      <w:r>
        <w:t xml:space="preserve">Magnusson, Kristoffer. 2023.</w:t>
      </w:r>
      <w:r>
        <w:t xml:space="preserve"> </w:t>
      </w:r>
      <w:r>
        <w:t xml:space="preserve">“A Causal Inference Perspective on Therapist Effects.”</w:t>
      </w:r>
    </w:p>
    <w:bookmarkEnd w:id="301"/>
    <w:bookmarkStart w:id="303" w:name="ref-mcglothlin2014"/>
    <w:p>
      <w:pPr>
        <w:pStyle w:val="Bibliography"/>
      </w:pPr>
      <w:r>
        <w:t xml:space="preserve">McGlothlin, Anna E., and Roger J. Lewis. 2014.</w:t>
      </w:r>
      <w:r>
        <w:t xml:space="preserve"> </w:t>
      </w:r>
      <w:r>
        <w:t xml:space="preserve">“Minimal Clinically Important Difference: Defining What Really Matters to Patients.”</w:t>
      </w:r>
      <w:r>
        <w:t xml:space="preserve"> </w:t>
      </w:r>
      <w:r>
        <w:rPr>
          <w:iCs/>
          <w:i/>
        </w:rPr>
        <w:t xml:space="preserve">JAMA</w:t>
      </w:r>
      <w:r>
        <w:t xml:space="preserve"> </w:t>
      </w:r>
      <w:r>
        <w:t xml:space="preserve">312 (13): 1342–43.</w:t>
      </w:r>
      <w:r>
        <w:t xml:space="preserve"> </w:t>
      </w:r>
      <w:hyperlink r:id="rId302">
        <w:r>
          <w:rPr>
            <w:rStyle w:val="Hyperlink"/>
          </w:rPr>
          <w:t xml:space="preserve">https://doi.org/10.1001/jama.2014.13128</w:t>
        </w:r>
      </w:hyperlink>
      <w:r>
        <w:t xml:space="preserve">.</w:t>
      </w:r>
    </w:p>
    <w:bookmarkEnd w:id="303"/>
    <w:bookmarkStart w:id="305" w:name="ref-meehl1984"/>
    <w:p>
      <w:pPr>
        <w:pStyle w:val="Bibliography"/>
      </w:pPr>
      <w:r>
        <w:t xml:space="preserve">Meehl, Paul E. 1984.</w:t>
      </w:r>
      <w:r>
        <w:t xml:space="preserve"> </w:t>
      </w:r>
      <w:r>
        <w:t xml:space="preserve">“Radical Behaviorism and Mental Events: Four Methodological Queries.”</w:t>
      </w:r>
      <w:r>
        <w:t xml:space="preserve"> </w:t>
      </w:r>
      <w:r>
        <w:rPr>
          <w:iCs/>
          <w:i/>
        </w:rPr>
        <w:t xml:space="preserve">Behavioral and Brain Sciences</w:t>
      </w:r>
      <w:r>
        <w:t xml:space="preserve"> </w:t>
      </w:r>
      <w:r>
        <w:t xml:space="preserve">7 (4): 563–64.</w:t>
      </w:r>
      <w:r>
        <w:t xml:space="preserve"> </w:t>
      </w:r>
      <w:hyperlink r:id="rId304">
        <w:r>
          <w:rPr>
            <w:rStyle w:val="Hyperlink"/>
          </w:rPr>
          <w:t xml:space="preserve">https://doi.org/10.1017/S0140525X00027308</w:t>
        </w:r>
      </w:hyperlink>
      <w:r>
        <w:t xml:space="preserve">.</w:t>
      </w:r>
    </w:p>
    <w:bookmarkEnd w:id="305"/>
    <w:bookmarkStart w:id="307" w:name="ref-morey2016"/>
    <w:p>
      <w:pPr>
        <w:pStyle w:val="Bibliography"/>
      </w:pPr>
      <w:r>
        <w:t xml:space="preserve">Morey, Richard D., Rink Hoekstra, Jeffrey N. Rouder, Michael D. Lee, and Eric-Jan Wagenmakers. 2016.</w:t>
      </w:r>
      <w:r>
        <w:t xml:space="preserve"> </w:t>
      </w:r>
      <w:r>
        <w:t xml:space="preserve">“The Fallacy of Placing Confidence in Confidence Intervals.”</w:t>
      </w:r>
      <w:r>
        <w:t xml:space="preserve"> </w:t>
      </w:r>
      <w:r>
        <w:rPr>
          <w:iCs/>
          <w:i/>
        </w:rPr>
        <w:t xml:space="preserve">Psychonomic Bulletin &amp; Review</w:t>
      </w:r>
      <w:r>
        <w:t xml:space="preserve"> </w:t>
      </w:r>
      <w:r>
        <w:t xml:space="preserve">23 (1): 103–23.</w:t>
      </w:r>
      <w:r>
        <w:t xml:space="preserve"> </w:t>
      </w:r>
      <w:hyperlink r:id="rId306">
        <w:r>
          <w:rPr>
            <w:rStyle w:val="Hyperlink"/>
          </w:rPr>
          <w:t xml:space="preserve">https://doi.org/10.3758/s13423-015-0947-8</w:t>
        </w:r>
      </w:hyperlink>
      <w:r>
        <w:t xml:space="preserve">.</w:t>
      </w:r>
    </w:p>
    <w:bookmarkEnd w:id="307"/>
    <w:bookmarkStart w:id="309" w:name="ref-morris2008"/>
    <w:p>
      <w:pPr>
        <w:pStyle w:val="Bibliography"/>
      </w:pPr>
      <w:r>
        <w:t xml:space="preserve">Morris, Scott B. 2008.</w:t>
      </w:r>
      <w:r>
        <w:t xml:space="preserve"> </w:t>
      </w:r>
      <w:r>
        <w:t xml:space="preserve">“Estimating Effect Sizes From Pretest-Posttest-Control Group Designs.”</w:t>
      </w:r>
      <w:r>
        <w:t xml:space="preserve"> </w:t>
      </w:r>
      <w:r>
        <w:rPr>
          <w:iCs/>
          <w:i/>
        </w:rPr>
        <w:t xml:space="preserve">Organizational Research Methods</w:t>
      </w:r>
      <w:r>
        <w:t xml:space="preserve"> </w:t>
      </w:r>
      <w:r>
        <w:t xml:space="preserve">11 (2): 364–86.</w:t>
      </w:r>
      <w:r>
        <w:t xml:space="preserve"> </w:t>
      </w:r>
      <w:hyperlink r:id="rId308">
        <w:r>
          <w:rPr>
            <w:rStyle w:val="Hyperlink"/>
          </w:rPr>
          <w:t xml:space="preserve">https://doi.org/10.1177/1094428106291059</w:t>
        </w:r>
      </w:hyperlink>
      <w:r>
        <w:t xml:space="preserve">.</w:t>
      </w:r>
    </w:p>
    <w:bookmarkEnd w:id="309"/>
    <w:bookmarkStart w:id="310" w:name="ref-postTwoWay"/>
    <w:p>
      <w:pPr>
        <w:pStyle w:val="Bibliography"/>
      </w:pPr>
      <w:r>
        <w:t xml:space="preserve">Morse, David. 2018.</w:t>
      </w:r>
      <w:r>
        <w:t xml:space="preserve"> </w:t>
      </w:r>
      <w:r>
        <w:t xml:space="preserve">“How to Calculate Degrees of Freedom When Using Two Way ANOVA with Unequal Sample Size?”</w:t>
      </w:r>
    </w:p>
    <w:bookmarkEnd w:id="310"/>
    <w:bookmarkStart w:id="312" w:name="ref-munzel2002"/>
    <w:p>
      <w:pPr>
        <w:pStyle w:val="Bibliography"/>
      </w:pPr>
      <w:r>
        <w:t xml:space="preserve">Munzel, Ullrich, and Edgar Brunner. 2002.</w:t>
      </w:r>
      <w:r>
        <w:t xml:space="preserve"> </w:t>
      </w:r>
      <w:r>
        <w:t xml:space="preserve">“An Exact Paired Rank Test.”</w:t>
      </w:r>
      <w:r>
        <w:t xml:space="preserve"> </w:t>
      </w:r>
      <w:r>
        <w:rPr>
          <w:iCs/>
          <w:i/>
        </w:rPr>
        <w:t xml:space="preserve">Biometrical Journal</w:t>
      </w:r>
      <w:r>
        <w:t xml:space="preserve"> </w:t>
      </w:r>
      <w:r>
        <w:t xml:space="preserve">44 (5): 584–93.</w:t>
      </w:r>
      <w:r>
        <w:t xml:space="preserve"> </w:t>
      </w:r>
      <w:hyperlink r:id="rId311">
        <w:r>
          <w:rPr>
            <w:rStyle w:val="Hyperlink"/>
          </w:rPr>
          <w:t xml:space="preserve">https://doi.org/10.1002/1521-4036(200207)44:5&lt;584::AID-BIMJ584&gt;3.0.CO;2-9</w:t>
        </w:r>
      </w:hyperlink>
      <w:r>
        <w:t xml:space="preserve">.</w:t>
      </w:r>
    </w:p>
    <w:bookmarkEnd w:id="312"/>
    <w:bookmarkStart w:id="314" w:name="ref-neubert2007"/>
    <w:p>
      <w:pPr>
        <w:pStyle w:val="Bibliography"/>
      </w:pPr>
      <w:r>
        <w:t xml:space="preserve">Neubert, Karin, and Edgar Brunner. 2007.</w:t>
      </w:r>
      <w:r>
        <w:t xml:space="preserve"> </w:t>
      </w:r>
      <w:r>
        <w:t xml:space="preserve">“A Studentized Permutation Test for the Non-Parametric Behrens</w:t>
      </w:r>
      <w:r>
        <w:t xml:space="preserve">fisher Problem.”</w:t>
      </w:r>
      <w:r>
        <w:t xml:space="preserve"> </w:t>
      </w:r>
      <w:r>
        <w:rPr>
          <w:iCs/>
          <w:i/>
        </w:rPr>
        <w:t xml:space="preserve">Computational Statistics &amp; Data Analysis</w:t>
      </w:r>
      <w:r>
        <w:t xml:space="preserve"> </w:t>
      </w:r>
      <w:r>
        <w:t xml:space="preserve">51 (10): 5192–5204.</w:t>
      </w:r>
      <w:r>
        <w:t xml:space="preserve"> </w:t>
      </w:r>
      <w:hyperlink r:id="rId313">
        <w:r>
          <w:rPr>
            <w:rStyle w:val="Hyperlink"/>
          </w:rPr>
          <w:t xml:space="preserve">https://doi.org/10.1016/j.csda.2006.05.024</w:t>
        </w:r>
      </w:hyperlink>
      <w:r>
        <w:t xml:space="preserve">.</w:t>
      </w:r>
    </w:p>
    <w:bookmarkEnd w:id="314"/>
    <w:bookmarkStart w:id="315" w:name="ref-o2006exploiting"/>
    <w:p>
      <w:pPr>
        <w:pStyle w:val="Bibliography"/>
      </w:pPr>
      <w:r>
        <w:t xml:space="preserve">O’Brien, Ralph G, and John Castelloe. 2006.</w:t>
      </w:r>
      <w:r>
        <w:t xml:space="preserve"> </w:t>
      </w:r>
      <w:r>
        <w:t xml:space="preserve">“Exploiting the Link Between the Wilcoxon-Mann-Whitney Test and a Simple Odds Statistic.”</w:t>
      </w:r>
      <w:r>
        <w:t xml:space="preserve"> </w:t>
      </w:r>
      <w:r>
        <w:t xml:space="preserve">In</w:t>
      </w:r>
      <w:r>
        <w:t xml:space="preserve"> </w:t>
      </w:r>
      <w:r>
        <w:rPr>
          <w:iCs/>
          <w:i/>
        </w:rPr>
        <w:t xml:space="preserve">Proceedings of the Thirty-First Annual SAS Users Group International Conference</w:t>
      </w:r>
      <w:r>
        <w:t xml:space="preserve">, 209–31. Citeseer.</w:t>
      </w:r>
    </w:p>
    <w:bookmarkEnd w:id="315"/>
    <w:bookmarkStart w:id="317" w:name="ref-olkin1995"/>
    <w:p>
      <w:pPr>
        <w:pStyle w:val="Bibliography"/>
      </w:pPr>
      <w:r>
        <w:t xml:space="preserve">Olkin, Ingram, and Jeremy D. Finn. 1995.</w:t>
      </w:r>
      <w:r>
        <w:t xml:space="preserve"> </w:t>
      </w:r>
      <w:r>
        <w:t xml:space="preserve">“Correlations Redux.”</w:t>
      </w:r>
      <w:r>
        <w:t xml:space="preserve"> </w:t>
      </w:r>
      <w:r>
        <w:rPr>
          <w:iCs/>
          <w:i/>
        </w:rPr>
        <w:t xml:space="preserve">Psychological Bulletin</w:t>
      </w:r>
      <w:r>
        <w:t xml:space="preserve"> </w:t>
      </w:r>
      <w:r>
        <w:t xml:space="preserve">118 (1): 155–64.</w:t>
      </w:r>
      <w:r>
        <w:t xml:space="preserve"> </w:t>
      </w:r>
      <w:hyperlink r:id="rId316">
        <w:r>
          <w:rPr>
            <w:rStyle w:val="Hyperlink"/>
          </w:rPr>
          <w:t xml:space="preserve">https://doi.org/10.1037/0033-2909.118.1.155</w:t>
        </w:r>
      </w:hyperlink>
      <w:r>
        <w:t xml:space="preserve">.</w:t>
      </w:r>
    </w:p>
    <w:bookmarkEnd w:id="317"/>
    <w:bookmarkStart w:id="319" w:name="ref-orben2020"/>
    <w:p>
      <w:pPr>
        <w:pStyle w:val="Bibliography"/>
      </w:pPr>
      <w:r>
        <w:t xml:space="preserve">Orben, Amy, and Daniël Lakens. 2020.</w:t>
      </w:r>
      <w:r>
        <w:t xml:space="preserve"> </w:t>
      </w:r>
      <w:r>
        <w:t xml:space="preserve">“Crud (Re)Defined.”</w:t>
      </w:r>
      <w:r>
        <w:t xml:space="preserve"> </w:t>
      </w:r>
      <w:r>
        <w:rPr>
          <w:iCs/>
          <w:i/>
        </w:rPr>
        <w:t xml:space="preserve">Advances in Methods and Practices in Psychological Science</w:t>
      </w:r>
      <w:r>
        <w:t xml:space="preserve"> </w:t>
      </w:r>
      <w:r>
        <w:t xml:space="preserve">3 (2): 238–47.</w:t>
      </w:r>
      <w:r>
        <w:t xml:space="preserve"> </w:t>
      </w:r>
      <w:hyperlink r:id="rId318">
        <w:r>
          <w:rPr>
            <w:rStyle w:val="Hyperlink"/>
          </w:rPr>
          <w:t xml:space="preserve">https://doi.org/10.1177/2515245920917961</w:t>
        </w:r>
      </w:hyperlink>
      <w:r>
        <w:t xml:space="preserve">.</w:t>
      </w:r>
    </w:p>
    <w:bookmarkEnd w:id="319"/>
    <w:bookmarkStart w:id="320" w:name="ref-otgaar2023if"/>
    <w:p>
      <w:pPr>
        <w:pStyle w:val="Bibliography"/>
      </w:pPr>
      <w:r>
        <w:t xml:space="preserve">Otgaar, Henry, Paul Riesthuis, Tess Neal, Jason Chin, Irena Boskovic, and Eric Rassin. 2023.</w:t>
      </w:r>
      <w:r>
        <w:t xml:space="preserve"> </w:t>
      </w:r>
      <w:r>
        <w:t xml:space="preserve">“If Generalization Is the Grail, Practical Relevance Is the Nirvana: Considerations from the Contribution of Psychological Science of Memory to Law.”</w:t>
      </w:r>
      <w:r>
        <w:t xml:space="preserve"> </w:t>
      </w:r>
      <w:r>
        <w:rPr>
          <w:iCs/>
          <w:i/>
        </w:rPr>
        <w:t xml:space="preserve">Henry Otgaar, Paul Riesthuis, Tess MS Neal, Jason M. Chin, Irena Boskovic &amp; Eric Rassin,</w:t>
      </w:r>
      <w:r>
        <w:rPr>
          <w:iCs/>
          <w:i/>
        </w:rPr>
        <w:t xml:space="preserve">“If Generalization Is the Grail, Practical Relevance Is the Nirvana: Considerations from the Contribution of Psychological Science of Memory to Law”</w:t>
      </w:r>
      <w:r>
        <w:rPr>
          <w:iCs/>
          <w:i/>
        </w:rPr>
        <w:t xml:space="preserve">(accepted 2023) Journal of Applied Research in Memory and Co</w:t>
      </w:r>
      <w:r>
        <w:t xml:space="preserve">.</w:t>
      </w:r>
    </w:p>
    <w:bookmarkEnd w:id="320"/>
    <w:bookmarkStart w:id="321" w:name="ref-otgaar2022importance"/>
    <w:p>
      <w:pPr>
        <w:pStyle w:val="Bibliography"/>
      </w:pPr>
      <w:r>
        <w:t xml:space="preserve">Otgaar, Henry, Paul Riesthuis, Johannes G Ramaekers, Maryanne Garry, and Lilian Kloft. 2022.</w:t>
      </w:r>
      <w:r>
        <w:t xml:space="preserve"> </w:t>
      </w:r>
      <w:r>
        <w:t xml:space="preserve">“The Importance of the Smallest Effect Size of Interest in Expert Witness Testimony on Alcohol and Memory.”</w:t>
      </w:r>
      <w:r>
        <w:t xml:space="preserve"> </w:t>
      </w:r>
      <w:r>
        <w:rPr>
          <w:iCs/>
          <w:i/>
        </w:rPr>
        <w:t xml:space="preserve">Frontiers in Psychology</w:t>
      </w:r>
      <w:r>
        <w:t xml:space="preserve"> </w:t>
      </w:r>
      <w:r>
        <w:t xml:space="preserve">13: 980533.</w:t>
      </w:r>
    </w:p>
    <w:bookmarkEnd w:id="321"/>
    <w:bookmarkStart w:id="322" w:name="ref-panzarella2021denouncing"/>
    <w:p>
      <w:pPr>
        <w:pStyle w:val="Bibliography"/>
      </w:pPr>
      <w:r>
        <w:t xml:space="preserve">Panzarella, Emily, Nataly Beribisky, and Robert A Cribbie. 2021.</w:t>
      </w:r>
      <w:r>
        <w:t xml:space="preserve"> </w:t>
      </w:r>
      <w:r>
        <w:t xml:space="preserve">“Denouncing the Use of Field-Specific Effect Size Distributions to Inform Magnitude.”</w:t>
      </w:r>
      <w:r>
        <w:t xml:space="preserve"> </w:t>
      </w:r>
      <w:r>
        <w:rPr>
          <w:iCs/>
          <w:i/>
        </w:rPr>
        <w:t xml:space="preserve">PeerJ</w:t>
      </w:r>
      <w:r>
        <w:t xml:space="preserve"> </w:t>
      </w:r>
      <w:r>
        <w:t xml:space="preserve">9: e11383.</w:t>
      </w:r>
    </w:p>
    <w:bookmarkEnd w:id="322"/>
    <w:bookmarkStart w:id="324" w:name="ref-paterson2016"/>
    <w:p>
      <w:pPr>
        <w:pStyle w:val="Bibliography"/>
      </w:pPr>
      <w:r>
        <w:t xml:space="preserve">Paterson, Ted A., P. D. Harms, Piers Steel, and Marcus Credé. 2016.</w:t>
      </w:r>
      <w:r>
        <w:t xml:space="preserve"> </w:t>
      </w:r>
      <w:r>
        <w:t xml:space="preserve">“An Assessment of the Magnitude of Effect Sizes: Evidence From 30 Years of Meta-Analysis in Management.”</w:t>
      </w:r>
      <w:r>
        <w:t xml:space="preserve"> </w:t>
      </w:r>
      <w:r>
        <w:rPr>
          <w:iCs/>
          <w:i/>
        </w:rPr>
        <w:t xml:space="preserve">Journal of Leadership &amp; Organizational Studies</w:t>
      </w:r>
      <w:r>
        <w:t xml:space="preserve"> </w:t>
      </w:r>
      <w:r>
        <w:t xml:space="preserve">23 (1): 66–81.</w:t>
      </w:r>
      <w:r>
        <w:t xml:space="preserve"> </w:t>
      </w:r>
      <w:hyperlink r:id="rId323">
        <w:r>
          <w:rPr>
            <w:rStyle w:val="Hyperlink"/>
          </w:rPr>
          <w:t xml:space="preserve">https://doi.org/10.1177/1548051815614321</w:t>
        </w:r>
      </w:hyperlink>
      <w:r>
        <w:t xml:space="preserve">.</w:t>
      </w:r>
    </w:p>
    <w:bookmarkEnd w:id="324"/>
    <w:bookmarkStart w:id="326" w:name="ref-ufs"/>
    <w:p>
      <w:pPr>
        <w:pStyle w:val="Bibliography"/>
      </w:pPr>
      <w:r>
        <w:t xml:space="preserve">Peters, Gjalt-Jorn Ygram, and Stefan Gruijters. 2023.</w:t>
      </w:r>
      <w:r>
        <w:t xml:space="preserve"> </w:t>
      </w:r>
      <w:r>
        <w:rPr>
          <w:iCs/>
          <w:i/>
        </w:rPr>
        <w:t xml:space="preserve">Ufs: A Collection of Utilities</w:t>
      </w:r>
      <w:r>
        <w:t xml:space="preserve">.</w:t>
      </w:r>
      <w:r>
        <w:t xml:space="preserve"> </w:t>
      </w:r>
      <w:hyperlink r:id="rId325">
        <w:r>
          <w:rPr>
            <w:rStyle w:val="Hyperlink"/>
          </w:rPr>
          <w:t xml:space="preserve">https://ufs.opens.science</w:t>
        </w:r>
      </w:hyperlink>
      <w:r>
        <w:t xml:space="preserve">.</w:t>
      </w:r>
    </w:p>
    <w:bookmarkEnd w:id="326"/>
    <w:bookmarkStart w:id="328" w:name="ref-pogrow2019"/>
    <w:p>
      <w:pPr>
        <w:pStyle w:val="Bibliography"/>
      </w:pPr>
      <w:r>
        <w:t xml:space="preserve">Pogrow, Stanley. 2019.</w:t>
      </w:r>
      <w:r>
        <w:t xml:space="preserve"> </w:t>
      </w:r>
      <w:r>
        <w:t xml:space="preserve">“How Effect Size (Practical Significance) Misleads Clinical Practice: The Case for Switching to Practical Benefit to Assess Applied Research Findings.”</w:t>
      </w:r>
      <w:r>
        <w:t xml:space="preserve"> </w:t>
      </w:r>
      <w:r>
        <w:rPr>
          <w:iCs/>
          <w:i/>
        </w:rPr>
        <w:t xml:space="preserve">The American Statistician</w:t>
      </w:r>
      <w:r>
        <w:t xml:space="preserve"> </w:t>
      </w:r>
      <w:r>
        <w:t xml:space="preserve">73 (sup1): 223–34.</w:t>
      </w:r>
      <w:r>
        <w:t xml:space="preserve"> </w:t>
      </w:r>
      <w:hyperlink r:id="rId327">
        <w:r>
          <w:rPr>
            <w:rStyle w:val="Hyperlink"/>
          </w:rPr>
          <w:t xml:space="preserve">https://doi.org/10.1080/00031305.2018.1549101</w:t>
        </w:r>
      </w:hyperlink>
      <w:r>
        <w:t xml:space="preserve">.</w:t>
      </w:r>
    </w:p>
    <w:bookmarkEnd w:id="328"/>
    <w:bookmarkStart w:id="329" w:name="ref-richard2003"/>
    <w:p>
      <w:pPr>
        <w:pStyle w:val="Bibliography"/>
      </w:pPr>
      <w:r>
        <w:t xml:space="preserve">Richard, F. D., Charles F. Bond Jr., and Juli J. Stokes-Zoota. 2003.</w:t>
      </w:r>
      <w:r>
        <w:t xml:space="preserve"> </w:t>
      </w:r>
      <w:r>
        <w:t xml:space="preserve">“One Hundred Years of Social Psychology Quantitatively Described.”</w:t>
      </w:r>
      <w:r>
        <w:t xml:space="preserve"> </w:t>
      </w:r>
      <w:r>
        <w:rPr>
          <w:iCs/>
          <w:i/>
        </w:rPr>
        <w:t xml:space="preserve">Review of General Psychology</w:t>
      </w:r>
      <w:r>
        <w:t xml:space="preserve"> </w:t>
      </w:r>
      <w:r>
        <w:t xml:space="preserve">7 (4): 331–63.</w:t>
      </w:r>
      <w:r>
        <w:t xml:space="preserve"> </w:t>
      </w:r>
      <w:hyperlink r:id="rId29">
        <w:r>
          <w:rPr>
            <w:rStyle w:val="Hyperlink"/>
          </w:rPr>
          <w:t xml:space="preserve">https://doi.org/10.1037/1089-2680.7.4.331</w:t>
        </w:r>
      </w:hyperlink>
      <w:r>
        <w:t xml:space="preserve">.</w:t>
      </w:r>
    </w:p>
    <w:bookmarkEnd w:id="329"/>
    <w:bookmarkStart w:id="330" w:name="ref-riesthuis2022expert"/>
    <w:p>
      <w:pPr>
        <w:pStyle w:val="Bibliography"/>
      </w:pPr>
      <w:r>
        <w:t xml:space="preserve">Riesthuis, Paul, Ivan Mangiulli, Nick Broers, and Henry Otgaar. 2022.</w:t>
      </w:r>
      <w:r>
        <w:t xml:space="preserve"> </w:t>
      </w:r>
      <w:r>
        <w:t xml:space="preserve">“Expert Opinions on the Smallest Effect Size of Interest in False Memory Research.”</w:t>
      </w:r>
      <w:r>
        <w:t xml:space="preserve"> </w:t>
      </w:r>
      <w:r>
        <w:rPr>
          <w:iCs/>
          <w:i/>
        </w:rPr>
        <w:t xml:space="preserve">Applied Cognitive Psychology</w:t>
      </w:r>
      <w:r>
        <w:t xml:space="preserve"> </w:t>
      </w:r>
      <w:r>
        <w:t xml:space="preserve">36 (1): 203–15.</w:t>
      </w:r>
    </w:p>
    <w:bookmarkEnd w:id="330"/>
    <w:bookmarkStart w:id="331" w:name="ref-rossi2023minimally"/>
    <w:p>
      <w:pPr>
        <w:pStyle w:val="Bibliography"/>
      </w:pPr>
      <w:r>
        <w:t xml:space="preserve">Rossi, Michael J, Jefferson C Brand, and James H Lubowitz. 2023.</w:t>
      </w:r>
      <w:r>
        <w:t xml:space="preserve"> </w:t>
      </w:r>
      <w:r>
        <w:t xml:space="preserve">“Minimally Clinically Important Difference (MCID) Is a Low Bar.”</w:t>
      </w:r>
      <w:r>
        <w:t xml:space="preserve"> </w:t>
      </w:r>
      <w:r>
        <w:rPr>
          <w:iCs/>
          <w:i/>
        </w:rPr>
        <w:t xml:space="preserve">Arthroscopy: The Journal of Arthroscopic &amp; Related Surgery</w:t>
      </w:r>
      <w:r>
        <w:t xml:space="preserve">. Elsevier.</w:t>
      </w:r>
    </w:p>
    <w:bookmarkEnd w:id="331"/>
    <w:bookmarkStart w:id="333" w:name="ref-sawilowsky2009"/>
    <w:p>
      <w:pPr>
        <w:pStyle w:val="Bibliography"/>
      </w:pPr>
      <w:r>
        <w:t xml:space="preserve">Sawilowsky, Shlomo. 2009.</w:t>
      </w:r>
      <w:r>
        <w:t xml:space="preserve"> </w:t>
      </w:r>
      <w:r>
        <w:t xml:space="preserve">“New Effect Size Rules of Thumb.”</w:t>
      </w:r>
      <w:r>
        <w:t xml:space="preserve"> </w:t>
      </w:r>
      <w:r>
        <w:rPr>
          <w:iCs/>
          <w:i/>
        </w:rPr>
        <w:t xml:space="preserve">Journal of Modern Applied Statistical Methods</w:t>
      </w:r>
      <w:r>
        <w:t xml:space="preserve"> </w:t>
      </w:r>
      <w:r>
        <w:t xml:space="preserve">8 (2).</w:t>
      </w:r>
      <w:r>
        <w:t xml:space="preserve"> </w:t>
      </w:r>
      <w:hyperlink r:id="rId332">
        <w:r>
          <w:rPr>
            <w:rStyle w:val="Hyperlink"/>
          </w:rPr>
          <w:t xml:space="preserve">https://doi.org/10.22237/jmasm/1257035100</w:t>
        </w:r>
      </w:hyperlink>
      <w:r>
        <w:t xml:space="preserve">.</w:t>
      </w:r>
    </w:p>
    <w:bookmarkEnd w:id="333"/>
    <w:bookmarkStart w:id="335" w:name="ref-schäfer2019"/>
    <w:p>
      <w:pPr>
        <w:pStyle w:val="Bibliography"/>
      </w:pPr>
      <w:r>
        <w:t xml:space="preserve">Schäfer, Thomas, and Marcus A. Schwarz. 2019.</w:t>
      </w:r>
      <w:r>
        <w:t xml:space="preserve"> </w:t>
      </w:r>
      <w:r>
        <w:t xml:space="preserve">“The Meaningfulness of Effect Sizes in Psychological Research: Differences Between Sub-Disciplines and the Impact of Potential Biases.”</w:t>
      </w:r>
      <w:r>
        <w:t xml:space="preserve"> </w:t>
      </w:r>
      <w:r>
        <w:rPr>
          <w:iCs/>
          <w:i/>
        </w:rPr>
        <w:t xml:space="preserve">Frontiers in Psychology</w:t>
      </w:r>
      <w:r>
        <w:t xml:space="preserve"> </w:t>
      </w:r>
      <w:r>
        <w:t xml:space="preserve">10.</w:t>
      </w:r>
      <w:r>
        <w:t xml:space="preserve"> </w:t>
      </w:r>
      <w:hyperlink r:id="rId334">
        <w:r>
          <w:rPr>
            <w:rStyle w:val="Hyperlink"/>
          </w:rPr>
          <w:t xml:space="preserve">https://www.frontiersin.org/articles/10.3389/fpsyg.2019.00813</w:t>
        </w:r>
      </w:hyperlink>
      <w:r>
        <w:t xml:space="preserve">.</w:t>
      </w:r>
    </w:p>
    <w:bookmarkEnd w:id="335"/>
    <w:bookmarkStart w:id="337" w:name="ref-senior2020"/>
    <w:p>
      <w:pPr>
        <w:pStyle w:val="Bibliography"/>
      </w:pPr>
      <w:r>
        <w:t xml:space="preserve">Senior, Alistair M., Wolfgang Viechtbauer, and Shinichi Nakagawa. 2020.</w:t>
      </w:r>
      <w:r>
        <w:t xml:space="preserve"> </w:t>
      </w:r>
      <w:r>
        <w:t xml:space="preserve">“Revisiting and Expanding the Meta-Analysis of Variation: The Log Coefficient of Variation Ratio.”</w:t>
      </w:r>
      <w:r>
        <w:t xml:space="preserve"> </w:t>
      </w:r>
      <w:r>
        <w:rPr>
          <w:iCs/>
          <w:i/>
        </w:rPr>
        <w:t xml:space="preserve">Research Synthesis Methods</w:t>
      </w:r>
      <w:r>
        <w:t xml:space="preserve"> </w:t>
      </w:r>
      <w:r>
        <w:t xml:space="preserve">11 (4): 553–67.</w:t>
      </w:r>
      <w:r>
        <w:t xml:space="preserve"> </w:t>
      </w:r>
      <w:hyperlink r:id="rId336">
        <w:r>
          <w:rPr>
            <w:rStyle w:val="Hyperlink"/>
          </w:rPr>
          <w:t xml:space="preserve">https://doi.org/10.1002/jrsm.1423</w:t>
        </w:r>
      </w:hyperlink>
      <w:r>
        <w:t xml:space="preserve">.</w:t>
      </w:r>
    </w:p>
    <w:bookmarkEnd w:id="337"/>
    <w:bookmarkStart w:id="339" w:name="ref-spearman1904"/>
    <w:p>
      <w:pPr>
        <w:pStyle w:val="Bibliography"/>
      </w:pPr>
      <w:r>
        <w:t xml:space="preserve">Spearman, C. 1904.</w:t>
      </w:r>
      <w:r>
        <w:t xml:space="preserve"> </w:t>
      </w:r>
      <w:r>
        <w:t xml:space="preserve">“The Proof and Measurement of Association Between Two Things.”</w:t>
      </w:r>
      <w:r>
        <w:t xml:space="preserve"> </w:t>
      </w:r>
      <w:r>
        <w:rPr>
          <w:iCs/>
          <w:i/>
        </w:rPr>
        <w:t xml:space="preserve">International Journal of Epidemiology</w:t>
      </w:r>
      <w:r>
        <w:t xml:space="preserve"> </w:t>
      </w:r>
      <w:r>
        <w:t xml:space="preserve">39 (5): 1137–50.</w:t>
      </w:r>
      <w:r>
        <w:t xml:space="preserve"> </w:t>
      </w:r>
      <w:hyperlink r:id="rId338">
        <w:r>
          <w:rPr>
            <w:rStyle w:val="Hyperlink"/>
          </w:rPr>
          <w:t xml:space="preserve">https://doi.org/10.1093/ije/dyq191</w:t>
        </w:r>
      </w:hyperlink>
      <w:r>
        <w:t xml:space="preserve">.</w:t>
      </w:r>
    </w:p>
    <w:bookmarkEnd w:id="339"/>
    <w:bookmarkStart w:id="341" w:name="ref-steiger2004"/>
    <w:p>
      <w:pPr>
        <w:pStyle w:val="Bibliography"/>
      </w:pPr>
      <w:r>
        <w:t xml:space="preserve">Steiger, James H. 2004.</w:t>
      </w:r>
      <w:r>
        <w:t xml:space="preserve"> </w:t>
      </w:r>
      <w:r>
        <w:t xml:space="preserve">“Beyond the f Test: Effect Size Confidence Intervals and Tests of Close Fit in the Analysis of Variance and Contrast Analysis.”</w:t>
      </w:r>
      <w:r>
        <w:t xml:space="preserve"> </w:t>
      </w:r>
      <w:r>
        <w:rPr>
          <w:iCs/>
          <w:i/>
        </w:rPr>
        <w:t xml:space="preserve">Psychological Methods</w:t>
      </w:r>
      <w:r>
        <w:t xml:space="preserve"> </w:t>
      </w:r>
      <w:r>
        <w:t xml:space="preserve">9 (2): 164–82.</w:t>
      </w:r>
      <w:r>
        <w:t xml:space="preserve"> </w:t>
      </w:r>
      <w:hyperlink r:id="rId340">
        <w:r>
          <w:rPr>
            <w:rStyle w:val="Hyperlink"/>
          </w:rPr>
          <w:t xml:space="preserve">https://doi.org/10.1037/1082-989X.9.2.164</w:t>
        </w:r>
      </w:hyperlink>
      <w:r>
        <w:t xml:space="preserve">.</w:t>
      </w:r>
    </w:p>
    <w:bookmarkEnd w:id="341"/>
    <w:bookmarkStart w:id="343" w:name="ref-effsize"/>
    <w:p>
      <w:pPr>
        <w:pStyle w:val="Bibliography"/>
      </w:pPr>
      <w:r>
        <w:t xml:space="preserve">Torchiano, Marco. 2020.</w:t>
      </w:r>
      <w:r>
        <w:t xml:space="preserve"> </w:t>
      </w:r>
      <w:r>
        <w:rPr>
          <w:iCs/>
          <w:i/>
        </w:rPr>
        <w:t xml:space="preserve">Effsize: Efficient Effect Size Computation</w:t>
      </w:r>
      <w:r>
        <w:t xml:space="preserve">.</w:t>
      </w:r>
      <w:r>
        <w:t xml:space="preserve"> </w:t>
      </w:r>
      <w:hyperlink r:id="rId342">
        <w:r>
          <w:rPr>
            <w:rStyle w:val="Hyperlink"/>
          </w:rPr>
          <w:t xml:space="preserve">https://doi.org/10.5281/zenodo.1480624</w:t>
        </w:r>
      </w:hyperlink>
      <w:r>
        <w:t xml:space="preserve">.</w:t>
      </w:r>
    </w:p>
    <w:bookmarkEnd w:id="343"/>
    <w:bookmarkStart w:id="345" w:name="ref-MASS"/>
    <w:p>
      <w:pPr>
        <w:pStyle w:val="Bibliography"/>
      </w:pPr>
      <w:r>
        <w:t xml:space="preserve">Venables, W. N., and B. D. Ripley. 2002.</w:t>
      </w:r>
      <w:r>
        <w:t xml:space="preserve"> </w:t>
      </w:r>
      <w:r>
        <w:rPr>
          <w:iCs/>
          <w:i/>
        </w:rPr>
        <w:t xml:space="preserve">Modern Applied Statistics with s</w:t>
      </w:r>
      <w:r>
        <w:t xml:space="preserve">. Fourth. New York: Springer.</w:t>
      </w:r>
      <w:r>
        <w:t xml:space="preserve"> </w:t>
      </w:r>
      <w:hyperlink r:id="rId344">
        <w:r>
          <w:rPr>
            <w:rStyle w:val="Hyperlink"/>
          </w:rPr>
          <w:t xml:space="preserve">https://www.stats.ox.ac.uk/pub/MASS4/</w:t>
        </w:r>
      </w:hyperlink>
      <w:r>
        <w:t xml:space="preserve">.</w:t>
      </w:r>
    </w:p>
    <w:bookmarkEnd w:id="345"/>
    <w:bookmarkStart w:id="347" w:name="ref-metafor"/>
    <w:p>
      <w:pPr>
        <w:pStyle w:val="Bibliography"/>
      </w:pPr>
      <w:r>
        <w:t xml:space="preserve">Viechtbauer, Wolfgang. 2010.</w:t>
      </w:r>
      <w:r>
        <w:t xml:space="preserve"> </w:t>
      </w:r>
      <w:r>
        <w:t xml:space="preserve">“Conducting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 </w:t>
      </w:r>
      <w:r>
        <w:t xml:space="preserve">36 (3): 1–48.</w:t>
      </w:r>
      <w:r>
        <w:t xml:space="preserve"> </w:t>
      </w:r>
      <w:hyperlink r:id="rId346">
        <w:r>
          <w:rPr>
            <w:rStyle w:val="Hyperlink"/>
          </w:rPr>
          <w:t xml:space="preserve">https://doi.org/10.18637/jss.v036.i03</w:t>
        </w:r>
      </w:hyperlink>
      <w:r>
        <w:t xml:space="preserve">.</w:t>
      </w:r>
    </w:p>
    <w:bookmarkEnd w:id="347"/>
    <w:bookmarkStart w:id="349" w:name="ref-vos2022"/>
    <w:p>
      <w:pPr>
        <w:pStyle w:val="Bibliography"/>
      </w:pPr>
      <w:r>
        <w:t xml:space="preserve">Vos, Paul, and Don Holbert. 2022.</w:t>
      </w:r>
      <w:r>
        <w:t xml:space="preserve"> </w:t>
      </w:r>
      <w:r>
        <w:t xml:space="preserve">“Frequentist Statistical Inference Without Repeated Sampling.”</w:t>
      </w:r>
      <w:r>
        <w:t xml:space="preserve"> </w:t>
      </w:r>
      <w:r>
        <w:rPr>
          <w:iCs/>
          <w:i/>
        </w:rPr>
        <w:t xml:space="preserve">Synthese</w:t>
      </w:r>
      <w:r>
        <w:t xml:space="preserve"> </w:t>
      </w:r>
      <w:r>
        <w:t xml:space="preserve">200 (2): 89.</w:t>
      </w:r>
      <w:r>
        <w:t xml:space="preserve"> </w:t>
      </w:r>
      <w:hyperlink r:id="rId348">
        <w:r>
          <w:rPr>
            <w:rStyle w:val="Hyperlink"/>
          </w:rPr>
          <w:t xml:space="preserve">https://doi.org/10.1007/s11229-022-03560-x</w:t>
        </w:r>
      </w:hyperlink>
      <w:r>
        <w:t xml:space="preserve">.</w:t>
      </w:r>
    </w:p>
    <w:bookmarkEnd w:id="349"/>
    <w:bookmarkStart w:id="351" w:name="ref-MAd"/>
    <w:p>
      <w:pPr>
        <w:pStyle w:val="Bibliography"/>
      </w:pPr>
      <w:r>
        <w:t xml:space="preserve">W. T. Hoyt, A. C. Del Re &amp;. 2014.</w:t>
      </w:r>
      <w:r>
        <w:t xml:space="preserve"> </w:t>
      </w:r>
      <w:r>
        <w:rPr>
          <w:iCs/>
          <w:i/>
        </w:rPr>
        <w:t xml:space="preserve">MAd: Meta-Analysis with Mean Differences</w:t>
      </w:r>
      <w:r>
        <w:t xml:space="preserve">.</w:t>
      </w:r>
      <w:r>
        <w:t xml:space="preserve"> </w:t>
      </w:r>
      <w:r>
        <w:rPr>
          <w:iCs/>
          <w:i/>
        </w:rPr>
        <w:t xml:space="preserve">R Package</w:t>
      </w:r>
      <w:r>
        <w:t xml:space="preserve">.</w:t>
      </w:r>
      <w:r>
        <w:t xml:space="preserve"> </w:t>
      </w:r>
      <w:hyperlink r:id="rId350">
        <w:r>
          <w:rPr>
            <w:rStyle w:val="Hyperlink"/>
          </w:rPr>
          <w:t xml:space="preserve">https://CRAN.R-project.org/package=MAd</w:t>
        </w:r>
      </w:hyperlink>
      <w:r>
        <w:t xml:space="preserve">.</w:t>
      </w:r>
    </w:p>
    <w:bookmarkEnd w:id="351"/>
    <w:bookmarkStart w:id="353" w:name="ref-wellington2023"/>
    <w:p>
      <w:pPr>
        <w:pStyle w:val="Bibliography"/>
      </w:pPr>
      <w:r>
        <w:t xml:space="preserve">Wellington, Ian J., Annabelle P. Davey, Mark P. Cote, Benjamin C. Hawthorne, Caitlin G. Dorsey, Patrick M. Garvin, James C. Messina, Cory R. Hewitt, and Augustus D. Mazzocca. 2023.</w:t>
      </w:r>
      <w:r>
        <w:t xml:space="preserve"> </w:t>
      </w:r>
      <w:r>
        <w:t xml:space="preserve">“Substantial Clinical Benefit Values Demonstrate a High Degree of Variability When Stratified by Time and Geographic Region.”</w:t>
      </w:r>
      <w:r>
        <w:t xml:space="preserve"> </w:t>
      </w:r>
      <w:r>
        <w:rPr>
          <w:iCs/>
          <w:i/>
        </w:rPr>
        <w:t xml:space="preserve">JSES International</w:t>
      </w:r>
      <w:r>
        <w:t xml:space="preserve"> </w:t>
      </w:r>
      <w:r>
        <w:t xml:space="preserve">7 (1): 153–57.</w:t>
      </w:r>
      <w:r>
        <w:t xml:space="preserve"> </w:t>
      </w:r>
      <w:hyperlink r:id="rId352">
        <w:r>
          <w:rPr>
            <w:rStyle w:val="Hyperlink"/>
          </w:rPr>
          <w:t xml:space="preserve">https://doi.org/10.1016/j.jseint.2022.10.003</w:t>
        </w:r>
      </w:hyperlink>
      <w:r>
        <w:t xml:space="preserve">.</w:t>
      </w:r>
    </w:p>
    <w:bookmarkEnd w:id="353"/>
    <w:bookmarkStart w:id="355" w:name="ref-wiernik2020"/>
    <w:p>
      <w:pPr>
        <w:pStyle w:val="Bibliography"/>
      </w:pPr>
      <w:r>
        <w:t xml:space="preserve">Wiernik, Brenton M., and Jeffrey A. Dahlke. 2020.</w:t>
      </w:r>
      <w:r>
        <w:t xml:space="preserve"> </w:t>
      </w:r>
      <w:r>
        <w:t xml:space="preserve">“Obtaining Unbiased Results in Meta-Analysis: The Importance of Correcting for Statistical Artifacts.”</w:t>
      </w:r>
      <w:r>
        <w:t xml:space="preserve"> </w:t>
      </w:r>
      <w:r>
        <w:rPr>
          <w:iCs/>
          <w:i/>
        </w:rPr>
        <w:t xml:space="preserve">Advances in Methods and Practices in Psychological Science</w:t>
      </w:r>
      <w:r>
        <w:t xml:space="preserve"> </w:t>
      </w:r>
      <w:r>
        <w:t xml:space="preserve">3 (1): 94–123.</w:t>
      </w:r>
      <w:r>
        <w:t xml:space="preserve"> </w:t>
      </w:r>
      <w:hyperlink r:id="rId354">
        <w:r>
          <w:rPr>
            <w:rStyle w:val="Hyperlink"/>
          </w:rPr>
          <w:t xml:space="preserve">https://doi.org/10.1177/2515245919885611</w:t>
        </w:r>
      </w:hyperlink>
      <w:r>
        <w:t xml:space="preserve">.</w:t>
      </w:r>
    </w:p>
    <w:bookmarkEnd w:id="355"/>
    <w:bookmarkStart w:id="357" w:name="ref-psych"/>
    <w:p>
      <w:pPr>
        <w:pStyle w:val="Bibliography"/>
      </w:pPr>
      <w:r>
        <w:t xml:space="preserve">William Revelle. 2023.</w:t>
      </w:r>
      <w:r>
        <w:t xml:space="preserve"> </w:t>
      </w:r>
      <w:r>
        <w:rPr>
          <w:iCs/>
          <w:i/>
        </w:rPr>
        <w:t xml:space="preserve">Psych: Procedures for Psychological, Psychometric, and Personality Research</w:t>
      </w:r>
      <w:r>
        <w:t xml:space="preserve">. Evanston, Illinois: Northwestern University.</w:t>
      </w:r>
      <w:r>
        <w:t xml:space="preserve"> </w:t>
      </w:r>
      <w:hyperlink r:id="rId356">
        <w:r>
          <w:rPr>
            <w:rStyle w:val="Hyperlink"/>
          </w:rPr>
          <w:t xml:space="preserve">https://CRAN.R-project.org/package=psych</w:t>
        </w:r>
      </w:hyperlink>
      <w:r>
        <w:t xml:space="preserve">.</w:t>
      </w:r>
    </w:p>
    <w:bookmarkEnd w:id="357"/>
    <w:bookmarkStart w:id="359" w:name="ref-yang2022"/>
    <w:p>
      <w:pPr>
        <w:pStyle w:val="Bibliography"/>
      </w:pPr>
      <w:r>
        <w:t xml:space="preserve">Yang, Yefeng, Helmut Hillebrand, Malgorzata Lagisz, Ian Cleasby, and Shinichi Nakagawa. 2022.</w:t>
      </w:r>
      <w:r>
        <w:t xml:space="preserve"> </w:t>
      </w:r>
      <w:r>
        <w:t xml:space="preserve">“Low Statistical Power and Overestimated Anthropogenic Impacts, Exacerbated by Publication Bias, Dominate Field Studies in Global Change Biology.”</w:t>
      </w:r>
      <w:r>
        <w:t xml:space="preserve"> </w:t>
      </w:r>
      <w:r>
        <w:rPr>
          <w:iCs/>
          <w:i/>
        </w:rPr>
        <w:t xml:space="preserve">Global Change Biology</w:t>
      </w:r>
      <w:r>
        <w:t xml:space="preserve"> </w:t>
      </w:r>
      <w:r>
        <w:t xml:space="preserve">28 (3): 969–89.</w:t>
      </w:r>
      <w:r>
        <w:t xml:space="preserve"> </w:t>
      </w:r>
      <w:hyperlink r:id="rId358">
        <w:r>
          <w:rPr>
            <w:rStyle w:val="Hyperlink"/>
          </w:rPr>
          <w:t xml:space="preserve">https://doi.org/10.1111/gcb.15972</w:t>
        </w:r>
      </w:hyperlink>
      <w:r>
        <w:t xml:space="preserve">.</w:t>
      </w:r>
    </w:p>
    <w:bookmarkEnd w:id="359"/>
    <w:bookmarkEnd w:id="360"/>
    <w:bookmarkEnd w:id="3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Sawilowsky (2009)</w:t>
      </w:r>
      <w:r>
        <w:t xml:space="preserve"> </w:t>
      </w:r>
      <w:r>
        <w:t xml:space="preserve">expanded Cohen’s benchmarks to include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33">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34">
    <w:p>
      <w:pPr>
        <w:pStyle w:val="FootnoteText"/>
      </w:pPr>
      <w:r>
        <w:rPr>
          <w:rStyle w:val="FootnoteReference"/>
        </w:rPr>
        <w:footnoteRef/>
      </w:r>
      <w:r>
        <w:t xml:space="preserve"> </w:t>
      </w:r>
      <w:r>
        <w:t xml:space="preserve">Note, for paired samples, this does not refer to the probability of an increase/decrease in paired samples but rather the probability of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35">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w:t>
      </w:r>
      <w:r>
        <w:t xml:space="preserve"> </w:t>
      </w:r>
      <m:oMath>
        <m:r>
          <m:t>r</m:t>
        </m:r>
      </m:oMath>
      <w:r>
        <w:t xml:space="preserve"> </w:t>
      </w:r>
      <w:r>
        <w:t xml:space="preserve">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36">
        <w:r>
          <w:rPr>
            <w:rStyle w:val="Hyperlink"/>
          </w:rPr>
          <w:t xml:space="preserve">here</w:t>
        </w:r>
      </w:hyperlink>
      <w:r>
        <w:t xml:space="preserve"> </w:t>
      </w:r>
      <w:r>
        <w:t xml:space="preserve">for controversies with this paper.</w:t>
      </w:r>
    </w:p>
  </w:footnote>
  <w:footnote w:id="37">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44">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 w:id="98">
    <w:p>
      <w:pPr>
        <w:pStyle w:val="FootnoteText"/>
      </w:pPr>
      <w:r>
        <w:rPr>
          <w:rStyle w:val="FootnoteReference"/>
        </w:rPr>
        <w:footnoteRef/>
      </w:r>
      <w:r>
        <w:t xml:space="preserve"> </w:t>
      </w:r>
      <w:r>
        <w:t xml:space="preserve">Note, this may not be the case especially where there is a mean-variance relationship and one (usually the intervention) group has a higher posttest mean score.</w:t>
      </w:r>
    </w:p>
  </w:footnote>
  <w:footnote w:id="128">
    <w:p>
      <w:pPr>
        <w:pStyle w:val="FootnoteText"/>
      </w:pPr>
      <w:r>
        <w:rPr>
          <w:rStyle w:val="FootnoteReference"/>
        </w:rPr>
        <w:footnoteRef/>
      </w:r>
      <w:r>
        <w:t xml:space="preserve"> </w:t>
      </w:r>
      <w:r>
        <w:t xml:space="preserve">There are variants of ANOVAs that can have each of these assumptions violated.</w:t>
      </w:r>
    </w:p>
  </w:footnote>
  <w:footnote w:id="129">
    <w:p>
      <w:pPr>
        <w:pStyle w:val="FootnoteText"/>
      </w:pPr>
      <w:r>
        <w:rPr>
          <w:rStyle w:val="FootnoteReference"/>
        </w:rPr>
        <w:footnoteRef/>
      </w:r>
      <w:r>
        <w:t xml:space="preserve"> </w:t>
      </w:r>
      <w:r>
        <w:t xml:space="preserve">See this forum</w:t>
      </w:r>
      <w:r>
        <w:t xml:space="preserve"> </w:t>
      </w:r>
      <w:hyperlink r:id="rId130">
        <w:r>
          <w:rPr>
            <w:rStyle w:val="Hyperlink"/>
          </w:rPr>
          <w:t xml:space="preserve">discussion</w:t>
        </w:r>
      </w:hyperlink>
      <w:r>
        <w:t xml:space="preserve"> </w:t>
      </w:r>
      <w:r>
        <w:t xml:space="preserve">for explanation.</w:t>
      </w:r>
    </w:p>
  </w:footnote>
  <w:footnote w:id="170">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will be greater/less than Y.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106" Target="media/rId106.png" /><Relationship Type="http://schemas.openxmlformats.org/officeDocument/2006/relationships/image" Id="rId124" Target="media/rId124.png" /><Relationship Type="http://schemas.openxmlformats.org/officeDocument/2006/relationships/image" Id="rId145" Target="media/rId145.png" /><Relationship Type="http://schemas.openxmlformats.org/officeDocument/2006/relationships/image" Id="rId151" Target="media/rId151.png" /><Relationship Type="http://schemas.openxmlformats.org/officeDocument/2006/relationships/image" Id="rId139" Target="media/rId139.png" /><Relationship Type="http://schemas.openxmlformats.org/officeDocument/2006/relationships/image" Id="rId184" Target="media/rId184.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78" Target="media/rId78.png" /><Relationship Type="http://schemas.openxmlformats.org/officeDocument/2006/relationships/hyperlink" Id="rId288" Target="http://daniellakens.blogspot.com/2014/06/calculating-confidence-intervals-for.html" TargetMode="External" /><Relationship Type="http://schemas.openxmlformats.org/officeDocument/2006/relationships/hyperlink" Id="rId239" Target="http://github.com/doomlab/MOTE" TargetMode="External" /><Relationship Type="http://schemas.openxmlformats.org/officeDocument/2006/relationships/hyperlink" Id="rId350" Target="https://CRAN.R-project.org/package=MAd" TargetMode="External" /><Relationship Type="http://schemas.openxmlformats.org/officeDocument/2006/relationships/hyperlink" Id="rId281" Target="https://CRAN.R-project.org/package=MBESS" TargetMode="External" /><Relationship Type="http://schemas.openxmlformats.org/officeDocument/2006/relationships/hyperlink" Id="rId222" Target="https://CRAN.R-project.org/package=MuMIn" TargetMode="External" /><Relationship Type="http://schemas.openxmlformats.org/officeDocument/2006/relationships/hyperlink" Id="rId279" Target="https://CRAN.R-project.org/package=datarium" TargetMode="External" /><Relationship Type="http://schemas.openxmlformats.org/officeDocument/2006/relationships/hyperlink" Id="rId356" Target="https://CRAN.R-project.org/package=psych" TargetMode="External" /><Relationship Type="http://schemas.openxmlformats.org/officeDocument/2006/relationships/hyperlink" Id="rId261" Target="https://cir.nii.ac.jp/crid/1130000795088566912" TargetMode="External" /><Relationship Type="http://schemas.openxmlformats.org/officeDocument/2006/relationships/hyperlink" Id="rId64" Target="https://cran.r-project.org/package=DeclareDesign" TargetMode="External" /><Relationship Type="http://schemas.openxmlformats.org/officeDocument/2006/relationships/hyperlink" Id="rId62" Target="https://cran.r-project.org/package=MAd" TargetMode="External" /><Relationship Type="http://schemas.openxmlformats.org/officeDocument/2006/relationships/hyperlink" Id="rId56" Target="https://cran.r-project.org/package=MBESS" TargetMode="External" /><Relationship Type="http://schemas.openxmlformats.org/officeDocument/2006/relationships/hyperlink" Id="rId54" Target="https://cran.r-project.org/package=MOTE" TargetMode="External" /><Relationship Type="http://schemas.openxmlformats.org/officeDocument/2006/relationships/hyperlink" Id="rId63" Target="https://cran.r-project.org/package=TOSTER" TargetMode="External" /><Relationship Type="http://schemas.openxmlformats.org/officeDocument/2006/relationships/hyperlink" Id="rId55" Target="https://cran.r-project.org/package=effectsize" TargetMode="External" /><Relationship Type="http://schemas.openxmlformats.org/officeDocument/2006/relationships/hyperlink" Id="rId61" Target="https://cran.r-project.org/package=effsize" TargetMode="External" /><Relationship Type="http://schemas.openxmlformats.org/officeDocument/2006/relationships/hyperlink" Id="rId59" Target="https://cran.r-project.org/package=esc" TargetMode="External" /><Relationship Type="http://schemas.openxmlformats.org/officeDocument/2006/relationships/hyperlink" Id="rId57" Target="https://cran.r-project.org/package=metafor" TargetMode="External" /><Relationship Type="http://schemas.openxmlformats.org/officeDocument/2006/relationships/hyperlink" Id="rId58" Target="https://cran.r-project.org/package=psych" TargetMode="External" /><Relationship Type="http://schemas.openxmlformats.org/officeDocument/2006/relationships/hyperlink" Id="rId60" Target="https://cran.r-project.org/package=psychmeta" TargetMode="External" /><Relationship Type="http://schemas.openxmlformats.org/officeDocument/2006/relationships/hyperlink" Id="rId232" Target="https://declaredesign.org/paper.pdf" TargetMode="External" /><Relationship Type="http://schemas.openxmlformats.org/officeDocument/2006/relationships/hyperlink" Id="rId266" Target="https://discourse.datamethods.org/t/author-checklist/3407" TargetMode="External" /><Relationship Type="http://schemas.openxmlformats.org/officeDocument/2006/relationships/hyperlink" Id="rId302" Target="https://doi.org/10.1001/jama.2014.13128" TargetMode="External" /><Relationship Type="http://schemas.openxmlformats.org/officeDocument/2006/relationships/hyperlink" Id="rId237" Target="https://doi.org/10.1002/(SICI)1521-4036(200001)42:1&lt;17::AID-BIMJ17&gt;3.0.CO;2-U" TargetMode="External" /><Relationship Type="http://schemas.openxmlformats.org/officeDocument/2006/relationships/hyperlink" Id="rId311" Target="https://doi.org/10.1002/1521-4036(200207)44:5&lt;584::AID-BIMJ584&gt;3.0.CO;2-9" TargetMode="External" /><Relationship Type="http://schemas.openxmlformats.org/officeDocument/2006/relationships/hyperlink" Id="rId297" Target="https://doi.org/10.1002/ejsp.2752" TargetMode="External" /><Relationship Type="http://schemas.openxmlformats.org/officeDocument/2006/relationships/hyperlink" Id="rId336" Target="https://doi.org/10.1002/jrsm.1423" TargetMode="External" /><Relationship Type="http://schemas.openxmlformats.org/officeDocument/2006/relationships/hyperlink" Id="rId348" Target="https://doi.org/10.1007/s11229-022-03560-x" TargetMode="External" /><Relationship Type="http://schemas.openxmlformats.org/officeDocument/2006/relationships/hyperlink" Id="rId224" Target="https://doi.org/10.1016/j.arthro.2020.02.047" TargetMode="External" /><Relationship Type="http://schemas.openxmlformats.org/officeDocument/2006/relationships/hyperlink" Id="rId313" Target="https://doi.org/10.1016/j.csda.2006.05.024" TargetMode="External" /><Relationship Type="http://schemas.openxmlformats.org/officeDocument/2006/relationships/hyperlink" Id="rId295" Target="https://doi.org/10.1016/j.jesp.2018.08.009" TargetMode="External" /><Relationship Type="http://schemas.openxmlformats.org/officeDocument/2006/relationships/hyperlink" Id="rId352" Target="https://doi.org/10.1016/j.jseint.2022.10.003" TargetMode="External" /><Relationship Type="http://schemas.openxmlformats.org/officeDocument/2006/relationships/hyperlink" Id="rId30" Target="https://doi.org/10.1016/j.paid.2016.06.069" TargetMode="External" /><Relationship Type="http://schemas.openxmlformats.org/officeDocument/2006/relationships/hyperlink" Id="rId249" Target="https://doi.org/10.1016/j.rehab.2020.10.005" TargetMode="External" /><Relationship Type="http://schemas.openxmlformats.org/officeDocument/2006/relationships/hyperlink" Id="rId304" Target="https://doi.org/10.1017/S0140525X00027308" TargetMode="External" /><Relationship Type="http://schemas.openxmlformats.org/officeDocument/2006/relationships/hyperlink" Id="rId316" Target="https://doi.org/10.1037/0033-2909.118.1.155" TargetMode="External" /><Relationship Type="http://schemas.openxmlformats.org/officeDocument/2006/relationships/hyperlink" Id="rId340" Target="https://doi.org/10.1037/1082-989X.9.2.164" TargetMode="External" /><Relationship Type="http://schemas.openxmlformats.org/officeDocument/2006/relationships/hyperlink" Id="rId29" Target="https://doi.org/10.1037/1089-2680.7.4.331" TargetMode="External" /><Relationship Type="http://schemas.openxmlformats.org/officeDocument/2006/relationships/hyperlink" Id="rId254" Target="https://doi.org/10.1037/a0024338" TargetMode="External" /><Relationship Type="http://schemas.openxmlformats.org/officeDocument/2006/relationships/hyperlink" Id="rId283" Target="https://doi.org/10.1037/a0028086" TargetMode="External" /><Relationship Type="http://schemas.openxmlformats.org/officeDocument/2006/relationships/hyperlink" Id="rId235" Target="https://doi.org/10.1037/a0038047" TargetMode="External" /><Relationship Type="http://schemas.openxmlformats.org/officeDocument/2006/relationships/hyperlink" Id="rId327" Target="https://doi.org/10.1080/00031305.2018.1549101" TargetMode="External" /><Relationship Type="http://schemas.openxmlformats.org/officeDocument/2006/relationships/hyperlink" Id="rId338" Target="https://doi.org/10.1093/ije/dyq191" TargetMode="External" /><Relationship Type="http://schemas.openxmlformats.org/officeDocument/2006/relationships/hyperlink" Id="rId358" Target="https://doi.org/10.1111/gcb.15972" TargetMode="External" /><Relationship Type="http://schemas.openxmlformats.org/officeDocument/2006/relationships/hyperlink" Id="rId226" Target="https://doi.org/10.1111/j.2044-8317.1988.tb00901.x" TargetMode="External" /><Relationship Type="http://schemas.openxmlformats.org/officeDocument/2006/relationships/hyperlink" Id="rId214" Target="https://doi.org/10.1177/0013164403256358" TargetMode="External" /><Relationship Type="http://schemas.openxmlformats.org/officeDocument/2006/relationships/hyperlink" Id="rId264" Target="https://doi.org/10.1177/001316446502500101" TargetMode="External" /><Relationship Type="http://schemas.openxmlformats.org/officeDocument/2006/relationships/hyperlink" Id="rId247" Target="https://doi.org/10.1177/0146621618795933" TargetMode="External" /><Relationship Type="http://schemas.openxmlformats.org/officeDocument/2006/relationships/hyperlink" Id="rId308" Target="https://doi.org/10.1177/1094428106291059" TargetMode="External" /><Relationship Type="http://schemas.openxmlformats.org/officeDocument/2006/relationships/hyperlink" Id="rId323" Target="https://doi.org/10.1177/1548051815614321" TargetMode="External" /><Relationship Type="http://schemas.openxmlformats.org/officeDocument/2006/relationships/hyperlink" Id="rId293" Target="https://doi.org/10.1177/1948550617697177" TargetMode="External" /><Relationship Type="http://schemas.openxmlformats.org/officeDocument/2006/relationships/hyperlink" Id="rId256" Target="https://doi.org/10.1177/2515245919847202" TargetMode="External" /><Relationship Type="http://schemas.openxmlformats.org/officeDocument/2006/relationships/hyperlink" Id="rId354" Target="https://doi.org/10.1177/2515245919885611" TargetMode="External" /><Relationship Type="http://schemas.openxmlformats.org/officeDocument/2006/relationships/hyperlink" Id="rId318" Target="https://doi.org/10.1177/2515245920917961" TargetMode="External" /><Relationship Type="http://schemas.openxmlformats.org/officeDocument/2006/relationships/hyperlink" Id="rId290" Target="https://doi.org/10.1525/collabra.33267" TargetMode="External" /><Relationship Type="http://schemas.openxmlformats.org/officeDocument/2006/relationships/hyperlink" Id="rId346" Target="https://doi.org/10.18637/jss.v036.i03" TargetMode="External" /><Relationship Type="http://schemas.openxmlformats.org/officeDocument/2006/relationships/hyperlink" Id="rId228" Target="https://doi.org/10.21105/joss.02815" TargetMode="External" /><Relationship Type="http://schemas.openxmlformats.org/officeDocument/2006/relationships/hyperlink" Id="rId332" Target="https://doi.org/10.22237/jmasm/1257035100" TargetMode="External" /><Relationship Type="http://schemas.openxmlformats.org/officeDocument/2006/relationships/hyperlink" Id="rId268" Target="https://doi.org/10.3102/10769986006002107" TargetMode="External" /><Relationship Type="http://schemas.openxmlformats.org/officeDocument/2006/relationships/hyperlink" Id="rId241" Target="https://doi.org/10.31234/osf.io/ty8de" TargetMode="External" /><Relationship Type="http://schemas.openxmlformats.org/officeDocument/2006/relationships/hyperlink" Id="rId230" Target="https://doi.org/10.3390/math11091982" TargetMode="External" /><Relationship Type="http://schemas.openxmlformats.org/officeDocument/2006/relationships/hyperlink" Id="rId252" Target="https://doi.org/10.3758/BRM.41.4.1149" TargetMode="External" /><Relationship Type="http://schemas.openxmlformats.org/officeDocument/2006/relationships/hyperlink" Id="rId271" Target="https://doi.org/10.3758/s13423-013-0572-3" TargetMode="External" /><Relationship Type="http://schemas.openxmlformats.org/officeDocument/2006/relationships/hyperlink" Id="rId306" Target="https://doi.org/10.3758/s13423-015-0947-8" TargetMode="External" /><Relationship Type="http://schemas.openxmlformats.org/officeDocument/2006/relationships/hyperlink" Id="rId299" Target="https://doi.org/10.5281/zenodo.1249218" TargetMode="External" /><Relationship Type="http://schemas.openxmlformats.org/officeDocument/2006/relationships/hyperlink" Id="rId342" Target="https://doi.org/10.5281/zenodo.1480624" TargetMode="External" /><Relationship Type="http://schemas.openxmlformats.org/officeDocument/2006/relationships/hyperlink" Id="rId273" Target="https://doi.org/10.5281/zenodo.3960218" TargetMode="External" /><Relationship Type="http://schemas.openxmlformats.org/officeDocument/2006/relationships/hyperlink" Id="rId53" Target="https://doomlab.shinyapps.io/mote/" TargetMode="External" /><Relationship Type="http://schemas.openxmlformats.org/officeDocument/2006/relationships/hyperlink" Id="rId21" Target="https://hypothes.is/signup" TargetMode="External" /><Relationship Type="http://schemas.openxmlformats.org/officeDocument/2006/relationships/hyperlink" Id="rId276" Target="https://matthewbjane.quarto.pub/artifact-corrections-for-effect-sizes/" TargetMode="External" /><Relationship Type="http://schemas.openxmlformats.org/officeDocument/2006/relationships/hyperlink" Id="rId20" Target="https://mgto.org/effectsizeguide" TargetMode="External" /><Relationship Type="http://schemas.openxmlformats.org/officeDocument/2006/relationships/hyperlink" Id="rId258" Target="https://statmodeling.stat.columbia.edu/2011/08/25/why_it_doesnt_m/" TargetMode="External" /><Relationship Type="http://schemas.openxmlformats.org/officeDocument/2006/relationships/hyperlink" Id="rId130" Target="https://stats.stackexchange.com/a/98998" TargetMode="External" /><Relationship Type="http://schemas.openxmlformats.org/officeDocument/2006/relationships/hyperlink" Id="rId42" Target="https://stats.stackexchange.com/questions/204530/what-do-confidence-intervals-say-about-precision-if-anything" TargetMode="External" /><Relationship Type="http://schemas.openxmlformats.org/officeDocument/2006/relationships/hyperlink" Id="rId217" Target="https://thuvienso.hoasen.edu.vn/handle/123456789/8327" TargetMode="External" /><Relationship Type="http://schemas.openxmlformats.org/officeDocument/2006/relationships/hyperlink" Id="rId36" Target="https://twitter.com/aaronjfisher/status/1168252264600883200?s=20" TargetMode="External" /><Relationship Type="http://schemas.openxmlformats.org/officeDocument/2006/relationships/hyperlink" Id="rId31" Target="https://twitter.com/cjsotomatic/status/1144701540839698432" TargetMode="External" /><Relationship Type="http://schemas.openxmlformats.org/officeDocument/2006/relationships/hyperlink" Id="rId325" Target="https://ufs.opens.science" TargetMode="External" /><Relationship Type="http://schemas.openxmlformats.org/officeDocument/2006/relationships/hyperlink" Id="rId286" Target="https://www.frontiersin.org/articles/10.3389/fpsyg.2013.00863" TargetMode="External" /><Relationship Type="http://schemas.openxmlformats.org/officeDocument/2006/relationships/hyperlink" Id="rId334" Target="https://www.frontiersin.org/articles/10.3389/fpsyg.2019.00813" TargetMode="External" /><Relationship Type="http://schemas.openxmlformats.org/officeDocument/2006/relationships/hyperlink" Id="rId244" Target="https://www.semanticscholar.org/paper/It%27s-the-Effect-Size%2C-Stupid-What-effect-size-is-it-Coe/c5ac87df5d6e0e6b6de2f745284835c2a368b0f7" TargetMode="External" /><Relationship Type="http://schemas.openxmlformats.org/officeDocument/2006/relationships/hyperlink" Id="rId344"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288" Target="http://daniellakens.blogspot.com/2014/06/calculating-confidence-intervals-for.html" TargetMode="External" /><Relationship Type="http://schemas.openxmlformats.org/officeDocument/2006/relationships/hyperlink" Id="rId239" Target="http://github.com/doomlab/MOTE" TargetMode="External" /><Relationship Type="http://schemas.openxmlformats.org/officeDocument/2006/relationships/hyperlink" Id="rId350" Target="https://CRAN.R-project.org/package=MAd" TargetMode="External" /><Relationship Type="http://schemas.openxmlformats.org/officeDocument/2006/relationships/hyperlink" Id="rId281" Target="https://CRAN.R-project.org/package=MBESS" TargetMode="External" /><Relationship Type="http://schemas.openxmlformats.org/officeDocument/2006/relationships/hyperlink" Id="rId222" Target="https://CRAN.R-project.org/package=MuMIn" TargetMode="External" /><Relationship Type="http://schemas.openxmlformats.org/officeDocument/2006/relationships/hyperlink" Id="rId279" Target="https://CRAN.R-project.org/package=datarium" TargetMode="External" /><Relationship Type="http://schemas.openxmlformats.org/officeDocument/2006/relationships/hyperlink" Id="rId356" Target="https://CRAN.R-project.org/package=psych" TargetMode="External" /><Relationship Type="http://schemas.openxmlformats.org/officeDocument/2006/relationships/hyperlink" Id="rId261" Target="https://cir.nii.ac.jp/crid/1130000795088566912" TargetMode="External" /><Relationship Type="http://schemas.openxmlformats.org/officeDocument/2006/relationships/hyperlink" Id="rId64" Target="https://cran.r-project.org/package=DeclareDesign" TargetMode="External" /><Relationship Type="http://schemas.openxmlformats.org/officeDocument/2006/relationships/hyperlink" Id="rId62" Target="https://cran.r-project.org/package=MAd" TargetMode="External" /><Relationship Type="http://schemas.openxmlformats.org/officeDocument/2006/relationships/hyperlink" Id="rId56" Target="https://cran.r-project.org/package=MBESS" TargetMode="External" /><Relationship Type="http://schemas.openxmlformats.org/officeDocument/2006/relationships/hyperlink" Id="rId54" Target="https://cran.r-project.org/package=MOTE" TargetMode="External" /><Relationship Type="http://schemas.openxmlformats.org/officeDocument/2006/relationships/hyperlink" Id="rId63" Target="https://cran.r-project.org/package=TOSTER" TargetMode="External" /><Relationship Type="http://schemas.openxmlformats.org/officeDocument/2006/relationships/hyperlink" Id="rId55" Target="https://cran.r-project.org/package=effectsize" TargetMode="External" /><Relationship Type="http://schemas.openxmlformats.org/officeDocument/2006/relationships/hyperlink" Id="rId61" Target="https://cran.r-project.org/package=effsize" TargetMode="External" /><Relationship Type="http://schemas.openxmlformats.org/officeDocument/2006/relationships/hyperlink" Id="rId59" Target="https://cran.r-project.org/package=esc" TargetMode="External" /><Relationship Type="http://schemas.openxmlformats.org/officeDocument/2006/relationships/hyperlink" Id="rId57" Target="https://cran.r-project.org/package=metafor" TargetMode="External" /><Relationship Type="http://schemas.openxmlformats.org/officeDocument/2006/relationships/hyperlink" Id="rId58" Target="https://cran.r-project.org/package=psych" TargetMode="External" /><Relationship Type="http://schemas.openxmlformats.org/officeDocument/2006/relationships/hyperlink" Id="rId60" Target="https://cran.r-project.org/package=psychmeta" TargetMode="External" /><Relationship Type="http://schemas.openxmlformats.org/officeDocument/2006/relationships/hyperlink" Id="rId232" Target="https://declaredesign.org/paper.pdf" TargetMode="External" /><Relationship Type="http://schemas.openxmlformats.org/officeDocument/2006/relationships/hyperlink" Id="rId266" Target="https://discourse.datamethods.org/t/author-checklist/3407" TargetMode="External" /><Relationship Type="http://schemas.openxmlformats.org/officeDocument/2006/relationships/hyperlink" Id="rId302" Target="https://doi.org/10.1001/jama.2014.13128" TargetMode="External" /><Relationship Type="http://schemas.openxmlformats.org/officeDocument/2006/relationships/hyperlink" Id="rId237" Target="https://doi.org/10.1002/(SICI)1521-4036(200001)42:1&lt;17::AID-BIMJ17&gt;3.0.CO;2-U" TargetMode="External" /><Relationship Type="http://schemas.openxmlformats.org/officeDocument/2006/relationships/hyperlink" Id="rId311" Target="https://doi.org/10.1002/1521-4036(200207)44:5&lt;584::AID-BIMJ584&gt;3.0.CO;2-9" TargetMode="External" /><Relationship Type="http://schemas.openxmlformats.org/officeDocument/2006/relationships/hyperlink" Id="rId297" Target="https://doi.org/10.1002/ejsp.2752" TargetMode="External" /><Relationship Type="http://schemas.openxmlformats.org/officeDocument/2006/relationships/hyperlink" Id="rId336" Target="https://doi.org/10.1002/jrsm.1423" TargetMode="External" /><Relationship Type="http://schemas.openxmlformats.org/officeDocument/2006/relationships/hyperlink" Id="rId348" Target="https://doi.org/10.1007/s11229-022-03560-x" TargetMode="External" /><Relationship Type="http://schemas.openxmlformats.org/officeDocument/2006/relationships/hyperlink" Id="rId224" Target="https://doi.org/10.1016/j.arthro.2020.02.047" TargetMode="External" /><Relationship Type="http://schemas.openxmlformats.org/officeDocument/2006/relationships/hyperlink" Id="rId313" Target="https://doi.org/10.1016/j.csda.2006.05.024" TargetMode="External" /><Relationship Type="http://schemas.openxmlformats.org/officeDocument/2006/relationships/hyperlink" Id="rId295" Target="https://doi.org/10.1016/j.jesp.2018.08.009" TargetMode="External" /><Relationship Type="http://schemas.openxmlformats.org/officeDocument/2006/relationships/hyperlink" Id="rId352" Target="https://doi.org/10.1016/j.jseint.2022.10.003" TargetMode="External" /><Relationship Type="http://schemas.openxmlformats.org/officeDocument/2006/relationships/hyperlink" Id="rId30" Target="https://doi.org/10.1016/j.paid.2016.06.069" TargetMode="External" /><Relationship Type="http://schemas.openxmlformats.org/officeDocument/2006/relationships/hyperlink" Id="rId249" Target="https://doi.org/10.1016/j.rehab.2020.10.005" TargetMode="External" /><Relationship Type="http://schemas.openxmlformats.org/officeDocument/2006/relationships/hyperlink" Id="rId304" Target="https://doi.org/10.1017/S0140525X00027308" TargetMode="External" /><Relationship Type="http://schemas.openxmlformats.org/officeDocument/2006/relationships/hyperlink" Id="rId316" Target="https://doi.org/10.1037/0033-2909.118.1.155" TargetMode="External" /><Relationship Type="http://schemas.openxmlformats.org/officeDocument/2006/relationships/hyperlink" Id="rId340" Target="https://doi.org/10.1037/1082-989X.9.2.164" TargetMode="External" /><Relationship Type="http://schemas.openxmlformats.org/officeDocument/2006/relationships/hyperlink" Id="rId29" Target="https://doi.org/10.1037/1089-2680.7.4.331" TargetMode="External" /><Relationship Type="http://schemas.openxmlformats.org/officeDocument/2006/relationships/hyperlink" Id="rId254" Target="https://doi.org/10.1037/a0024338" TargetMode="External" /><Relationship Type="http://schemas.openxmlformats.org/officeDocument/2006/relationships/hyperlink" Id="rId283" Target="https://doi.org/10.1037/a0028086" TargetMode="External" /><Relationship Type="http://schemas.openxmlformats.org/officeDocument/2006/relationships/hyperlink" Id="rId235" Target="https://doi.org/10.1037/a0038047" TargetMode="External" /><Relationship Type="http://schemas.openxmlformats.org/officeDocument/2006/relationships/hyperlink" Id="rId327" Target="https://doi.org/10.1080/00031305.2018.1549101" TargetMode="External" /><Relationship Type="http://schemas.openxmlformats.org/officeDocument/2006/relationships/hyperlink" Id="rId338" Target="https://doi.org/10.1093/ije/dyq191" TargetMode="External" /><Relationship Type="http://schemas.openxmlformats.org/officeDocument/2006/relationships/hyperlink" Id="rId358" Target="https://doi.org/10.1111/gcb.15972" TargetMode="External" /><Relationship Type="http://schemas.openxmlformats.org/officeDocument/2006/relationships/hyperlink" Id="rId226" Target="https://doi.org/10.1111/j.2044-8317.1988.tb00901.x" TargetMode="External" /><Relationship Type="http://schemas.openxmlformats.org/officeDocument/2006/relationships/hyperlink" Id="rId214" Target="https://doi.org/10.1177/0013164403256358" TargetMode="External" /><Relationship Type="http://schemas.openxmlformats.org/officeDocument/2006/relationships/hyperlink" Id="rId264" Target="https://doi.org/10.1177/001316446502500101" TargetMode="External" /><Relationship Type="http://schemas.openxmlformats.org/officeDocument/2006/relationships/hyperlink" Id="rId247" Target="https://doi.org/10.1177/0146621618795933" TargetMode="External" /><Relationship Type="http://schemas.openxmlformats.org/officeDocument/2006/relationships/hyperlink" Id="rId308" Target="https://doi.org/10.1177/1094428106291059" TargetMode="External" /><Relationship Type="http://schemas.openxmlformats.org/officeDocument/2006/relationships/hyperlink" Id="rId323" Target="https://doi.org/10.1177/1548051815614321" TargetMode="External" /><Relationship Type="http://schemas.openxmlformats.org/officeDocument/2006/relationships/hyperlink" Id="rId293" Target="https://doi.org/10.1177/1948550617697177" TargetMode="External" /><Relationship Type="http://schemas.openxmlformats.org/officeDocument/2006/relationships/hyperlink" Id="rId256" Target="https://doi.org/10.1177/2515245919847202" TargetMode="External" /><Relationship Type="http://schemas.openxmlformats.org/officeDocument/2006/relationships/hyperlink" Id="rId354" Target="https://doi.org/10.1177/2515245919885611" TargetMode="External" /><Relationship Type="http://schemas.openxmlformats.org/officeDocument/2006/relationships/hyperlink" Id="rId318" Target="https://doi.org/10.1177/2515245920917961" TargetMode="External" /><Relationship Type="http://schemas.openxmlformats.org/officeDocument/2006/relationships/hyperlink" Id="rId290" Target="https://doi.org/10.1525/collabra.33267" TargetMode="External" /><Relationship Type="http://schemas.openxmlformats.org/officeDocument/2006/relationships/hyperlink" Id="rId346" Target="https://doi.org/10.18637/jss.v036.i03" TargetMode="External" /><Relationship Type="http://schemas.openxmlformats.org/officeDocument/2006/relationships/hyperlink" Id="rId228" Target="https://doi.org/10.21105/joss.02815" TargetMode="External" /><Relationship Type="http://schemas.openxmlformats.org/officeDocument/2006/relationships/hyperlink" Id="rId332" Target="https://doi.org/10.22237/jmasm/1257035100" TargetMode="External" /><Relationship Type="http://schemas.openxmlformats.org/officeDocument/2006/relationships/hyperlink" Id="rId268" Target="https://doi.org/10.3102/10769986006002107" TargetMode="External" /><Relationship Type="http://schemas.openxmlformats.org/officeDocument/2006/relationships/hyperlink" Id="rId241" Target="https://doi.org/10.31234/osf.io/ty8de" TargetMode="External" /><Relationship Type="http://schemas.openxmlformats.org/officeDocument/2006/relationships/hyperlink" Id="rId230" Target="https://doi.org/10.3390/math11091982" TargetMode="External" /><Relationship Type="http://schemas.openxmlformats.org/officeDocument/2006/relationships/hyperlink" Id="rId252" Target="https://doi.org/10.3758/BRM.41.4.1149" TargetMode="External" /><Relationship Type="http://schemas.openxmlformats.org/officeDocument/2006/relationships/hyperlink" Id="rId271" Target="https://doi.org/10.3758/s13423-013-0572-3" TargetMode="External" /><Relationship Type="http://schemas.openxmlformats.org/officeDocument/2006/relationships/hyperlink" Id="rId306" Target="https://doi.org/10.3758/s13423-015-0947-8" TargetMode="External" /><Relationship Type="http://schemas.openxmlformats.org/officeDocument/2006/relationships/hyperlink" Id="rId299" Target="https://doi.org/10.5281/zenodo.1249218" TargetMode="External" /><Relationship Type="http://schemas.openxmlformats.org/officeDocument/2006/relationships/hyperlink" Id="rId342" Target="https://doi.org/10.5281/zenodo.1480624" TargetMode="External" /><Relationship Type="http://schemas.openxmlformats.org/officeDocument/2006/relationships/hyperlink" Id="rId273" Target="https://doi.org/10.5281/zenodo.3960218" TargetMode="External" /><Relationship Type="http://schemas.openxmlformats.org/officeDocument/2006/relationships/hyperlink" Id="rId53" Target="https://doomlab.shinyapps.io/mote/" TargetMode="External" /><Relationship Type="http://schemas.openxmlformats.org/officeDocument/2006/relationships/hyperlink" Id="rId21" Target="https://hypothes.is/signup" TargetMode="External" /><Relationship Type="http://schemas.openxmlformats.org/officeDocument/2006/relationships/hyperlink" Id="rId276" Target="https://matthewbjane.quarto.pub/artifact-corrections-for-effect-sizes/" TargetMode="External" /><Relationship Type="http://schemas.openxmlformats.org/officeDocument/2006/relationships/hyperlink" Id="rId20" Target="https://mgto.org/effectsizeguide" TargetMode="External" /><Relationship Type="http://schemas.openxmlformats.org/officeDocument/2006/relationships/hyperlink" Id="rId258" Target="https://statmodeling.stat.columbia.edu/2011/08/25/why_it_doesnt_m/" TargetMode="External" /><Relationship Type="http://schemas.openxmlformats.org/officeDocument/2006/relationships/hyperlink" Id="rId130" Target="https://stats.stackexchange.com/a/98998" TargetMode="External" /><Relationship Type="http://schemas.openxmlformats.org/officeDocument/2006/relationships/hyperlink" Id="rId42" Target="https://stats.stackexchange.com/questions/204530/what-do-confidence-intervals-say-about-precision-if-anything" TargetMode="External" /><Relationship Type="http://schemas.openxmlformats.org/officeDocument/2006/relationships/hyperlink" Id="rId217" Target="https://thuvienso.hoasen.edu.vn/handle/123456789/8327" TargetMode="External" /><Relationship Type="http://schemas.openxmlformats.org/officeDocument/2006/relationships/hyperlink" Id="rId36" Target="https://twitter.com/aaronjfisher/status/1168252264600883200?s=20" TargetMode="External" /><Relationship Type="http://schemas.openxmlformats.org/officeDocument/2006/relationships/hyperlink" Id="rId31" Target="https://twitter.com/cjsotomatic/status/1144701540839698432" TargetMode="External" /><Relationship Type="http://schemas.openxmlformats.org/officeDocument/2006/relationships/hyperlink" Id="rId325" Target="https://ufs.opens.science" TargetMode="External" /><Relationship Type="http://schemas.openxmlformats.org/officeDocument/2006/relationships/hyperlink" Id="rId286" Target="https://www.frontiersin.org/articles/10.3389/fpsyg.2013.00863" TargetMode="External" /><Relationship Type="http://schemas.openxmlformats.org/officeDocument/2006/relationships/hyperlink" Id="rId334" Target="https://www.frontiersin.org/articles/10.3389/fpsyg.2019.00813" TargetMode="External" /><Relationship Type="http://schemas.openxmlformats.org/officeDocument/2006/relationships/hyperlink" Id="rId244" Target="https://www.semanticscholar.org/paper/It%27s-the-Effect-Size%2C-Stupid-What-effect-size-is-it-Coe/c5ac87df5d6e0e6b6de2f745284835c2a368b0f7" TargetMode="External" /><Relationship Type="http://schemas.openxmlformats.org/officeDocument/2006/relationships/hyperlink" Id="rId344"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Effect Sizes and Confidence Intervals</dc:title>
  <dc:creator>Matthew B. Jané; Qinyu Xiao; Siu Kit Yeung; Mattan S. Ben-Shachar; Aaron R. Caldwell; Denis Cousineau; Daniel J. Dunleavy; Mahmoud Elsherif; Blair T. Johnson; David Moreau; Paul Riesthuis; Lukas Röseler; James Steele; Felipe F. Vieira; Mircea Zloteanu; Gilad Feldman</dc:creator>
  <cp:keywords>collaboration, confidence interval, effect size, open educational resource, open scholarship, open science</cp:keywords>
  <dcterms:created xsi:type="dcterms:W3CDTF">2023-12-31T21:19:56Z</dcterms:created>
  <dcterms:modified xsi:type="dcterms:W3CDTF">2023-12-31T21:19:56Z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de-block-bg">
    <vt:lpwstr>#f1f1f1</vt:lpwstr>
  </property>
  <property fmtid="{D5CDD505-2E9C-101B-9397-08002B2CF9AE}" pid="10" name="code-block-border-left">
    <vt:lpwstr>False</vt:lpwstr>
  </property>
  <property fmtid="{D5CDD505-2E9C-101B-9397-08002B2CF9AE}" pid="11" name="comments">
    <vt:lpwstr/>
  </property>
  <property fmtid="{D5CDD505-2E9C-101B-9397-08002B2CF9AE}" pid="12" name="crossref">
    <vt:lpwstr/>
  </property>
  <property fmtid="{D5CDD505-2E9C-101B-9397-08002B2CF9AE}" pid="13" name="date">
    <vt:lpwstr>2023</vt:lpwstr>
  </property>
  <property fmtid="{D5CDD505-2E9C-101B-9397-08002B2CF9AE}" pid="14" name="date-format">
    <vt:lpwstr>YYYY</vt:lpwstr>
  </property>
  <property fmtid="{D5CDD505-2E9C-101B-9397-08002B2CF9AE}" pid="15" name="documentclass">
    <vt:lpwstr>scrreprt</vt:lpwstr>
  </property>
  <property fmtid="{D5CDD505-2E9C-101B-9397-08002B2CF9AE}" pid="16" name="editor">
    <vt:lpwstr>source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mainfont">
    <vt:lpwstr>Arial</vt:lpwstr>
  </property>
  <property fmtid="{D5CDD505-2E9C-101B-9397-08002B2CF9AE}" pid="22" name="toc-title">
    <vt:lpwstr>Table of contents</vt:lpwstr>
  </property>
</Properties>
</file>