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46813" w14:textId="77777777" w:rsidR="00881240" w:rsidRPr="007A0F02" w:rsidRDefault="0030786F" w:rsidP="007A0F02">
      <w:pPr>
        <w:spacing w:line="360" w:lineRule="auto"/>
        <w:rPr>
          <w:rFonts w:ascii="Arial" w:hAnsi="Arial" w:cs="Arial"/>
          <w:b/>
          <w:sz w:val="22"/>
          <w:szCs w:val="22"/>
        </w:rPr>
      </w:pPr>
      <w:r w:rsidRPr="007A0F02">
        <w:rPr>
          <w:rFonts w:ascii="Arial" w:hAnsi="Arial" w:cs="Arial"/>
          <w:b/>
          <w:sz w:val="22"/>
          <w:szCs w:val="22"/>
        </w:rPr>
        <w:t xml:space="preserve">Ibalio RE 570 Investment Memo </w:t>
      </w:r>
    </w:p>
    <w:p w14:paraId="16199319" w14:textId="77777777" w:rsidR="0030786F" w:rsidRPr="007A0F02" w:rsidRDefault="00BF3360" w:rsidP="007A0F02">
      <w:pPr>
        <w:spacing w:line="360" w:lineRule="auto"/>
        <w:rPr>
          <w:rFonts w:ascii="Arial" w:hAnsi="Arial" w:cs="Arial"/>
          <w:bCs/>
          <w:sz w:val="22"/>
          <w:szCs w:val="22"/>
        </w:rPr>
      </w:pPr>
      <w:r w:rsidRPr="007A0F02">
        <w:rPr>
          <w:rFonts w:ascii="Arial" w:hAnsi="Arial" w:cs="Arial"/>
          <w:bCs/>
          <w:sz w:val="22"/>
          <w:szCs w:val="22"/>
        </w:rPr>
        <w:t>Date: 10/21/2024</w:t>
      </w:r>
    </w:p>
    <w:p w14:paraId="6E2CD2A9" w14:textId="77777777" w:rsidR="00BF3360" w:rsidRPr="007A0F02" w:rsidRDefault="00BF3360" w:rsidP="007A0F02">
      <w:pPr>
        <w:spacing w:line="360" w:lineRule="auto"/>
        <w:rPr>
          <w:rFonts w:ascii="Arial" w:hAnsi="Arial" w:cs="Arial"/>
          <w:bCs/>
          <w:sz w:val="22"/>
          <w:szCs w:val="22"/>
        </w:rPr>
      </w:pPr>
      <w:r w:rsidRPr="007A0F02">
        <w:rPr>
          <w:rFonts w:ascii="Arial" w:hAnsi="Arial" w:cs="Arial"/>
          <w:bCs/>
          <w:sz w:val="22"/>
          <w:szCs w:val="22"/>
        </w:rPr>
        <w:t>To: Professor Steve Bell</w:t>
      </w:r>
    </w:p>
    <w:p w14:paraId="489AA085" w14:textId="77777777" w:rsidR="00BF3360" w:rsidRPr="007A0F02" w:rsidRDefault="00BF3360" w:rsidP="007A0F02">
      <w:pPr>
        <w:spacing w:line="360" w:lineRule="auto"/>
        <w:rPr>
          <w:rFonts w:ascii="Arial" w:hAnsi="Arial" w:cs="Arial"/>
          <w:bCs/>
          <w:sz w:val="22"/>
          <w:szCs w:val="22"/>
        </w:rPr>
      </w:pPr>
      <w:r w:rsidRPr="007A0F02">
        <w:rPr>
          <w:rFonts w:ascii="Arial" w:hAnsi="Arial" w:cs="Arial"/>
          <w:bCs/>
          <w:sz w:val="22"/>
          <w:szCs w:val="22"/>
        </w:rPr>
        <w:t>From: Matthew Ibalio</w:t>
      </w:r>
      <w:r w:rsidR="00BD451F">
        <w:rPr>
          <w:rFonts w:ascii="Arial" w:hAnsi="Arial" w:cs="Arial"/>
          <w:bCs/>
          <w:sz w:val="22"/>
          <w:szCs w:val="22"/>
        </w:rPr>
        <w:t xml:space="preserve"> ARGUS Analyst </w:t>
      </w:r>
    </w:p>
    <w:p w14:paraId="6F0CE35C" w14:textId="77777777" w:rsidR="00B82CD9" w:rsidRPr="007A0F02" w:rsidRDefault="00BF3360" w:rsidP="007A0F02">
      <w:pPr>
        <w:spacing w:line="360" w:lineRule="auto"/>
        <w:rPr>
          <w:rFonts w:ascii="Arial" w:hAnsi="Arial" w:cs="Arial"/>
          <w:bCs/>
          <w:sz w:val="22"/>
          <w:szCs w:val="22"/>
        </w:rPr>
      </w:pPr>
      <w:r w:rsidRPr="007A0F02">
        <w:rPr>
          <w:rFonts w:ascii="Arial" w:hAnsi="Arial" w:cs="Arial"/>
          <w:bCs/>
          <w:sz w:val="22"/>
          <w:szCs w:val="22"/>
        </w:rPr>
        <w:t>Re: Oak Brook Tower Investment Analysis</w:t>
      </w:r>
    </w:p>
    <w:p w14:paraId="5C7B207B" w14:textId="77777777" w:rsidR="00886A56" w:rsidRPr="007A0F02" w:rsidRDefault="00886A56" w:rsidP="007A0F02">
      <w:pPr>
        <w:spacing w:line="360" w:lineRule="auto"/>
        <w:rPr>
          <w:rFonts w:ascii="Arial" w:hAnsi="Arial" w:cs="Arial"/>
          <w:bCs/>
          <w:sz w:val="22"/>
          <w:szCs w:val="22"/>
        </w:rPr>
      </w:pPr>
    </w:p>
    <w:p w14:paraId="7A99E36D" w14:textId="77777777" w:rsidR="00BF3360" w:rsidRPr="007A0F02" w:rsidRDefault="007C4E67" w:rsidP="007A0F02">
      <w:pPr>
        <w:spacing w:line="360" w:lineRule="auto"/>
        <w:rPr>
          <w:rFonts w:ascii="Arial" w:hAnsi="Arial" w:cs="Arial"/>
          <w:sz w:val="22"/>
          <w:szCs w:val="22"/>
        </w:rPr>
      </w:pPr>
      <w:r w:rsidRPr="007A0F02">
        <w:rPr>
          <w:rFonts w:ascii="Arial" w:hAnsi="Arial" w:cs="Arial"/>
          <w:sz w:val="22"/>
          <w:szCs w:val="22"/>
        </w:rPr>
        <w:t>EXECUTIVE</w:t>
      </w:r>
      <w:r w:rsidR="004C05B6" w:rsidRPr="007A0F02">
        <w:rPr>
          <w:rFonts w:ascii="Arial" w:hAnsi="Arial" w:cs="Arial"/>
          <w:sz w:val="22"/>
          <w:szCs w:val="22"/>
        </w:rPr>
        <w:t xml:space="preserve"> SUMMAR</w:t>
      </w:r>
      <w:r w:rsidR="00B82CD9" w:rsidRPr="007A0F02">
        <w:rPr>
          <w:rFonts w:ascii="Arial" w:hAnsi="Arial" w:cs="Arial"/>
          <w:sz w:val="22"/>
          <w:szCs w:val="22"/>
        </w:rPr>
        <w:t xml:space="preserve">Y </w:t>
      </w:r>
    </w:p>
    <w:p w14:paraId="7CB6B724" w14:textId="77777777" w:rsidR="00BF3360" w:rsidRPr="007A0F02" w:rsidRDefault="00BF3360" w:rsidP="007A0F02">
      <w:pPr>
        <w:spacing w:line="360" w:lineRule="auto"/>
        <w:rPr>
          <w:rFonts w:ascii="Arial" w:hAnsi="Arial" w:cs="Arial"/>
          <w:sz w:val="22"/>
          <w:szCs w:val="22"/>
        </w:rPr>
      </w:pPr>
      <w:r w:rsidRPr="007A0F02">
        <w:rPr>
          <w:rFonts w:ascii="Arial" w:hAnsi="Arial" w:cs="Arial"/>
          <w:sz w:val="22"/>
          <w:szCs w:val="22"/>
        </w:rPr>
        <w:t xml:space="preserve">An analysis has been conducted to develop recommendations as to the offering and taking price for Oak Brook Tower as a core investment asset. The analysis was conducted </w:t>
      </w:r>
      <w:r w:rsidR="00860E91" w:rsidRPr="007A0F02">
        <w:rPr>
          <w:rFonts w:ascii="Arial" w:hAnsi="Arial" w:cs="Arial"/>
          <w:sz w:val="22"/>
          <w:szCs w:val="22"/>
        </w:rPr>
        <w:t>by first collecting competitive</w:t>
      </w:r>
      <w:r w:rsidRPr="007A0F02">
        <w:rPr>
          <w:rFonts w:ascii="Arial" w:hAnsi="Arial" w:cs="Arial"/>
          <w:sz w:val="22"/>
          <w:szCs w:val="22"/>
        </w:rPr>
        <w:t xml:space="preserve"> </w:t>
      </w:r>
      <w:r w:rsidR="00DB27CC" w:rsidRPr="007A0F02">
        <w:rPr>
          <w:rFonts w:ascii="Arial" w:hAnsi="Arial" w:cs="Arial"/>
          <w:sz w:val="22"/>
          <w:szCs w:val="22"/>
        </w:rPr>
        <w:t xml:space="preserve">data from </w:t>
      </w:r>
      <w:r w:rsidRPr="007A0F02">
        <w:rPr>
          <w:rFonts w:ascii="Arial" w:hAnsi="Arial" w:cs="Arial"/>
          <w:sz w:val="22"/>
          <w:szCs w:val="22"/>
        </w:rPr>
        <w:t xml:space="preserve">CoStar, </w:t>
      </w:r>
      <w:r w:rsidR="00DB27CC" w:rsidRPr="007A0F02">
        <w:rPr>
          <w:rFonts w:ascii="Arial" w:hAnsi="Arial" w:cs="Arial"/>
          <w:sz w:val="22"/>
          <w:szCs w:val="22"/>
        </w:rPr>
        <w:t xml:space="preserve">demographic data from </w:t>
      </w:r>
      <w:r w:rsidRPr="007A0F02">
        <w:rPr>
          <w:rFonts w:ascii="Arial" w:hAnsi="Arial" w:cs="Arial"/>
          <w:sz w:val="22"/>
          <w:szCs w:val="22"/>
        </w:rPr>
        <w:t xml:space="preserve">STDB, and </w:t>
      </w:r>
      <w:r w:rsidR="00DB27CC" w:rsidRPr="007A0F02">
        <w:rPr>
          <w:rFonts w:ascii="Arial" w:hAnsi="Arial" w:cs="Arial"/>
          <w:sz w:val="22"/>
          <w:szCs w:val="22"/>
        </w:rPr>
        <w:t xml:space="preserve">then analyzing Oak Brook Tower’s current data using </w:t>
      </w:r>
      <w:r w:rsidRPr="007A0F02">
        <w:rPr>
          <w:rFonts w:ascii="Arial" w:hAnsi="Arial" w:cs="Arial"/>
          <w:sz w:val="22"/>
          <w:szCs w:val="22"/>
        </w:rPr>
        <w:t xml:space="preserve">ARGUS. </w:t>
      </w:r>
      <w:r w:rsidR="00860E91" w:rsidRPr="007A0F02">
        <w:rPr>
          <w:rFonts w:ascii="Arial" w:hAnsi="Arial" w:cs="Arial"/>
          <w:sz w:val="22"/>
          <w:szCs w:val="22"/>
        </w:rPr>
        <w:t>The data was then utilized to conduct an analysis of the property using a 7% discount rate suing best-case, worst-case, and most-likely-case scenarios.</w:t>
      </w:r>
    </w:p>
    <w:p w14:paraId="089CEBAC" w14:textId="77777777" w:rsidR="00912C69" w:rsidRPr="007A0F02" w:rsidRDefault="00FD4B1B" w:rsidP="007A0F02">
      <w:pPr>
        <w:spacing w:line="360" w:lineRule="auto"/>
        <w:rPr>
          <w:rFonts w:ascii="Arial" w:hAnsi="Arial" w:cs="Arial"/>
          <w:sz w:val="22"/>
          <w:szCs w:val="22"/>
        </w:rPr>
      </w:pPr>
      <w:r w:rsidRPr="007A0F02">
        <w:rPr>
          <w:rFonts w:ascii="Arial" w:hAnsi="Arial" w:cs="Arial"/>
          <w:sz w:val="22"/>
          <w:szCs w:val="22"/>
        </w:rPr>
        <w:t xml:space="preserve">The analysis was conducted assuming no loans, a 10-year holding period, a 7.5% terminal cap rate and a base discount rate of 7%. </w:t>
      </w:r>
      <w:r w:rsidR="00BF3360" w:rsidRPr="007A0F02">
        <w:rPr>
          <w:rFonts w:ascii="Arial" w:hAnsi="Arial" w:cs="Arial"/>
          <w:sz w:val="22"/>
          <w:szCs w:val="22"/>
        </w:rPr>
        <w:t xml:space="preserve">After </w:t>
      </w:r>
      <w:r w:rsidR="00821F88" w:rsidRPr="007A0F02">
        <w:rPr>
          <w:rFonts w:ascii="Arial" w:hAnsi="Arial" w:cs="Arial"/>
          <w:sz w:val="22"/>
          <w:szCs w:val="22"/>
        </w:rPr>
        <w:t xml:space="preserve">analyzing demographic, market, and financial data for Oak Brook Tower, it is recommended that with a 7% discount rate </w:t>
      </w:r>
      <w:r w:rsidR="00D0313A" w:rsidRPr="007A0F02">
        <w:rPr>
          <w:rFonts w:ascii="Arial" w:hAnsi="Arial" w:cs="Arial"/>
          <w:sz w:val="22"/>
          <w:szCs w:val="22"/>
        </w:rPr>
        <w:t xml:space="preserve">and 7.5% terminal cap rate, </w:t>
      </w:r>
      <w:r w:rsidR="00821F88" w:rsidRPr="007A0F02">
        <w:rPr>
          <w:rFonts w:ascii="Arial" w:hAnsi="Arial" w:cs="Arial"/>
          <w:sz w:val="22"/>
          <w:szCs w:val="22"/>
        </w:rPr>
        <w:t xml:space="preserve">the property be purchased at </w:t>
      </w:r>
      <w:r w:rsidR="00D0313A" w:rsidRPr="007A0F02">
        <w:rPr>
          <w:rFonts w:ascii="Arial" w:hAnsi="Arial" w:cs="Arial"/>
          <w:sz w:val="22"/>
          <w:szCs w:val="22"/>
        </w:rPr>
        <w:t xml:space="preserve">$31,553,681 [$315.54/SF] with a </w:t>
      </w:r>
      <w:r w:rsidRPr="007A0F02">
        <w:rPr>
          <w:rFonts w:ascii="Arial" w:hAnsi="Arial" w:cs="Arial"/>
          <w:sz w:val="22"/>
          <w:szCs w:val="22"/>
        </w:rPr>
        <w:t xml:space="preserve">most probable </w:t>
      </w:r>
      <w:r w:rsidR="00D0313A" w:rsidRPr="007A0F02">
        <w:rPr>
          <w:rFonts w:ascii="Arial" w:hAnsi="Arial" w:cs="Arial"/>
          <w:sz w:val="22"/>
          <w:szCs w:val="22"/>
        </w:rPr>
        <w:t xml:space="preserve">sale price of </w:t>
      </w:r>
      <w:r w:rsidR="00406E2E" w:rsidRPr="007A0F02">
        <w:rPr>
          <w:rFonts w:ascii="Arial" w:hAnsi="Arial" w:cs="Arial"/>
          <w:sz w:val="22"/>
          <w:szCs w:val="22"/>
        </w:rPr>
        <w:t xml:space="preserve">$32,122,603 [$321.23/SF]. </w:t>
      </w:r>
      <w:r w:rsidRPr="007A0F02">
        <w:rPr>
          <w:rFonts w:ascii="Arial" w:hAnsi="Arial" w:cs="Arial"/>
          <w:sz w:val="22"/>
          <w:szCs w:val="22"/>
        </w:rPr>
        <w:t xml:space="preserve">The </w:t>
      </w:r>
      <w:r w:rsidRPr="0024583F">
        <w:rPr>
          <w:rFonts w:ascii="Arial" w:hAnsi="Arial" w:cs="Arial"/>
          <w:sz w:val="22"/>
          <w:szCs w:val="22"/>
        </w:rPr>
        <w:t xml:space="preserve">wort case sale price would be </w:t>
      </w:r>
      <w:r w:rsidR="007D6A07" w:rsidRPr="007D6A07">
        <w:rPr>
          <w:rFonts w:ascii="Arial" w:hAnsi="Arial" w:cs="Arial"/>
          <w:sz w:val="22"/>
          <w:szCs w:val="22"/>
        </w:rPr>
        <w:t>$22,056,031 [$220.56/SF]</w:t>
      </w:r>
      <w:r w:rsidR="00781D30" w:rsidRPr="007A0F02">
        <w:rPr>
          <w:rFonts w:ascii="Arial" w:hAnsi="Arial" w:cs="Arial"/>
          <w:sz w:val="22"/>
          <w:szCs w:val="22"/>
        </w:rPr>
        <w:t xml:space="preserve">and </w:t>
      </w:r>
      <w:r w:rsidR="00BD451F" w:rsidRPr="007A0F02">
        <w:rPr>
          <w:rFonts w:ascii="Arial" w:hAnsi="Arial" w:cs="Arial"/>
          <w:sz w:val="22"/>
          <w:szCs w:val="22"/>
        </w:rPr>
        <w:t>best-case</w:t>
      </w:r>
      <w:r w:rsidR="00781D30" w:rsidRPr="007A0F02">
        <w:rPr>
          <w:rFonts w:ascii="Arial" w:hAnsi="Arial" w:cs="Arial"/>
          <w:sz w:val="22"/>
          <w:szCs w:val="22"/>
        </w:rPr>
        <w:t xml:space="preserve"> sale price would be </w:t>
      </w:r>
      <w:r w:rsidR="00D16629" w:rsidRPr="00D16629">
        <w:rPr>
          <w:rFonts w:ascii="Arial" w:hAnsi="Arial" w:cs="Arial"/>
          <w:sz w:val="22"/>
          <w:szCs w:val="22"/>
        </w:rPr>
        <w:t>$47,114,023 [$471.14/SF]</w:t>
      </w:r>
    </w:p>
    <w:p w14:paraId="0709E840" w14:textId="77777777" w:rsidR="00912C69" w:rsidRPr="007A0F02" w:rsidRDefault="00912C69" w:rsidP="007A0F02">
      <w:pPr>
        <w:spacing w:line="360" w:lineRule="auto"/>
        <w:rPr>
          <w:rFonts w:ascii="Arial" w:hAnsi="Arial" w:cs="Arial"/>
          <w:sz w:val="22"/>
          <w:szCs w:val="22"/>
        </w:rPr>
      </w:pPr>
      <w:r w:rsidRPr="007A0F02">
        <w:rPr>
          <w:rFonts w:ascii="Arial" w:hAnsi="Arial" w:cs="Arial"/>
          <w:sz w:val="22"/>
          <w:szCs w:val="22"/>
        </w:rPr>
        <w:t xml:space="preserve">Oak Brook Tower has demonstrated a consistent track record of attracting high credit tenants willing to pay excellent rental rates. A stable 5-mile population of upper </w:t>
      </w:r>
      <w:r w:rsidR="00BD451F" w:rsidRPr="007A0F02">
        <w:rPr>
          <w:rFonts w:ascii="Arial" w:hAnsi="Arial" w:cs="Arial"/>
          <w:sz w:val="22"/>
          <w:szCs w:val="22"/>
        </w:rPr>
        <w:t>middle-class</w:t>
      </w:r>
      <w:r w:rsidRPr="007A0F02">
        <w:rPr>
          <w:rFonts w:ascii="Arial" w:hAnsi="Arial" w:cs="Arial"/>
          <w:sz w:val="22"/>
          <w:szCs w:val="22"/>
        </w:rPr>
        <w:t xml:space="preserve"> earners, growing average household income, and desirable location support classifying the property as a “core” asset with enough demand to support the $32,122,603 sale price in 10 years. </w:t>
      </w:r>
    </w:p>
    <w:p w14:paraId="221F8CA9" w14:textId="77777777" w:rsidR="00BF3360" w:rsidRPr="007A0F02" w:rsidRDefault="00BF3360" w:rsidP="007A0F02">
      <w:pPr>
        <w:spacing w:line="360" w:lineRule="auto"/>
        <w:rPr>
          <w:rFonts w:ascii="Arial" w:hAnsi="Arial" w:cs="Arial"/>
          <w:sz w:val="22"/>
          <w:szCs w:val="22"/>
        </w:rPr>
      </w:pPr>
    </w:p>
    <w:p w14:paraId="2F63E5B8" w14:textId="77777777" w:rsidR="00B82CD9" w:rsidRPr="007A0F02" w:rsidRDefault="00B82CD9" w:rsidP="007A0F02">
      <w:pPr>
        <w:spacing w:line="360" w:lineRule="auto"/>
        <w:rPr>
          <w:rFonts w:ascii="Arial" w:hAnsi="Arial" w:cs="Arial"/>
          <w:sz w:val="22"/>
          <w:szCs w:val="22"/>
        </w:rPr>
      </w:pPr>
      <w:r w:rsidRPr="007A0F02">
        <w:rPr>
          <w:rFonts w:ascii="Arial" w:hAnsi="Arial" w:cs="Arial"/>
          <w:sz w:val="22"/>
          <w:szCs w:val="22"/>
        </w:rPr>
        <w:t>PROPERTY ANALYSIS</w:t>
      </w:r>
    </w:p>
    <w:p w14:paraId="267091C5" w14:textId="77777777" w:rsidR="00B82CD9" w:rsidRPr="007A0F02" w:rsidRDefault="00B82CD9" w:rsidP="007A0F02">
      <w:pPr>
        <w:spacing w:line="360" w:lineRule="auto"/>
        <w:rPr>
          <w:rFonts w:ascii="Arial" w:hAnsi="Arial" w:cs="Arial"/>
          <w:b/>
          <w:bCs/>
          <w:sz w:val="22"/>
          <w:szCs w:val="22"/>
        </w:rPr>
      </w:pPr>
      <w:r w:rsidRPr="007A0F02">
        <w:rPr>
          <w:rFonts w:ascii="Arial" w:hAnsi="Arial" w:cs="Arial"/>
          <w:b/>
          <w:bCs/>
          <w:sz w:val="22"/>
          <w:szCs w:val="22"/>
        </w:rPr>
        <w:t>Property Summary</w:t>
      </w:r>
      <w:r w:rsidR="00893308" w:rsidRPr="007A0F02">
        <w:rPr>
          <w:rFonts w:ascii="Arial" w:hAnsi="Arial" w:cs="Arial"/>
          <w:b/>
          <w:bCs/>
          <w:sz w:val="22"/>
          <w:szCs w:val="22"/>
        </w:rPr>
        <w:t xml:space="preserve"> </w:t>
      </w:r>
    </w:p>
    <w:p w14:paraId="479508CF" w14:textId="77777777" w:rsidR="0030786F" w:rsidRPr="007A0F02" w:rsidRDefault="00C41893" w:rsidP="007A0F02">
      <w:pPr>
        <w:spacing w:line="360" w:lineRule="auto"/>
        <w:rPr>
          <w:rFonts w:ascii="Arial" w:hAnsi="Arial" w:cs="Arial"/>
          <w:sz w:val="22"/>
          <w:szCs w:val="22"/>
        </w:rPr>
      </w:pPr>
      <w:r w:rsidRPr="007A0F02">
        <w:rPr>
          <w:rFonts w:ascii="Arial" w:hAnsi="Arial" w:cs="Arial"/>
          <w:sz w:val="22"/>
          <w:szCs w:val="22"/>
        </w:rPr>
        <w:t>Oak Brook Tower</w:t>
      </w:r>
      <w:r w:rsidR="0030786F" w:rsidRPr="007A0F02">
        <w:rPr>
          <w:rFonts w:ascii="Arial" w:hAnsi="Arial" w:cs="Arial"/>
          <w:sz w:val="22"/>
          <w:szCs w:val="22"/>
        </w:rPr>
        <w:t xml:space="preserve"> was built in 1990 and has a total of 100,000 rentable square feet across seven floors, including a Chipotle restaurant on 5,000 rentable square feet on the first floor. The upper floors are for office tenants</w:t>
      </w:r>
      <w:r w:rsidR="008C1CC5" w:rsidRPr="007A0F02">
        <w:rPr>
          <w:rFonts w:ascii="Arial" w:hAnsi="Arial" w:cs="Arial"/>
          <w:sz w:val="22"/>
          <w:szCs w:val="22"/>
        </w:rPr>
        <w:t xml:space="preserve"> which three in place tenants. </w:t>
      </w:r>
    </w:p>
    <w:p w14:paraId="3B7FC9A9" w14:textId="77777777" w:rsidR="00C41893" w:rsidRPr="00207786" w:rsidRDefault="00C41893" w:rsidP="007A0F02">
      <w:pPr>
        <w:spacing w:line="360" w:lineRule="auto"/>
        <w:rPr>
          <w:rFonts w:ascii="Arial" w:hAnsi="Arial" w:cs="Arial"/>
          <w:sz w:val="22"/>
          <w:szCs w:val="22"/>
        </w:rPr>
      </w:pPr>
      <w:r w:rsidRPr="007A0F02">
        <w:rPr>
          <w:rFonts w:ascii="Arial" w:hAnsi="Arial" w:cs="Arial"/>
          <w:sz w:val="22"/>
          <w:szCs w:val="22"/>
        </w:rPr>
        <w:t>The property</w:t>
      </w:r>
      <w:r w:rsidR="008C1CC5" w:rsidRPr="007A0F02">
        <w:rPr>
          <w:rFonts w:ascii="Arial" w:hAnsi="Arial" w:cs="Arial"/>
          <w:sz w:val="22"/>
          <w:szCs w:val="22"/>
        </w:rPr>
        <w:t xml:space="preserve"> is a 10-unit, 3 story mixed use building (office/retail) located on 1400 West 16</w:t>
      </w:r>
      <w:r w:rsidR="008C1CC5" w:rsidRPr="007A0F02">
        <w:rPr>
          <w:rFonts w:ascii="Arial" w:hAnsi="Arial" w:cs="Arial"/>
          <w:sz w:val="22"/>
          <w:szCs w:val="22"/>
          <w:vertAlign w:val="superscript"/>
        </w:rPr>
        <w:t>th</w:t>
      </w:r>
      <w:r w:rsidR="008C1CC5" w:rsidRPr="007A0F02">
        <w:rPr>
          <w:rFonts w:ascii="Arial" w:hAnsi="Arial" w:cs="Arial"/>
          <w:sz w:val="22"/>
          <w:szCs w:val="22"/>
        </w:rPr>
        <w:t xml:space="preserve"> Street in Oak Brook, IL 60523. There are 7 floors, the first being 5,000 rsf and is currently occupied by Chipotle. The upper floors are for office tenants. Currently there are 3 office tenants: First Title, Design </w:t>
      </w:r>
      <w:r w:rsidR="00700E87" w:rsidRPr="007A0F02">
        <w:rPr>
          <w:rFonts w:ascii="Arial" w:hAnsi="Arial" w:cs="Arial"/>
          <w:sz w:val="22"/>
          <w:szCs w:val="22"/>
        </w:rPr>
        <w:t>Partners</w:t>
      </w:r>
      <w:r w:rsidR="008C1CC5" w:rsidRPr="007A0F02">
        <w:rPr>
          <w:rFonts w:ascii="Arial" w:hAnsi="Arial" w:cs="Arial"/>
          <w:sz w:val="22"/>
          <w:szCs w:val="22"/>
        </w:rPr>
        <w:t xml:space="preserve">, and Citibank. There is a static vacancy of 2,000 SF and 4 vacant leases created quarterly over a </w:t>
      </w:r>
      <w:r w:rsidRPr="007A0F02">
        <w:rPr>
          <w:rFonts w:ascii="Arial" w:hAnsi="Arial" w:cs="Arial"/>
          <w:sz w:val="22"/>
          <w:szCs w:val="22"/>
        </w:rPr>
        <w:t>1-year</w:t>
      </w:r>
      <w:r w:rsidR="008C1CC5" w:rsidRPr="007A0F02">
        <w:rPr>
          <w:rFonts w:ascii="Arial" w:hAnsi="Arial" w:cs="Arial"/>
          <w:sz w:val="22"/>
          <w:szCs w:val="22"/>
        </w:rPr>
        <w:t xml:space="preserve"> period. The 4 vacant leases make up 27,000 SF. </w:t>
      </w:r>
    </w:p>
    <w:p w14:paraId="306837C8" w14:textId="77777777" w:rsidR="00C41893" w:rsidRPr="007A0F02" w:rsidRDefault="00C41893" w:rsidP="007A0F02">
      <w:pPr>
        <w:spacing w:line="360" w:lineRule="auto"/>
        <w:rPr>
          <w:rFonts w:ascii="Arial" w:hAnsi="Arial" w:cs="Arial"/>
          <w:b/>
          <w:bCs/>
          <w:sz w:val="22"/>
          <w:szCs w:val="22"/>
        </w:rPr>
      </w:pPr>
      <w:r w:rsidRPr="007A0F02">
        <w:rPr>
          <w:rFonts w:ascii="Arial" w:hAnsi="Arial" w:cs="Arial"/>
          <w:b/>
          <w:bCs/>
          <w:sz w:val="22"/>
          <w:szCs w:val="22"/>
        </w:rPr>
        <w:t>Location Analysis</w:t>
      </w:r>
    </w:p>
    <w:p w14:paraId="2930AFE6" w14:textId="77777777" w:rsidR="00C41893" w:rsidRPr="007A0F02" w:rsidRDefault="00C41893" w:rsidP="007A0F02">
      <w:pPr>
        <w:spacing w:line="360" w:lineRule="auto"/>
        <w:rPr>
          <w:rFonts w:ascii="Arial" w:hAnsi="Arial" w:cs="Arial"/>
          <w:sz w:val="22"/>
          <w:szCs w:val="22"/>
        </w:rPr>
      </w:pPr>
      <w:r w:rsidRPr="007A0F02">
        <w:rPr>
          <w:rFonts w:ascii="Arial" w:hAnsi="Arial" w:cs="Arial"/>
          <w:sz w:val="22"/>
          <w:szCs w:val="22"/>
        </w:rPr>
        <w:lastRenderedPageBreak/>
        <w:t>Oak Brook Tower is located on 1400 West 16</w:t>
      </w:r>
      <w:r w:rsidRPr="007A0F02">
        <w:rPr>
          <w:rFonts w:ascii="Arial" w:hAnsi="Arial" w:cs="Arial"/>
          <w:sz w:val="22"/>
          <w:szCs w:val="22"/>
          <w:vertAlign w:val="superscript"/>
        </w:rPr>
        <w:t>th</w:t>
      </w:r>
      <w:r w:rsidRPr="007A0F02">
        <w:rPr>
          <w:rFonts w:ascii="Arial" w:hAnsi="Arial" w:cs="Arial"/>
          <w:sz w:val="22"/>
          <w:szCs w:val="22"/>
        </w:rPr>
        <w:t xml:space="preserve"> Street in Oak Brook, IL. The property is over thirty years old </w:t>
      </w:r>
      <w:r w:rsidR="002A152D">
        <w:rPr>
          <w:rFonts w:ascii="Arial" w:hAnsi="Arial" w:cs="Arial"/>
          <w:sz w:val="22"/>
          <w:szCs w:val="22"/>
        </w:rPr>
        <w:t>and</w:t>
      </w:r>
      <w:r w:rsidRPr="007A0F02">
        <w:rPr>
          <w:rFonts w:ascii="Arial" w:hAnsi="Arial" w:cs="Arial"/>
          <w:sz w:val="22"/>
          <w:szCs w:val="22"/>
        </w:rPr>
        <w:t xml:space="preserve"> well maintained</w:t>
      </w:r>
      <w:r w:rsidR="002A152D">
        <w:rPr>
          <w:rFonts w:ascii="Arial" w:hAnsi="Arial" w:cs="Arial"/>
          <w:sz w:val="22"/>
          <w:szCs w:val="22"/>
        </w:rPr>
        <w:t xml:space="preserve">. It sits </w:t>
      </w:r>
      <w:r w:rsidRPr="007A0F02">
        <w:rPr>
          <w:rFonts w:ascii="Arial" w:hAnsi="Arial" w:cs="Arial"/>
          <w:sz w:val="22"/>
          <w:szCs w:val="22"/>
        </w:rPr>
        <w:t>in a desirable location, providing excellent access to I-88, Tri-State I-294 Tollway, I-290, I-55, Route 83 and Butterfield Road</w:t>
      </w:r>
      <w:r w:rsidR="00CF474B" w:rsidRPr="007A0F02">
        <w:rPr>
          <w:rFonts w:ascii="Arial" w:hAnsi="Arial" w:cs="Arial"/>
          <w:sz w:val="22"/>
          <w:szCs w:val="22"/>
        </w:rPr>
        <w:t xml:space="preserve"> for traffic coming in and out of the area. </w:t>
      </w:r>
      <w:r w:rsidR="00B52787" w:rsidRPr="007A0F02">
        <w:rPr>
          <w:rFonts w:ascii="Arial" w:hAnsi="Arial" w:cs="Arial"/>
          <w:sz w:val="22"/>
          <w:szCs w:val="22"/>
        </w:rPr>
        <w:t>Tenant e</w:t>
      </w:r>
      <w:r w:rsidR="00CF474B" w:rsidRPr="007A0F02">
        <w:rPr>
          <w:rFonts w:ascii="Arial" w:hAnsi="Arial" w:cs="Arial"/>
          <w:sz w:val="22"/>
          <w:szCs w:val="22"/>
        </w:rPr>
        <w:t xml:space="preserve">mployees </w:t>
      </w:r>
      <w:r w:rsidR="00B52787" w:rsidRPr="007A0F02">
        <w:rPr>
          <w:rFonts w:ascii="Arial" w:hAnsi="Arial" w:cs="Arial"/>
          <w:sz w:val="22"/>
          <w:szCs w:val="22"/>
        </w:rPr>
        <w:t xml:space="preserve">and clients </w:t>
      </w:r>
      <w:r w:rsidR="00CF474B" w:rsidRPr="007A0F02">
        <w:rPr>
          <w:rFonts w:ascii="Arial" w:hAnsi="Arial" w:cs="Arial"/>
          <w:sz w:val="22"/>
          <w:szCs w:val="22"/>
        </w:rPr>
        <w:t xml:space="preserve">would have no issues </w:t>
      </w:r>
      <w:r w:rsidR="00E32213" w:rsidRPr="007A0F02">
        <w:rPr>
          <w:rFonts w:ascii="Arial" w:hAnsi="Arial" w:cs="Arial"/>
          <w:sz w:val="22"/>
          <w:szCs w:val="22"/>
        </w:rPr>
        <w:t>going</w:t>
      </w:r>
      <w:r w:rsidR="00CF474B" w:rsidRPr="007A0F02">
        <w:rPr>
          <w:rFonts w:ascii="Arial" w:hAnsi="Arial" w:cs="Arial"/>
          <w:sz w:val="22"/>
          <w:szCs w:val="22"/>
        </w:rPr>
        <w:t xml:space="preserve"> to and </w:t>
      </w:r>
      <w:r w:rsidR="00CC3FA9" w:rsidRPr="007A0F02">
        <w:rPr>
          <w:rFonts w:ascii="Arial" w:hAnsi="Arial" w:cs="Arial"/>
          <w:sz w:val="22"/>
          <w:szCs w:val="22"/>
        </w:rPr>
        <w:t xml:space="preserve">coming </w:t>
      </w:r>
      <w:r w:rsidR="00CF474B" w:rsidRPr="007A0F02">
        <w:rPr>
          <w:rFonts w:ascii="Arial" w:hAnsi="Arial" w:cs="Arial"/>
          <w:sz w:val="22"/>
          <w:szCs w:val="22"/>
        </w:rPr>
        <w:t>from the property</w:t>
      </w:r>
      <w:r w:rsidR="00B52787" w:rsidRPr="007A0F02">
        <w:rPr>
          <w:rFonts w:ascii="Arial" w:hAnsi="Arial" w:cs="Arial"/>
          <w:sz w:val="22"/>
          <w:szCs w:val="22"/>
        </w:rPr>
        <w:t>.</w:t>
      </w:r>
    </w:p>
    <w:p w14:paraId="4BD8E5E4" w14:textId="77777777" w:rsidR="00C41893" w:rsidRPr="007A0F02" w:rsidRDefault="00C41893" w:rsidP="007A0F02">
      <w:pPr>
        <w:spacing w:line="360" w:lineRule="auto"/>
        <w:rPr>
          <w:rFonts w:ascii="Arial" w:hAnsi="Arial" w:cs="Arial"/>
          <w:sz w:val="22"/>
          <w:szCs w:val="22"/>
        </w:rPr>
      </w:pPr>
      <w:r w:rsidRPr="007A0F02">
        <w:rPr>
          <w:rFonts w:ascii="Arial" w:hAnsi="Arial" w:cs="Arial"/>
          <w:sz w:val="22"/>
          <w:szCs w:val="22"/>
        </w:rPr>
        <w:t xml:space="preserve">Within a 5-mile radius sits high traffic areas including Oak Brook Center, Yorktown Center, and </w:t>
      </w:r>
      <w:r w:rsidR="005C7107" w:rsidRPr="007A0F02">
        <w:rPr>
          <w:rFonts w:ascii="Arial" w:hAnsi="Arial" w:cs="Arial"/>
          <w:sz w:val="22"/>
          <w:szCs w:val="22"/>
        </w:rPr>
        <w:t>Lifetime</w:t>
      </w:r>
      <w:r w:rsidRPr="007A0F02">
        <w:rPr>
          <w:rFonts w:ascii="Arial" w:hAnsi="Arial" w:cs="Arial"/>
          <w:sz w:val="22"/>
          <w:szCs w:val="22"/>
        </w:rPr>
        <w:t xml:space="preserve"> Fitness</w:t>
      </w:r>
      <w:r w:rsidR="00247F1F" w:rsidRPr="007A0F02">
        <w:rPr>
          <w:rFonts w:ascii="Arial" w:hAnsi="Arial" w:cs="Arial"/>
          <w:sz w:val="22"/>
          <w:szCs w:val="22"/>
        </w:rPr>
        <w:t xml:space="preserve">. </w:t>
      </w:r>
      <w:r w:rsidR="002A152D">
        <w:rPr>
          <w:rFonts w:ascii="Arial" w:hAnsi="Arial" w:cs="Arial"/>
          <w:sz w:val="22"/>
          <w:szCs w:val="22"/>
        </w:rPr>
        <w:t xml:space="preserve">In </w:t>
      </w:r>
      <w:r w:rsidR="00947DD9">
        <w:rPr>
          <w:rFonts w:ascii="Arial" w:hAnsi="Arial" w:cs="Arial"/>
          <w:sz w:val="22"/>
          <w:szCs w:val="22"/>
        </w:rPr>
        <w:t>addition,</w:t>
      </w:r>
      <w:r w:rsidR="002A152D">
        <w:rPr>
          <w:rFonts w:ascii="Arial" w:hAnsi="Arial" w:cs="Arial"/>
          <w:sz w:val="22"/>
          <w:szCs w:val="22"/>
        </w:rPr>
        <w:t xml:space="preserve"> there are more than 12 restaurants, four hotels and six financial institutions within a one-mile radius of Oak Brook Tower, </w:t>
      </w:r>
      <w:r w:rsidR="00147215">
        <w:rPr>
          <w:rFonts w:ascii="Arial" w:hAnsi="Arial" w:cs="Arial"/>
          <w:sz w:val="22"/>
          <w:szCs w:val="22"/>
        </w:rPr>
        <w:t>adding benefits to</w:t>
      </w:r>
      <w:r w:rsidR="002A152D">
        <w:rPr>
          <w:rFonts w:ascii="Arial" w:hAnsi="Arial" w:cs="Arial"/>
          <w:sz w:val="22"/>
          <w:szCs w:val="22"/>
        </w:rPr>
        <w:t xml:space="preserve"> tenants located within the property</w:t>
      </w:r>
      <w:r w:rsidR="00147215">
        <w:rPr>
          <w:rFonts w:ascii="Arial" w:hAnsi="Arial" w:cs="Arial"/>
          <w:sz w:val="22"/>
          <w:szCs w:val="22"/>
        </w:rPr>
        <w:t xml:space="preserve"> and. These benefits serve to attract top talent and clients for prospective tenants. </w:t>
      </w:r>
    </w:p>
    <w:p w14:paraId="5AF845C7" w14:textId="77777777" w:rsidR="00AE0E86" w:rsidRPr="007A0F02" w:rsidRDefault="00247F1F" w:rsidP="007A0F02">
      <w:pPr>
        <w:spacing w:line="360" w:lineRule="auto"/>
        <w:rPr>
          <w:rFonts w:ascii="Arial" w:hAnsi="Arial" w:cs="Arial"/>
          <w:sz w:val="22"/>
          <w:szCs w:val="22"/>
        </w:rPr>
      </w:pPr>
      <w:r w:rsidRPr="007A0F02">
        <w:rPr>
          <w:rFonts w:ascii="Arial" w:hAnsi="Arial" w:cs="Arial"/>
          <w:sz w:val="22"/>
          <w:szCs w:val="22"/>
        </w:rPr>
        <w:t xml:space="preserve">The desirable location also serves to maintain the property’s history as a </w:t>
      </w:r>
      <w:r w:rsidR="005C7107" w:rsidRPr="007A0F02">
        <w:rPr>
          <w:rFonts w:ascii="Arial" w:hAnsi="Arial" w:cs="Arial"/>
          <w:sz w:val="22"/>
          <w:szCs w:val="22"/>
        </w:rPr>
        <w:t>first-class</w:t>
      </w:r>
      <w:r w:rsidRPr="007A0F02">
        <w:rPr>
          <w:rFonts w:ascii="Arial" w:hAnsi="Arial" w:cs="Arial"/>
          <w:sz w:val="22"/>
          <w:szCs w:val="22"/>
        </w:rPr>
        <w:t xml:space="preserve"> office building </w:t>
      </w:r>
      <w:r w:rsidR="00A01379" w:rsidRPr="007A0F02">
        <w:rPr>
          <w:rFonts w:ascii="Arial" w:hAnsi="Arial" w:cs="Arial"/>
          <w:sz w:val="22"/>
          <w:szCs w:val="22"/>
        </w:rPr>
        <w:t>that lease</w:t>
      </w:r>
      <w:r w:rsidRPr="007A0F02">
        <w:rPr>
          <w:rFonts w:ascii="Arial" w:hAnsi="Arial" w:cs="Arial"/>
          <w:sz w:val="22"/>
          <w:szCs w:val="22"/>
        </w:rPr>
        <w:t xml:space="preserve"> to high credit tenants. </w:t>
      </w:r>
    </w:p>
    <w:p w14:paraId="0199B6FE" w14:textId="77777777" w:rsidR="00732892" w:rsidRPr="007A0F02" w:rsidRDefault="00B82CD9" w:rsidP="007A0F02">
      <w:pPr>
        <w:spacing w:line="360" w:lineRule="auto"/>
        <w:rPr>
          <w:rFonts w:ascii="Arial" w:hAnsi="Arial" w:cs="Arial"/>
          <w:b/>
          <w:bCs/>
          <w:sz w:val="22"/>
          <w:szCs w:val="22"/>
        </w:rPr>
      </w:pPr>
      <w:r w:rsidRPr="007A0F02">
        <w:rPr>
          <w:rFonts w:ascii="Arial" w:hAnsi="Arial" w:cs="Arial"/>
          <w:b/>
          <w:bCs/>
          <w:sz w:val="22"/>
          <w:szCs w:val="22"/>
        </w:rPr>
        <w:t>Demographics</w:t>
      </w:r>
      <w:r w:rsidR="006A2659" w:rsidRPr="007A0F02">
        <w:rPr>
          <w:rFonts w:ascii="Arial" w:hAnsi="Arial" w:cs="Arial"/>
          <w:b/>
          <w:bCs/>
          <w:sz w:val="22"/>
          <w:szCs w:val="22"/>
        </w:rPr>
        <w:t xml:space="preserve"> Analysis</w:t>
      </w:r>
    </w:p>
    <w:p w14:paraId="010DDDA2" w14:textId="77777777" w:rsidR="0048277E" w:rsidRPr="007A0F02" w:rsidRDefault="00732892" w:rsidP="007A0F02">
      <w:pPr>
        <w:spacing w:line="360" w:lineRule="auto"/>
        <w:rPr>
          <w:rFonts w:ascii="Arial" w:hAnsi="Arial" w:cs="Arial"/>
          <w:sz w:val="22"/>
          <w:szCs w:val="22"/>
        </w:rPr>
      </w:pPr>
      <w:r w:rsidRPr="007A0F02">
        <w:rPr>
          <w:rFonts w:ascii="Arial" w:hAnsi="Arial" w:cs="Arial"/>
          <w:sz w:val="22"/>
          <w:szCs w:val="22"/>
        </w:rPr>
        <w:t xml:space="preserve">Demographic information for the surrounding area was </w:t>
      </w:r>
      <w:r w:rsidR="00892B54" w:rsidRPr="007A0F02">
        <w:rPr>
          <w:rFonts w:ascii="Arial" w:hAnsi="Arial" w:cs="Arial"/>
          <w:sz w:val="22"/>
          <w:szCs w:val="22"/>
        </w:rPr>
        <w:t>analyzed</w:t>
      </w:r>
      <w:r w:rsidRPr="007A0F02">
        <w:rPr>
          <w:rFonts w:ascii="Arial" w:hAnsi="Arial" w:cs="Arial"/>
          <w:sz w:val="22"/>
          <w:szCs w:val="22"/>
        </w:rPr>
        <w:t xml:space="preserve"> in radii of 1, 3, and 5 miles from the property. The current overall demographics for the surrounding area indicate a population that will remain </w:t>
      </w:r>
      <w:r w:rsidR="00B369F5" w:rsidRPr="007A0F02">
        <w:rPr>
          <w:rFonts w:ascii="Arial" w:hAnsi="Arial" w:cs="Arial"/>
          <w:sz w:val="22"/>
          <w:szCs w:val="22"/>
        </w:rPr>
        <w:t>flat</w:t>
      </w:r>
      <w:r w:rsidRPr="007A0F02">
        <w:rPr>
          <w:rFonts w:ascii="Arial" w:hAnsi="Arial" w:cs="Arial"/>
          <w:sz w:val="22"/>
          <w:szCs w:val="22"/>
        </w:rPr>
        <w:t xml:space="preserve"> </w:t>
      </w:r>
      <w:r w:rsidR="00502FEC" w:rsidRPr="007A0F02">
        <w:rPr>
          <w:rFonts w:ascii="Arial" w:hAnsi="Arial" w:cs="Arial"/>
          <w:sz w:val="22"/>
          <w:szCs w:val="22"/>
        </w:rPr>
        <w:t>with a growing average household income</w:t>
      </w:r>
      <w:r w:rsidR="0048277E" w:rsidRPr="007A0F02">
        <w:rPr>
          <w:rFonts w:ascii="Arial" w:hAnsi="Arial" w:cs="Arial"/>
          <w:sz w:val="22"/>
          <w:szCs w:val="22"/>
        </w:rPr>
        <w:t xml:space="preserve"> and household size. </w:t>
      </w:r>
    </w:p>
    <w:p w14:paraId="0BFC3B8A" w14:textId="77777777" w:rsidR="00DA27CC" w:rsidRPr="007A0F02" w:rsidRDefault="0048277E" w:rsidP="007A0F02">
      <w:pPr>
        <w:spacing w:line="360" w:lineRule="auto"/>
        <w:rPr>
          <w:rFonts w:ascii="Arial" w:hAnsi="Arial" w:cs="Arial"/>
          <w:sz w:val="22"/>
          <w:szCs w:val="22"/>
        </w:rPr>
      </w:pPr>
      <w:r w:rsidRPr="007A0F02">
        <w:rPr>
          <w:rFonts w:ascii="Arial" w:hAnsi="Arial" w:cs="Arial"/>
          <w:sz w:val="22"/>
          <w:szCs w:val="22"/>
        </w:rPr>
        <w:t xml:space="preserve">This means there’s a stable pool of upper </w:t>
      </w:r>
      <w:r w:rsidR="00C22321" w:rsidRPr="007A0F02">
        <w:rPr>
          <w:rFonts w:ascii="Arial" w:hAnsi="Arial" w:cs="Arial"/>
          <w:sz w:val="22"/>
          <w:szCs w:val="22"/>
        </w:rPr>
        <w:t>middle-class</w:t>
      </w:r>
      <w:r w:rsidR="00243ABA">
        <w:rPr>
          <w:rStyle w:val="FootnoteReference"/>
          <w:rFonts w:ascii="Arial" w:hAnsi="Arial" w:cs="Arial"/>
          <w:sz w:val="22"/>
          <w:szCs w:val="22"/>
        </w:rPr>
        <w:footnoteReference w:id="1"/>
      </w:r>
      <w:r w:rsidRPr="007A0F02">
        <w:rPr>
          <w:rFonts w:ascii="Arial" w:hAnsi="Arial" w:cs="Arial"/>
          <w:sz w:val="22"/>
          <w:szCs w:val="22"/>
        </w:rPr>
        <w:t xml:space="preserve"> employees to hire from for Oak Brook Tower tenants. </w:t>
      </w:r>
      <w:r w:rsidR="001F3C3C" w:rsidRPr="007A0F02">
        <w:rPr>
          <w:rFonts w:ascii="Arial" w:hAnsi="Arial" w:cs="Arial"/>
          <w:sz w:val="22"/>
          <w:szCs w:val="22"/>
        </w:rPr>
        <w:t xml:space="preserve">This is an educated pool with 50%+ of the population over 25 having earned a </w:t>
      </w:r>
      <w:r w:rsidR="009C0720" w:rsidRPr="007A0F02">
        <w:rPr>
          <w:rFonts w:ascii="Arial" w:hAnsi="Arial" w:cs="Arial"/>
          <w:sz w:val="22"/>
          <w:szCs w:val="22"/>
        </w:rPr>
        <w:t>bachelor’s degree</w:t>
      </w:r>
      <w:r w:rsidR="001F3C3C" w:rsidRPr="007A0F02">
        <w:rPr>
          <w:rFonts w:ascii="Arial" w:hAnsi="Arial" w:cs="Arial"/>
          <w:sz w:val="22"/>
          <w:szCs w:val="22"/>
        </w:rPr>
        <w:t xml:space="preserve"> and/or a Graduate/Professional Degree.</w:t>
      </w:r>
    </w:p>
    <w:p w14:paraId="6684D822" w14:textId="77777777" w:rsidR="00DA27CC" w:rsidRPr="007A0F02" w:rsidRDefault="005F0F44" w:rsidP="007A0F02">
      <w:pPr>
        <w:spacing w:line="360" w:lineRule="auto"/>
        <w:rPr>
          <w:rFonts w:ascii="Arial" w:hAnsi="Arial" w:cs="Arial"/>
          <w:sz w:val="22"/>
          <w:szCs w:val="22"/>
        </w:rPr>
      </w:pPr>
      <w:r w:rsidRPr="007A0F02">
        <w:rPr>
          <w:rFonts w:ascii="Arial" w:hAnsi="Arial" w:cs="Arial"/>
          <w:sz w:val="22"/>
          <w:szCs w:val="22"/>
        </w:rPr>
        <w:pict w14:anchorId="1A808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8pt;height:120.6pt">
            <v:imagedata r:id="rId8" o:title=""/>
          </v:shape>
        </w:pict>
      </w:r>
    </w:p>
    <w:p w14:paraId="11648E5B" w14:textId="77777777" w:rsidR="0030786F" w:rsidRPr="007A0F02" w:rsidRDefault="00B82CD9" w:rsidP="007A0F02">
      <w:pPr>
        <w:spacing w:line="360" w:lineRule="auto"/>
        <w:rPr>
          <w:rFonts w:ascii="Arial" w:hAnsi="Arial" w:cs="Arial"/>
          <w:b/>
          <w:bCs/>
          <w:sz w:val="22"/>
          <w:szCs w:val="22"/>
        </w:rPr>
      </w:pPr>
      <w:r w:rsidRPr="007A0F02">
        <w:rPr>
          <w:rFonts w:ascii="Arial" w:hAnsi="Arial" w:cs="Arial"/>
          <w:b/>
          <w:bCs/>
          <w:sz w:val="22"/>
          <w:szCs w:val="22"/>
        </w:rPr>
        <w:t>Current Tenants</w:t>
      </w:r>
      <w:r w:rsidR="006A2659" w:rsidRPr="007A0F02">
        <w:rPr>
          <w:rFonts w:ascii="Arial" w:hAnsi="Arial" w:cs="Arial"/>
          <w:b/>
          <w:bCs/>
          <w:sz w:val="22"/>
          <w:szCs w:val="22"/>
        </w:rPr>
        <w:t xml:space="preserve"> Analysis</w:t>
      </w:r>
    </w:p>
    <w:p w14:paraId="59B5F90C" w14:textId="77777777" w:rsidR="00920999" w:rsidRPr="007A0F02" w:rsidRDefault="00920999" w:rsidP="007A0F02">
      <w:pPr>
        <w:spacing w:line="360" w:lineRule="auto"/>
        <w:rPr>
          <w:rFonts w:ascii="Arial" w:hAnsi="Arial" w:cs="Arial"/>
          <w:sz w:val="22"/>
          <w:szCs w:val="22"/>
        </w:rPr>
      </w:pPr>
      <w:r w:rsidRPr="007A0F02">
        <w:rPr>
          <w:rFonts w:ascii="Arial" w:hAnsi="Arial" w:cs="Arial"/>
          <w:sz w:val="22"/>
          <w:szCs w:val="22"/>
        </w:rPr>
        <w:t>There are two types of tenants at Oak Brook Tower, retail and office.</w:t>
      </w:r>
    </w:p>
    <w:p w14:paraId="35201FD8" w14:textId="77777777" w:rsidR="00072A75" w:rsidRPr="007A0F02" w:rsidRDefault="00072A75" w:rsidP="007A0F02">
      <w:pPr>
        <w:spacing w:line="360" w:lineRule="auto"/>
        <w:rPr>
          <w:rFonts w:ascii="Arial" w:hAnsi="Arial" w:cs="Arial"/>
          <w:b/>
          <w:bCs/>
          <w:sz w:val="22"/>
          <w:szCs w:val="22"/>
        </w:rPr>
      </w:pPr>
      <w:r w:rsidRPr="007A0F02">
        <w:rPr>
          <w:rFonts w:ascii="Arial" w:hAnsi="Arial" w:cs="Arial"/>
          <w:b/>
          <w:bCs/>
          <w:sz w:val="22"/>
          <w:szCs w:val="22"/>
        </w:rPr>
        <w:t>Retail Tenants</w:t>
      </w:r>
    </w:p>
    <w:p w14:paraId="2C727D2F" w14:textId="77777777" w:rsidR="00DF149E" w:rsidRPr="007A0F02" w:rsidRDefault="0030786F" w:rsidP="007A0F02">
      <w:pPr>
        <w:spacing w:line="360" w:lineRule="auto"/>
        <w:rPr>
          <w:rFonts w:ascii="Arial" w:hAnsi="Arial" w:cs="Arial"/>
          <w:sz w:val="22"/>
          <w:szCs w:val="22"/>
        </w:rPr>
      </w:pPr>
      <w:r w:rsidRPr="007A0F02">
        <w:rPr>
          <w:rFonts w:ascii="Arial" w:hAnsi="Arial" w:cs="Arial"/>
          <w:sz w:val="22"/>
          <w:szCs w:val="22"/>
        </w:rPr>
        <w:t xml:space="preserve">The only retail tenant is </w:t>
      </w:r>
      <w:r w:rsidR="009C0720" w:rsidRPr="007A0F02">
        <w:rPr>
          <w:rFonts w:ascii="Arial" w:hAnsi="Arial" w:cs="Arial"/>
          <w:sz w:val="22"/>
          <w:szCs w:val="22"/>
        </w:rPr>
        <w:t>Chipotle,</w:t>
      </w:r>
      <w:r w:rsidRPr="007A0F02">
        <w:rPr>
          <w:rFonts w:ascii="Arial" w:hAnsi="Arial" w:cs="Arial"/>
          <w:sz w:val="22"/>
          <w:szCs w:val="22"/>
        </w:rPr>
        <w:t xml:space="preserve"> and they rent 5,000 square feet </w:t>
      </w:r>
      <w:r w:rsidR="00DF149E" w:rsidRPr="007A0F02">
        <w:rPr>
          <w:rFonts w:ascii="Arial" w:hAnsi="Arial" w:cs="Arial"/>
          <w:sz w:val="22"/>
          <w:szCs w:val="22"/>
        </w:rPr>
        <w:t xml:space="preserve">with a lease expiration date of 8/25 with a 5-year option. </w:t>
      </w:r>
      <w:r w:rsidR="0053655F" w:rsidRPr="007A0F02">
        <w:rPr>
          <w:rFonts w:ascii="Arial" w:hAnsi="Arial" w:cs="Arial"/>
          <w:sz w:val="22"/>
          <w:szCs w:val="22"/>
        </w:rPr>
        <w:t>Recoveries are</w:t>
      </w:r>
      <w:r w:rsidR="00DF149E" w:rsidRPr="007A0F02">
        <w:rPr>
          <w:rFonts w:ascii="Arial" w:hAnsi="Arial" w:cs="Arial"/>
          <w:sz w:val="22"/>
          <w:szCs w:val="22"/>
        </w:rPr>
        <w:t xml:space="preserve"> a fixed pro-rate share of 6% of Net </w:t>
      </w:r>
      <w:r w:rsidR="000E7993" w:rsidRPr="007A0F02">
        <w:rPr>
          <w:rFonts w:ascii="Arial" w:hAnsi="Arial" w:cs="Arial"/>
          <w:sz w:val="22"/>
          <w:szCs w:val="22"/>
        </w:rPr>
        <w:t>operating expenses</w:t>
      </w:r>
      <w:r w:rsidR="00DF149E" w:rsidRPr="007A0F02">
        <w:rPr>
          <w:rFonts w:ascii="Arial" w:hAnsi="Arial" w:cs="Arial"/>
          <w:sz w:val="22"/>
          <w:szCs w:val="22"/>
        </w:rPr>
        <w:t>, natural pro-rata share of Net real estate taxes, and total retail expenses.</w:t>
      </w:r>
    </w:p>
    <w:p w14:paraId="3F393423" w14:textId="77777777" w:rsidR="00072A75" w:rsidRPr="007A0F02" w:rsidRDefault="00072A75" w:rsidP="007A0F02">
      <w:pPr>
        <w:spacing w:line="360" w:lineRule="auto"/>
        <w:rPr>
          <w:rFonts w:ascii="Arial" w:hAnsi="Arial" w:cs="Arial"/>
          <w:b/>
          <w:bCs/>
          <w:sz w:val="22"/>
          <w:szCs w:val="22"/>
        </w:rPr>
      </w:pPr>
      <w:r w:rsidRPr="007A0F02">
        <w:rPr>
          <w:rFonts w:ascii="Arial" w:hAnsi="Arial" w:cs="Arial"/>
          <w:b/>
          <w:bCs/>
          <w:sz w:val="22"/>
          <w:szCs w:val="22"/>
        </w:rPr>
        <w:t>Office Tenants</w:t>
      </w:r>
    </w:p>
    <w:p w14:paraId="1092082C" w14:textId="77777777" w:rsidR="0030786F" w:rsidRPr="007A0F02" w:rsidRDefault="0030786F" w:rsidP="007A0F02">
      <w:pPr>
        <w:spacing w:line="360" w:lineRule="auto"/>
        <w:rPr>
          <w:rFonts w:ascii="Arial" w:hAnsi="Arial" w:cs="Arial"/>
          <w:sz w:val="22"/>
          <w:szCs w:val="22"/>
        </w:rPr>
      </w:pPr>
      <w:r w:rsidRPr="007A0F02">
        <w:rPr>
          <w:rFonts w:ascii="Arial" w:hAnsi="Arial" w:cs="Arial"/>
          <w:sz w:val="22"/>
          <w:szCs w:val="22"/>
        </w:rPr>
        <w:lastRenderedPageBreak/>
        <w:t xml:space="preserve">Citibank is the largest office tenant with 36,000 square feet and a </w:t>
      </w:r>
      <w:r w:rsidR="00103A1E" w:rsidRPr="007A0F02">
        <w:rPr>
          <w:rFonts w:ascii="Arial" w:hAnsi="Arial" w:cs="Arial"/>
          <w:sz w:val="22"/>
          <w:szCs w:val="22"/>
        </w:rPr>
        <w:t>5-year</w:t>
      </w:r>
      <w:r w:rsidRPr="007A0F02">
        <w:rPr>
          <w:rFonts w:ascii="Arial" w:hAnsi="Arial" w:cs="Arial"/>
          <w:sz w:val="22"/>
          <w:szCs w:val="22"/>
        </w:rPr>
        <w:t xml:space="preserve"> option. The second largest is Design </w:t>
      </w:r>
      <w:r w:rsidR="00072A75" w:rsidRPr="007A0F02">
        <w:rPr>
          <w:rFonts w:ascii="Arial" w:hAnsi="Arial" w:cs="Arial"/>
          <w:sz w:val="22"/>
          <w:szCs w:val="22"/>
        </w:rPr>
        <w:t>Partners</w:t>
      </w:r>
      <w:r w:rsidRPr="007A0F02">
        <w:rPr>
          <w:rFonts w:ascii="Arial" w:hAnsi="Arial" w:cs="Arial"/>
          <w:sz w:val="22"/>
          <w:szCs w:val="22"/>
        </w:rPr>
        <w:t xml:space="preserve"> with 20,000 square feet and then First Title with 10,000 square feet. </w:t>
      </w:r>
    </w:p>
    <w:p w14:paraId="4D503136" w14:textId="77777777" w:rsidR="0053655F" w:rsidRPr="007A0F02" w:rsidRDefault="0053655F" w:rsidP="007A0F02">
      <w:pPr>
        <w:spacing w:line="360" w:lineRule="auto"/>
        <w:rPr>
          <w:rFonts w:ascii="Arial" w:hAnsi="Arial" w:cs="Arial"/>
          <w:sz w:val="22"/>
          <w:szCs w:val="22"/>
        </w:rPr>
      </w:pPr>
      <w:r w:rsidRPr="007A0F02">
        <w:rPr>
          <w:rFonts w:ascii="Arial" w:hAnsi="Arial" w:cs="Arial"/>
          <w:sz w:val="22"/>
          <w:szCs w:val="22"/>
        </w:rPr>
        <w:t xml:space="preserve">Recoveries for First Title, Design Partners, </w:t>
      </w:r>
      <w:r w:rsidR="00126377" w:rsidRPr="007A0F02">
        <w:rPr>
          <w:rFonts w:ascii="Arial" w:hAnsi="Arial" w:cs="Arial"/>
          <w:sz w:val="22"/>
          <w:szCs w:val="22"/>
        </w:rPr>
        <w:t>Citibank</w:t>
      </w:r>
      <w:r w:rsidRPr="007A0F02">
        <w:rPr>
          <w:rFonts w:ascii="Arial" w:hAnsi="Arial" w:cs="Arial"/>
          <w:sz w:val="22"/>
          <w:szCs w:val="22"/>
        </w:rPr>
        <w:t xml:space="preserve">, and the future tenants are </w:t>
      </w:r>
      <w:r w:rsidR="000E7993" w:rsidRPr="007A0F02">
        <w:rPr>
          <w:rFonts w:ascii="Arial" w:hAnsi="Arial" w:cs="Arial"/>
          <w:sz w:val="22"/>
          <w:szCs w:val="22"/>
        </w:rPr>
        <w:t>operating expenses</w:t>
      </w:r>
      <w:r w:rsidRPr="007A0F02">
        <w:rPr>
          <w:rFonts w:ascii="Arial" w:hAnsi="Arial" w:cs="Arial"/>
          <w:sz w:val="22"/>
          <w:szCs w:val="22"/>
        </w:rPr>
        <w:t xml:space="preserve"> and real estate taxes with a base year stop. Utilities are paid by retail.</w:t>
      </w:r>
    </w:p>
    <w:p w14:paraId="187CCB6C" w14:textId="77777777" w:rsidR="002423D8" w:rsidRPr="007A0F02" w:rsidRDefault="0088704A" w:rsidP="007A0F02">
      <w:pPr>
        <w:spacing w:line="360" w:lineRule="auto"/>
        <w:rPr>
          <w:rFonts w:ascii="Arial" w:hAnsi="Arial" w:cs="Arial"/>
          <w:sz w:val="22"/>
          <w:szCs w:val="22"/>
        </w:rPr>
      </w:pPr>
      <w:r w:rsidRPr="007A0F02">
        <w:rPr>
          <w:rFonts w:ascii="Arial" w:hAnsi="Arial" w:cs="Arial"/>
          <w:sz w:val="22"/>
          <w:szCs w:val="22"/>
        </w:rPr>
        <w:t xml:space="preserve">There is also 2,000 </w:t>
      </w:r>
      <w:r w:rsidR="00016D68">
        <w:rPr>
          <w:rFonts w:ascii="Arial" w:hAnsi="Arial" w:cs="Arial"/>
          <w:sz w:val="22"/>
          <w:szCs w:val="22"/>
        </w:rPr>
        <w:t>square feet</w:t>
      </w:r>
      <w:r w:rsidRPr="007A0F02">
        <w:rPr>
          <w:rFonts w:ascii="Arial" w:hAnsi="Arial" w:cs="Arial"/>
          <w:sz w:val="22"/>
          <w:szCs w:val="22"/>
        </w:rPr>
        <w:t xml:space="preserve"> of un-leasable spac</w:t>
      </w:r>
      <w:r w:rsidR="005F2CE8">
        <w:rPr>
          <w:rFonts w:ascii="Arial" w:hAnsi="Arial" w:cs="Arial"/>
          <w:sz w:val="22"/>
          <w:szCs w:val="22"/>
        </w:rPr>
        <w:t>e.</w:t>
      </w:r>
    </w:p>
    <w:p w14:paraId="0694A9CE" w14:textId="77777777" w:rsidR="00A63DE6" w:rsidRPr="00287765" w:rsidRDefault="00893308" w:rsidP="00A63DE6">
      <w:pPr>
        <w:spacing w:line="360" w:lineRule="auto"/>
        <w:rPr>
          <w:rFonts w:ascii="Arial" w:hAnsi="Arial" w:cs="Arial"/>
          <w:b/>
          <w:bCs/>
          <w:sz w:val="22"/>
          <w:szCs w:val="22"/>
        </w:rPr>
      </w:pPr>
      <w:r w:rsidRPr="007830A7">
        <w:rPr>
          <w:rFonts w:ascii="Arial" w:hAnsi="Arial" w:cs="Arial"/>
          <w:b/>
          <w:bCs/>
          <w:sz w:val="22"/>
          <w:szCs w:val="22"/>
        </w:rPr>
        <w:t>Market Potential</w:t>
      </w:r>
      <w:r w:rsidR="008F5EE5" w:rsidRPr="007830A7">
        <w:rPr>
          <w:rFonts w:ascii="Arial" w:hAnsi="Arial" w:cs="Arial"/>
          <w:b/>
          <w:bCs/>
          <w:sz w:val="22"/>
          <w:szCs w:val="22"/>
        </w:rPr>
        <w:t xml:space="preserve"> </w:t>
      </w:r>
      <w:r w:rsidR="008F5EE5" w:rsidRPr="000F490C">
        <w:rPr>
          <w:rFonts w:ascii="Arial" w:hAnsi="Arial" w:cs="Arial"/>
          <w:b/>
          <w:bCs/>
          <w:sz w:val="22"/>
          <w:szCs w:val="22"/>
        </w:rPr>
        <w:t>and Competitive Set of Properties</w:t>
      </w:r>
    </w:p>
    <w:p w14:paraId="104306D3" w14:textId="77777777" w:rsidR="00A63DE6" w:rsidRDefault="009829D9" w:rsidP="00A63DE6">
      <w:pPr>
        <w:spacing w:line="360" w:lineRule="auto"/>
        <w:rPr>
          <w:rFonts w:ascii="Arial" w:hAnsi="Arial" w:cs="Arial"/>
          <w:sz w:val="22"/>
          <w:szCs w:val="22"/>
        </w:rPr>
      </w:pPr>
      <w:r>
        <w:rPr>
          <w:rFonts w:ascii="Arial" w:hAnsi="Arial" w:cs="Arial"/>
          <w:sz w:val="22"/>
          <w:szCs w:val="22"/>
        </w:rPr>
        <w:t xml:space="preserve">When examining the market for Oak Brook Tower, the primary focused was placed upon similar class A office buildings and buildings for retail use. </w:t>
      </w:r>
    </w:p>
    <w:p w14:paraId="76698EF6" w14:textId="77777777" w:rsidR="00771E0D" w:rsidRDefault="00771E0D" w:rsidP="00A63DE6">
      <w:pPr>
        <w:spacing w:line="360" w:lineRule="auto"/>
        <w:rPr>
          <w:rFonts w:ascii="Arial" w:hAnsi="Arial" w:cs="Arial"/>
          <w:b/>
          <w:bCs/>
          <w:sz w:val="22"/>
          <w:szCs w:val="22"/>
        </w:rPr>
      </w:pPr>
      <w:r w:rsidRPr="00771E0D">
        <w:rPr>
          <w:rFonts w:ascii="Arial" w:hAnsi="Arial" w:cs="Arial"/>
          <w:b/>
          <w:bCs/>
          <w:sz w:val="22"/>
          <w:szCs w:val="22"/>
        </w:rPr>
        <w:t xml:space="preserve">Competitive Office </w:t>
      </w:r>
      <w:r>
        <w:rPr>
          <w:rFonts w:ascii="Arial" w:hAnsi="Arial" w:cs="Arial"/>
          <w:b/>
          <w:bCs/>
          <w:sz w:val="22"/>
          <w:szCs w:val="22"/>
        </w:rPr>
        <w:t>Buildings</w:t>
      </w:r>
    </w:p>
    <w:p w14:paraId="4A9E6A0E" w14:textId="77777777" w:rsidR="00287765" w:rsidRPr="00771E0D" w:rsidRDefault="00287765" w:rsidP="00A63DE6">
      <w:pPr>
        <w:spacing w:line="360" w:lineRule="auto"/>
        <w:rPr>
          <w:rFonts w:ascii="Arial" w:hAnsi="Arial" w:cs="Arial"/>
          <w:b/>
          <w:bCs/>
          <w:sz w:val="22"/>
          <w:szCs w:val="22"/>
        </w:rPr>
      </w:pPr>
      <w:r w:rsidRPr="0058774E">
        <w:pict w14:anchorId="4ECDD81B">
          <v:shape id="_x0000_i1026" type="#_x0000_t75" style="width:467.4pt;height:87pt">
            <v:imagedata r:id="rId9" o:title=""/>
          </v:shape>
        </w:pict>
      </w:r>
    </w:p>
    <w:p w14:paraId="3A576A23" w14:textId="77777777" w:rsidR="00771E0D" w:rsidRDefault="00200424" w:rsidP="00A63DE6">
      <w:pPr>
        <w:spacing w:line="360" w:lineRule="auto"/>
        <w:rPr>
          <w:rFonts w:ascii="Arial" w:hAnsi="Arial" w:cs="Arial"/>
          <w:sz w:val="22"/>
          <w:szCs w:val="22"/>
        </w:rPr>
      </w:pPr>
      <w:r>
        <w:rPr>
          <w:rFonts w:ascii="Arial" w:hAnsi="Arial" w:cs="Arial"/>
          <w:sz w:val="22"/>
          <w:szCs w:val="22"/>
        </w:rPr>
        <w:t xml:space="preserve">For competitive office buildings </w:t>
      </w:r>
      <w:r w:rsidR="0088083E">
        <w:rPr>
          <w:rFonts w:ascii="Arial" w:hAnsi="Arial" w:cs="Arial"/>
          <w:sz w:val="22"/>
          <w:szCs w:val="22"/>
        </w:rPr>
        <w:t xml:space="preserve">the rent per square foot varies with the high end being $31 for a building built in the 1980’s and the low end being $15 for a building built in the 1990’s but 100% vacant. Oak Brook Tower being one of the newer properties and located </w:t>
      </w:r>
      <w:r w:rsidR="001B1FCE">
        <w:rPr>
          <w:rFonts w:ascii="Arial" w:hAnsi="Arial" w:cs="Arial"/>
          <w:sz w:val="22"/>
          <w:szCs w:val="22"/>
        </w:rPr>
        <w:t>off</w:t>
      </w:r>
      <w:r w:rsidR="0088083E">
        <w:rPr>
          <w:rFonts w:ascii="Arial" w:hAnsi="Arial" w:cs="Arial"/>
          <w:sz w:val="22"/>
          <w:szCs w:val="22"/>
        </w:rPr>
        <w:t xml:space="preserve"> a major highway supports the higher end $30 market rent forecasted. The demographic forecast discussed earlier also supports that there is likely not to be a significant shift in traffic from Oak Brook IL to outside of the 5-mile radius.</w:t>
      </w:r>
      <w:r w:rsidR="00AB65BC" w:rsidRPr="00AB65BC">
        <w:rPr>
          <w:rFonts w:ascii="Arial" w:hAnsi="Arial" w:cs="Arial"/>
          <w:sz w:val="22"/>
          <w:szCs w:val="22"/>
        </w:rPr>
        <w:t xml:space="preserve"> </w:t>
      </w:r>
    </w:p>
    <w:p w14:paraId="468F8C64" w14:textId="77777777" w:rsidR="00200424" w:rsidRPr="00463F1A" w:rsidRDefault="00771E0D" w:rsidP="00A63DE6">
      <w:pPr>
        <w:spacing w:line="360" w:lineRule="auto"/>
        <w:rPr>
          <w:rFonts w:ascii="Arial" w:hAnsi="Arial" w:cs="Arial"/>
          <w:b/>
          <w:bCs/>
          <w:sz w:val="22"/>
          <w:szCs w:val="22"/>
        </w:rPr>
      </w:pPr>
      <w:r w:rsidRPr="000F490C">
        <w:rPr>
          <w:rFonts w:ascii="Arial" w:hAnsi="Arial" w:cs="Arial"/>
          <w:b/>
          <w:bCs/>
          <w:sz w:val="22"/>
          <w:szCs w:val="22"/>
        </w:rPr>
        <w:t>Competitive Retail Buildings</w:t>
      </w:r>
    </w:p>
    <w:p w14:paraId="0C09C3B4" w14:textId="77777777" w:rsidR="00AB65BC" w:rsidRDefault="00463F1A" w:rsidP="00A63DE6">
      <w:pPr>
        <w:spacing w:line="360" w:lineRule="auto"/>
        <w:rPr>
          <w:rFonts w:ascii="Arial" w:hAnsi="Arial" w:cs="Arial"/>
          <w:sz w:val="22"/>
          <w:szCs w:val="22"/>
        </w:rPr>
      </w:pPr>
      <w:r w:rsidRPr="00463F1A">
        <w:pict w14:anchorId="49E87374">
          <v:shape id="_x0000_i1027" type="#_x0000_t75" style="width:493.8pt;height:65.4pt">
            <v:imagedata r:id="rId10" o:title=""/>
          </v:shape>
        </w:pict>
      </w:r>
    </w:p>
    <w:p w14:paraId="6DA58F07" w14:textId="77777777" w:rsidR="009829D9" w:rsidRPr="007A0F02" w:rsidRDefault="006702A4" w:rsidP="00A63DE6">
      <w:pPr>
        <w:spacing w:line="360" w:lineRule="auto"/>
        <w:rPr>
          <w:rFonts w:ascii="Arial" w:hAnsi="Arial" w:cs="Arial"/>
          <w:sz w:val="22"/>
          <w:szCs w:val="22"/>
        </w:rPr>
      </w:pPr>
      <w:r>
        <w:rPr>
          <w:rFonts w:ascii="Arial" w:hAnsi="Arial" w:cs="Arial"/>
          <w:sz w:val="22"/>
          <w:szCs w:val="22"/>
        </w:rPr>
        <w:t xml:space="preserve">There was only </w:t>
      </w:r>
      <w:r w:rsidR="001420B9">
        <w:rPr>
          <w:rFonts w:ascii="Arial" w:hAnsi="Arial" w:cs="Arial"/>
          <w:sz w:val="22"/>
          <w:szCs w:val="22"/>
        </w:rPr>
        <w:t>one</w:t>
      </w:r>
      <w:r>
        <w:rPr>
          <w:rFonts w:ascii="Arial" w:hAnsi="Arial" w:cs="Arial"/>
          <w:sz w:val="22"/>
          <w:szCs w:val="22"/>
        </w:rPr>
        <w:t xml:space="preserve"> office building with retail space within a 5-mile radius. To expand on the competitive set for retail space, the CoStar data included retail building</w:t>
      </w:r>
      <w:r w:rsidR="00006CD5">
        <w:rPr>
          <w:rFonts w:ascii="Arial" w:hAnsi="Arial" w:cs="Arial"/>
          <w:sz w:val="22"/>
          <w:szCs w:val="22"/>
        </w:rPr>
        <w:t>s</w:t>
      </w:r>
      <w:r>
        <w:rPr>
          <w:rFonts w:ascii="Arial" w:hAnsi="Arial" w:cs="Arial"/>
          <w:sz w:val="22"/>
          <w:szCs w:val="22"/>
        </w:rPr>
        <w:t xml:space="preserve">. </w:t>
      </w:r>
      <w:r w:rsidR="001B1FCE">
        <w:rPr>
          <w:rFonts w:ascii="Arial" w:hAnsi="Arial" w:cs="Arial"/>
          <w:sz w:val="22"/>
          <w:szCs w:val="22"/>
        </w:rPr>
        <w:t xml:space="preserve">The mixed-use space for Oak Brook Tower makes it unique within the competitive set. Given high credit tenants have historically leased space within the building and the </w:t>
      </w:r>
      <w:r w:rsidR="00720813">
        <w:rPr>
          <w:rFonts w:ascii="Arial" w:hAnsi="Arial" w:cs="Arial"/>
          <w:sz w:val="22"/>
          <w:szCs w:val="22"/>
        </w:rPr>
        <w:t>population</w:t>
      </w:r>
      <w:r w:rsidR="001B1FCE">
        <w:rPr>
          <w:rFonts w:ascii="Arial" w:hAnsi="Arial" w:cs="Arial"/>
          <w:sz w:val="22"/>
          <w:szCs w:val="22"/>
        </w:rPr>
        <w:t xml:space="preserve"> </w:t>
      </w:r>
      <w:r w:rsidR="001420B9">
        <w:rPr>
          <w:rFonts w:ascii="Arial" w:hAnsi="Arial" w:cs="Arial"/>
          <w:sz w:val="22"/>
          <w:szCs w:val="22"/>
        </w:rPr>
        <w:t>can be</w:t>
      </w:r>
      <w:r w:rsidR="001B1FCE">
        <w:rPr>
          <w:rFonts w:ascii="Arial" w:hAnsi="Arial" w:cs="Arial"/>
          <w:sz w:val="22"/>
          <w:szCs w:val="22"/>
        </w:rPr>
        <w:t xml:space="preserve"> expected to have </w:t>
      </w:r>
      <w:r w:rsidR="00B661DF">
        <w:rPr>
          <w:rFonts w:ascii="Arial" w:hAnsi="Arial" w:cs="Arial"/>
          <w:sz w:val="22"/>
          <w:szCs w:val="22"/>
        </w:rPr>
        <w:t>high-end middle-class</w:t>
      </w:r>
      <w:r w:rsidR="001B1FCE">
        <w:rPr>
          <w:rFonts w:ascii="Arial" w:hAnsi="Arial" w:cs="Arial"/>
          <w:sz w:val="22"/>
          <w:szCs w:val="22"/>
        </w:rPr>
        <w:t xml:space="preserve"> wages</w:t>
      </w:r>
      <w:r w:rsidR="00720813">
        <w:rPr>
          <w:rFonts w:ascii="Arial" w:hAnsi="Arial" w:cs="Arial"/>
          <w:sz w:val="22"/>
          <w:szCs w:val="22"/>
        </w:rPr>
        <w:t xml:space="preserve"> to spend</w:t>
      </w:r>
      <w:r w:rsidR="001B1FCE">
        <w:rPr>
          <w:rFonts w:ascii="Arial" w:hAnsi="Arial" w:cs="Arial"/>
          <w:sz w:val="22"/>
          <w:szCs w:val="22"/>
        </w:rPr>
        <w:t xml:space="preserve">, the retail lease is a prime space for prospective tenants supporting the excellent rent of $60. </w:t>
      </w:r>
    </w:p>
    <w:p w14:paraId="036CFA0E" w14:textId="77777777" w:rsidR="007321B2" w:rsidRPr="007A0F02" w:rsidRDefault="00B82CD9" w:rsidP="007A0F02">
      <w:pPr>
        <w:spacing w:line="360" w:lineRule="auto"/>
        <w:rPr>
          <w:rFonts w:ascii="Arial" w:hAnsi="Arial" w:cs="Arial"/>
          <w:b/>
          <w:bCs/>
          <w:sz w:val="22"/>
          <w:szCs w:val="22"/>
        </w:rPr>
      </w:pPr>
      <w:r w:rsidRPr="007A0F02">
        <w:rPr>
          <w:rFonts w:ascii="Arial" w:hAnsi="Arial" w:cs="Arial"/>
          <w:b/>
          <w:bCs/>
          <w:sz w:val="22"/>
          <w:szCs w:val="22"/>
        </w:rPr>
        <w:t xml:space="preserve">Site/Building Analysis including deferred maintenance where applicable </w:t>
      </w:r>
    </w:p>
    <w:p w14:paraId="06C19DF7" w14:textId="77777777" w:rsidR="00B82CD9" w:rsidRPr="007A0F02" w:rsidRDefault="007321B2" w:rsidP="007A0F02">
      <w:pPr>
        <w:spacing w:line="360" w:lineRule="auto"/>
        <w:rPr>
          <w:rFonts w:ascii="Arial" w:hAnsi="Arial" w:cs="Arial"/>
          <w:sz w:val="22"/>
          <w:szCs w:val="22"/>
          <w:highlight w:val="green"/>
        </w:rPr>
      </w:pPr>
      <w:r w:rsidRPr="007A0F02">
        <w:rPr>
          <w:rFonts w:ascii="Arial" w:hAnsi="Arial" w:cs="Arial"/>
          <w:sz w:val="22"/>
          <w:szCs w:val="22"/>
        </w:rPr>
        <w:t>A site/building analysis was not required for this</w:t>
      </w:r>
      <w:r w:rsidR="00E070AB" w:rsidRPr="007A0F02">
        <w:rPr>
          <w:rFonts w:ascii="Arial" w:hAnsi="Arial" w:cs="Arial"/>
          <w:sz w:val="22"/>
          <w:szCs w:val="22"/>
        </w:rPr>
        <w:t xml:space="preserve"> investment</w:t>
      </w:r>
      <w:r w:rsidRPr="007A0F02">
        <w:rPr>
          <w:rFonts w:ascii="Arial" w:hAnsi="Arial" w:cs="Arial"/>
          <w:sz w:val="22"/>
          <w:szCs w:val="22"/>
        </w:rPr>
        <w:t xml:space="preserve"> </w:t>
      </w:r>
      <w:r w:rsidR="003E27E3" w:rsidRPr="007A0F02">
        <w:rPr>
          <w:rFonts w:ascii="Arial" w:hAnsi="Arial" w:cs="Arial"/>
          <w:sz w:val="22"/>
          <w:szCs w:val="22"/>
        </w:rPr>
        <w:t>memo</w:t>
      </w:r>
      <w:r w:rsidRPr="007A0F02">
        <w:rPr>
          <w:rFonts w:ascii="Arial" w:hAnsi="Arial" w:cs="Arial"/>
          <w:sz w:val="22"/>
          <w:szCs w:val="22"/>
        </w:rPr>
        <w:t>.</w:t>
      </w:r>
      <w:r w:rsidR="000569C4" w:rsidRPr="007A0F02">
        <w:rPr>
          <w:rFonts w:ascii="Arial" w:hAnsi="Arial" w:cs="Arial"/>
          <w:sz w:val="22"/>
          <w:szCs w:val="22"/>
          <w:highlight w:val="green"/>
          <w:u w:val="single"/>
        </w:rPr>
        <w:br/>
      </w:r>
    </w:p>
    <w:p w14:paraId="4CD5CD05" w14:textId="77777777" w:rsidR="00B82CD9" w:rsidRPr="007A0F02" w:rsidRDefault="00B82CD9" w:rsidP="007A0F02">
      <w:pPr>
        <w:spacing w:line="360" w:lineRule="auto"/>
        <w:rPr>
          <w:rFonts w:ascii="Arial" w:hAnsi="Arial" w:cs="Arial"/>
          <w:sz w:val="22"/>
          <w:szCs w:val="22"/>
        </w:rPr>
      </w:pPr>
      <w:r w:rsidRPr="007A0F02">
        <w:rPr>
          <w:rFonts w:ascii="Arial" w:hAnsi="Arial" w:cs="Arial"/>
          <w:sz w:val="22"/>
          <w:szCs w:val="22"/>
        </w:rPr>
        <w:t>FINANCIAL ANALYSIS</w:t>
      </w:r>
    </w:p>
    <w:p w14:paraId="41270CD0" w14:textId="77777777" w:rsidR="005409FB" w:rsidRPr="007A0F02" w:rsidRDefault="00F57802" w:rsidP="007A0F02">
      <w:pPr>
        <w:spacing w:line="360" w:lineRule="auto"/>
        <w:rPr>
          <w:rFonts w:ascii="Arial" w:hAnsi="Arial" w:cs="Arial"/>
          <w:b/>
          <w:bCs/>
          <w:sz w:val="22"/>
          <w:szCs w:val="22"/>
        </w:rPr>
      </w:pPr>
      <w:r w:rsidRPr="007A0F02">
        <w:rPr>
          <w:rFonts w:ascii="Arial" w:hAnsi="Arial" w:cs="Arial"/>
          <w:b/>
          <w:bCs/>
          <w:sz w:val="22"/>
          <w:szCs w:val="22"/>
        </w:rPr>
        <w:t>Assumptions</w:t>
      </w:r>
    </w:p>
    <w:p w14:paraId="122352CB" w14:textId="77777777" w:rsidR="00FE0820" w:rsidRPr="007A0F02" w:rsidRDefault="00FE0820" w:rsidP="007A0F02">
      <w:pPr>
        <w:spacing w:line="360" w:lineRule="auto"/>
        <w:rPr>
          <w:rFonts w:ascii="Arial" w:hAnsi="Arial" w:cs="Arial"/>
          <w:sz w:val="22"/>
          <w:szCs w:val="22"/>
        </w:rPr>
      </w:pPr>
      <w:r w:rsidRPr="007A0F02">
        <w:rPr>
          <w:rFonts w:ascii="Arial" w:hAnsi="Arial" w:cs="Arial"/>
          <w:sz w:val="22"/>
          <w:szCs w:val="22"/>
        </w:rPr>
        <w:lastRenderedPageBreak/>
        <w:t>It is assumed that the holding period for the investment would be for 10 years. Expenses and the market rate will both increase by the same 3% annually. A vacancy rate of 3% of total tenant revenue will be used.</w:t>
      </w:r>
    </w:p>
    <w:p w14:paraId="702BF74E" w14:textId="77777777" w:rsidR="00653B3D" w:rsidRPr="007A0F02" w:rsidRDefault="001464A9" w:rsidP="007A0F02">
      <w:pPr>
        <w:spacing w:line="360" w:lineRule="auto"/>
        <w:rPr>
          <w:rFonts w:ascii="Arial" w:hAnsi="Arial" w:cs="Arial"/>
          <w:sz w:val="22"/>
          <w:szCs w:val="22"/>
        </w:rPr>
      </w:pPr>
      <w:r w:rsidRPr="007A0F02">
        <w:rPr>
          <w:rFonts w:ascii="Arial" w:hAnsi="Arial" w:cs="Arial"/>
          <w:sz w:val="22"/>
          <w:szCs w:val="22"/>
        </w:rPr>
        <w:t xml:space="preserve">Monthly rents in the best-case and worst-case scenarios represent a 10% increase and 20% decrease (respectively) versus the expected probable case rents. Additionally, the scenarios reflect that both vacancy rates and expenses are not expected to increase more than 3%. </w:t>
      </w:r>
    </w:p>
    <w:p w14:paraId="61BB6910" w14:textId="77777777" w:rsidR="00CC2720" w:rsidRPr="00F119E7" w:rsidRDefault="00F119E7" w:rsidP="007A0F02">
      <w:pPr>
        <w:spacing w:line="360" w:lineRule="auto"/>
        <w:rPr>
          <w:rFonts w:ascii="Arial" w:hAnsi="Arial" w:cs="Arial"/>
          <w:b/>
          <w:bCs/>
          <w:sz w:val="22"/>
          <w:szCs w:val="22"/>
        </w:rPr>
      </w:pPr>
      <w:r w:rsidRPr="00F119E7">
        <w:rPr>
          <w:rFonts w:ascii="Arial" w:hAnsi="Arial" w:cs="Arial"/>
          <w:b/>
          <w:bCs/>
          <w:sz w:val="22"/>
          <w:szCs w:val="22"/>
        </w:rPr>
        <w:t>Proposed Financing</w:t>
      </w:r>
    </w:p>
    <w:p w14:paraId="6DBA8338" w14:textId="77777777" w:rsidR="006A2743" w:rsidRPr="007A0F02" w:rsidRDefault="00DC522C" w:rsidP="007A0F02">
      <w:pPr>
        <w:spacing w:line="360" w:lineRule="auto"/>
        <w:rPr>
          <w:rFonts w:ascii="Arial" w:hAnsi="Arial" w:cs="Arial"/>
          <w:sz w:val="22"/>
          <w:szCs w:val="22"/>
        </w:rPr>
      </w:pPr>
      <w:r w:rsidRPr="007A0F02">
        <w:rPr>
          <w:rFonts w:ascii="Arial" w:hAnsi="Arial" w:cs="Arial"/>
          <w:sz w:val="22"/>
          <w:szCs w:val="22"/>
        </w:rPr>
        <w:t>No debt financing will be used to purchase Oak Brook Tower</w:t>
      </w:r>
      <w:r w:rsidR="004715ED" w:rsidRPr="007A0F02">
        <w:rPr>
          <w:rFonts w:ascii="Arial" w:hAnsi="Arial" w:cs="Arial"/>
          <w:sz w:val="22"/>
          <w:szCs w:val="22"/>
        </w:rPr>
        <w:t xml:space="preserve">, only simple </w:t>
      </w:r>
      <w:r w:rsidR="00E10715" w:rsidRPr="007A0F02">
        <w:rPr>
          <w:rFonts w:ascii="Arial" w:hAnsi="Arial" w:cs="Arial"/>
          <w:sz w:val="22"/>
          <w:szCs w:val="22"/>
        </w:rPr>
        <w:t>equity</w:t>
      </w:r>
      <w:r w:rsidR="004715ED" w:rsidRPr="007A0F02">
        <w:rPr>
          <w:rFonts w:ascii="Arial" w:hAnsi="Arial" w:cs="Arial"/>
          <w:sz w:val="22"/>
          <w:szCs w:val="22"/>
        </w:rPr>
        <w:t xml:space="preserve">. </w:t>
      </w:r>
    </w:p>
    <w:p w14:paraId="2748F794" w14:textId="77777777" w:rsidR="003844F6" w:rsidRPr="007A0F02" w:rsidRDefault="005F0F44" w:rsidP="007A0F02">
      <w:pPr>
        <w:spacing w:line="360" w:lineRule="auto"/>
        <w:rPr>
          <w:rFonts w:ascii="Arial" w:hAnsi="Arial" w:cs="Arial"/>
          <w:sz w:val="22"/>
          <w:szCs w:val="22"/>
        </w:rPr>
      </w:pPr>
      <w:r w:rsidRPr="007A0F02">
        <w:rPr>
          <w:rFonts w:ascii="Arial" w:hAnsi="Arial" w:cs="Arial"/>
          <w:sz w:val="22"/>
          <w:szCs w:val="22"/>
        </w:rPr>
        <w:pict w14:anchorId="75A1F557">
          <v:shape id="_x0000_i1028" type="#_x0000_t75" style="width:394.8pt;height:2in">
            <v:imagedata r:id="rId11" o:title=""/>
          </v:shape>
        </w:pict>
      </w:r>
    </w:p>
    <w:p w14:paraId="354EA289" w14:textId="77777777" w:rsidR="00B82CD9" w:rsidRPr="007A0F02" w:rsidRDefault="003161F3" w:rsidP="007A0F02">
      <w:pPr>
        <w:tabs>
          <w:tab w:val="left" w:pos="2790"/>
        </w:tabs>
        <w:spacing w:line="360" w:lineRule="auto"/>
        <w:rPr>
          <w:rFonts w:ascii="Arial" w:hAnsi="Arial" w:cs="Arial"/>
          <w:b/>
          <w:bCs/>
          <w:sz w:val="22"/>
          <w:szCs w:val="22"/>
        </w:rPr>
      </w:pPr>
      <w:r w:rsidRPr="007A0F02">
        <w:rPr>
          <w:rFonts w:ascii="Arial" w:hAnsi="Arial" w:cs="Arial"/>
          <w:b/>
          <w:bCs/>
          <w:sz w:val="22"/>
          <w:szCs w:val="22"/>
        </w:rPr>
        <w:t>Best</w:t>
      </w:r>
      <w:r w:rsidR="00B82CD9" w:rsidRPr="007A0F02">
        <w:rPr>
          <w:rFonts w:ascii="Arial" w:hAnsi="Arial" w:cs="Arial"/>
          <w:b/>
          <w:bCs/>
          <w:sz w:val="22"/>
          <w:szCs w:val="22"/>
        </w:rPr>
        <w:t xml:space="preserve"> Case Analysis</w:t>
      </w:r>
    </w:p>
    <w:p w14:paraId="24BE3D55" w14:textId="77777777" w:rsidR="00BA6F39" w:rsidRPr="007A0F02" w:rsidRDefault="00D52B1C" w:rsidP="007A0F02">
      <w:pPr>
        <w:tabs>
          <w:tab w:val="left" w:pos="2790"/>
        </w:tabs>
        <w:spacing w:line="360" w:lineRule="auto"/>
        <w:rPr>
          <w:rFonts w:ascii="Arial" w:hAnsi="Arial" w:cs="Arial"/>
          <w:sz w:val="22"/>
          <w:szCs w:val="22"/>
        </w:rPr>
      </w:pPr>
      <w:r w:rsidRPr="007A0F02">
        <w:rPr>
          <w:rFonts w:ascii="Arial" w:hAnsi="Arial" w:cs="Arial"/>
          <w:sz w:val="22"/>
          <w:szCs w:val="22"/>
        </w:rPr>
        <w:t>In a best-case scenario, office rents may achieve a $34.00/sf and retail rents can reach $67.00/sf in year one.</w:t>
      </w:r>
      <w:r w:rsidR="00BA6F39" w:rsidRPr="007A0F02">
        <w:rPr>
          <w:rFonts w:ascii="Arial" w:hAnsi="Arial" w:cs="Arial"/>
          <w:sz w:val="22"/>
          <w:szCs w:val="22"/>
        </w:rPr>
        <w:t xml:space="preserve"> </w:t>
      </w:r>
      <w:r w:rsidR="002641DA" w:rsidRPr="007A0F02">
        <w:rPr>
          <w:rFonts w:ascii="Arial" w:hAnsi="Arial" w:cs="Arial"/>
          <w:sz w:val="22"/>
          <w:szCs w:val="22"/>
        </w:rPr>
        <w:t>Office rents would still be expected to grow by 6% in 2022, 5</w:t>
      </w:r>
      <w:r w:rsidR="004F7997">
        <w:rPr>
          <w:rFonts w:ascii="Arial" w:hAnsi="Arial" w:cs="Arial"/>
          <w:sz w:val="22"/>
          <w:szCs w:val="22"/>
        </w:rPr>
        <w:t>%</w:t>
      </w:r>
      <w:r w:rsidR="002641DA" w:rsidRPr="007A0F02">
        <w:rPr>
          <w:rFonts w:ascii="Arial" w:hAnsi="Arial" w:cs="Arial"/>
          <w:sz w:val="22"/>
          <w:szCs w:val="22"/>
        </w:rPr>
        <w:t xml:space="preserve"> in 2023, 4% in 2024 and 3% thereafter.</w:t>
      </w:r>
      <w:r w:rsidR="00BA6F39" w:rsidRPr="007A0F02">
        <w:rPr>
          <w:rFonts w:ascii="Arial" w:hAnsi="Arial" w:cs="Arial"/>
          <w:sz w:val="22"/>
          <w:szCs w:val="22"/>
        </w:rPr>
        <w:t xml:space="preserve"> </w:t>
      </w:r>
      <w:r w:rsidR="002641DA" w:rsidRPr="007A0F02">
        <w:rPr>
          <w:rFonts w:ascii="Arial" w:hAnsi="Arial" w:cs="Arial"/>
          <w:sz w:val="22"/>
          <w:szCs w:val="22"/>
        </w:rPr>
        <w:t>Retail rents are also expected to maintain it’s growth forecast of 3% after 2021.</w:t>
      </w:r>
    </w:p>
    <w:p w14:paraId="3143BE5F" w14:textId="77777777" w:rsidR="00B82CD9" w:rsidRPr="007A0F02" w:rsidRDefault="00B82CD9" w:rsidP="007A0F02">
      <w:pPr>
        <w:spacing w:line="360" w:lineRule="auto"/>
        <w:rPr>
          <w:rFonts w:ascii="Arial" w:hAnsi="Arial" w:cs="Arial"/>
          <w:b/>
          <w:bCs/>
          <w:sz w:val="22"/>
          <w:szCs w:val="22"/>
        </w:rPr>
      </w:pPr>
      <w:r w:rsidRPr="007A0F02">
        <w:rPr>
          <w:rFonts w:ascii="Arial" w:hAnsi="Arial" w:cs="Arial"/>
          <w:b/>
          <w:bCs/>
          <w:sz w:val="22"/>
          <w:szCs w:val="22"/>
        </w:rPr>
        <w:t>Worst Case Analysis</w:t>
      </w:r>
    </w:p>
    <w:p w14:paraId="0EEB09D9" w14:textId="77777777" w:rsidR="00F32286" w:rsidRPr="007A0F02" w:rsidRDefault="0013655F" w:rsidP="007A0F02">
      <w:pPr>
        <w:spacing w:line="360" w:lineRule="auto"/>
        <w:rPr>
          <w:rFonts w:ascii="Arial" w:hAnsi="Arial" w:cs="Arial"/>
          <w:sz w:val="22"/>
          <w:szCs w:val="22"/>
        </w:rPr>
      </w:pPr>
      <w:r w:rsidRPr="007A0F02">
        <w:rPr>
          <w:rFonts w:ascii="Arial" w:hAnsi="Arial" w:cs="Arial"/>
          <w:sz w:val="22"/>
          <w:szCs w:val="22"/>
        </w:rPr>
        <w:t xml:space="preserve">In a worst-case scenario, office rents can drop to $23.00/sf and retail rents can drop to $47.00 in year one. The growth rates are expected to remain the same. </w:t>
      </w:r>
    </w:p>
    <w:p w14:paraId="69E57A4F" w14:textId="77777777" w:rsidR="007E4C46" w:rsidRPr="0020685E" w:rsidRDefault="00411D55" w:rsidP="007A0F02">
      <w:pPr>
        <w:spacing w:line="360" w:lineRule="auto"/>
        <w:rPr>
          <w:rFonts w:ascii="Arial" w:hAnsi="Arial" w:cs="Arial"/>
          <w:b/>
          <w:bCs/>
          <w:sz w:val="22"/>
          <w:szCs w:val="22"/>
        </w:rPr>
      </w:pPr>
      <w:r w:rsidRPr="0020685E">
        <w:rPr>
          <w:rFonts w:ascii="Arial" w:hAnsi="Arial" w:cs="Arial"/>
          <w:b/>
          <w:bCs/>
          <w:sz w:val="22"/>
          <w:szCs w:val="22"/>
        </w:rPr>
        <w:t>Probable</w:t>
      </w:r>
      <w:r w:rsidR="00B82CD9" w:rsidRPr="0020685E">
        <w:rPr>
          <w:rFonts w:ascii="Arial" w:hAnsi="Arial" w:cs="Arial"/>
          <w:b/>
          <w:bCs/>
          <w:sz w:val="22"/>
          <w:szCs w:val="22"/>
        </w:rPr>
        <w:t xml:space="preserve"> Case Analysis</w:t>
      </w:r>
    </w:p>
    <w:p w14:paraId="2392168C" w14:textId="77777777" w:rsidR="00653B3D" w:rsidRPr="00653B3D" w:rsidRDefault="00653B3D" w:rsidP="007A0F02">
      <w:pPr>
        <w:spacing w:line="360" w:lineRule="auto"/>
        <w:rPr>
          <w:rFonts w:ascii="Arial" w:hAnsi="Arial" w:cs="Arial"/>
          <w:sz w:val="22"/>
          <w:szCs w:val="22"/>
        </w:rPr>
      </w:pPr>
      <w:r w:rsidRPr="00653B3D">
        <w:rPr>
          <w:rFonts w:ascii="Arial" w:hAnsi="Arial" w:cs="Arial"/>
          <w:sz w:val="22"/>
          <w:szCs w:val="22"/>
        </w:rPr>
        <w:t>In the most probable-case scenario</w:t>
      </w:r>
      <w:r w:rsidR="002A5CB0">
        <w:rPr>
          <w:rFonts w:ascii="Arial" w:hAnsi="Arial" w:cs="Arial"/>
          <w:sz w:val="22"/>
          <w:szCs w:val="22"/>
        </w:rPr>
        <w:t xml:space="preserve"> for year one</w:t>
      </w:r>
      <w:r>
        <w:rPr>
          <w:rFonts w:ascii="Arial" w:hAnsi="Arial" w:cs="Arial"/>
          <w:sz w:val="22"/>
          <w:szCs w:val="22"/>
        </w:rPr>
        <w:t>, office rents are the same as expected at $30.00/sf and $60.00/sf for re</w:t>
      </w:r>
      <w:r w:rsidR="002A5CB0">
        <w:rPr>
          <w:rFonts w:ascii="Arial" w:hAnsi="Arial" w:cs="Arial"/>
          <w:sz w:val="22"/>
          <w:szCs w:val="22"/>
        </w:rPr>
        <w:t>tail.</w:t>
      </w:r>
    </w:p>
    <w:p w14:paraId="3677B747" w14:textId="77777777" w:rsidR="00503F04" w:rsidRPr="007A0F02" w:rsidRDefault="007E4C46" w:rsidP="007A0F02">
      <w:pPr>
        <w:spacing w:line="360" w:lineRule="auto"/>
        <w:rPr>
          <w:rFonts w:ascii="Arial" w:hAnsi="Arial" w:cs="Arial"/>
          <w:sz w:val="22"/>
          <w:szCs w:val="22"/>
        </w:rPr>
      </w:pPr>
      <w:r w:rsidRPr="007A0F02">
        <w:rPr>
          <w:rFonts w:ascii="Arial" w:hAnsi="Arial" w:cs="Arial"/>
          <w:b/>
          <w:bCs/>
          <w:sz w:val="22"/>
          <w:szCs w:val="22"/>
        </w:rPr>
        <w:t>Partitioned IRR</w:t>
      </w:r>
    </w:p>
    <w:p w14:paraId="29BEDE09" w14:textId="77777777" w:rsidR="00BF1321" w:rsidRPr="007A0F02" w:rsidRDefault="007A2ADB" w:rsidP="007A0F02">
      <w:pPr>
        <w:spacing w:line="360" w:lineRule="auto"/>
        <w:rPr>
          <w:rFonts w:ascii="Arial" w:hAnsi="Arial" w:cs="Arial"/>
          <w:sz w:val="22"/>
          <w:szCs w:val="22"/>
        </w:rPr>
      </w:pPr>
      <w:r w:rsidRPr="007A0F02">
        <w:rPr>
          <w:rFonts w:ascii="Arial" w:hAnsi="Arial" w:cs="Arial"/>
          <w:sz w:val="22"/>
          <w:szCs w:val="22"/>
        </w:rPr>
        <w:t xml:space="preserve">The partitioned IRR is used to quantify how much of the total potential return comes from regular operations of the property versus the sale price. </w:t>
      </w:r>
    </w:p>
    <w:p w14:paraId="1A58BE70" w14:textId="77777777" w:rsidR="00BF1321" w:rsidRPr="007A0F02" w:rsidRDefault="00BF1321" w:rsidP="007A0F02">
      <w:pPr>
        <w:spacing w:line="360" w:lineRule="auto"/>
        <w:rPr>
          <w:rFonts w:ascii="Arial" w:hAnsi="Arial" w:cs="Arial"/>
          <w:sz w:val="22"/>
          <w:szCs w:val="22"/>
        </w:rPr>
      </w:pPr>
      <w:r w:rsidRPr="007A0F02">
        <w:rPr>
          <w:rFonts w:ascii="Arial" w:hAnsi="Arial" w:cs="Arial"/>
          <w:sz w:val="22"/>
          <w:szCs w:val="22"/>
        </w:rPr>
        <w:t>With a forecasted total NOI of $27,626,616 and forecasted sale price of $32,122,603, the total percentage of cash flow available for distribution from operating income is 43.08% and 56.92% from the sale of the property.</w:t>
      </w:r>
    </w:p>
    <w:p w14:paraId="598E86E2" w14:textId="77777777" w:rsidR="00437296" w:rsidRPr="007A0F02" w:rsidRDefault="00DB6B61" w:rsidP="007A0F02">
      <w:pPr>
        <w:spacing w:line="360" w:lineRule="auto"/>
        <w:rPr>
          <w:rFonts w:ascii="Arial" w:hAnsi="Arial" w:cs="Arial"/>
          <w:sz w:val="22"/>
          <w:szCs w:val="22"/>
        </w:rPr>
      </w:pPr>
      <w:r w:rsidRPr="007A0F02">
        <w:rPr>
          <w:rFonts w:ascii="Arial" w:hAnsi="Arial" w:cs="Arial"/>
          <w:sz w:val="22"/>
          <w:szCs w:val="22"/>
        </w:rPr>
        <w:t xml:space="preserve">At a 7% discount rate </w:t>
      </w:r>
      <w:r w:rsidR="00653B3D" w:rsidRPr="007A0F02">
        <w:rPr>
          <w:rFonts w:ascii="Arial" w:hAnsi="Arial" w:cs="Arial"/>
          <w:sz w:val="22"/>
          <w:szCs w:val="22"/>
        </w:rPr>
        <w:t>most of</w:t>
      </w:r>
      <w:r w:rsidRPr="007A0F02">
        <w:rPr>
          <w:rFonts w:ascii="Arial" w:hAnsi="Arial" w:cs="Arial"/>
          <w:sz w:val="22"/>
          <w:szCs w:val="22"/>
        </w:rPr>
        <w:t xml:space="preserve"> the total potential return is coming from the sale of the property. Generally, a greater percentage of distribution attributable to the assumed sale price equates to </w:t>
      </w:r>
      <w:r w:rsidRPr="007A0F02">
        <w:rPr>
          <w:rFonts w:ascii="Arial" w:hAnsi="Arial" w:cs="Arial"/>
          <w:sz w:val="22"/>
          <w:szCs w:val="22"/>
        </w:rPr>
        <w:lastRenderedPageBreak/>
        <w:t xml:space="preserve">a greater risk of not achieving the projected returns due to the unpredictability of future sale prices. In the case of Oak Brook Tower, the distribution difference is small. A small distribution coupled with the prime location and prestigious history of hosting high credit clients means the </w:t>
      </w:r>
      <w:r w:rsidR="00472182" w:rsidRPr="007A0F02">
        <w:rPr>
          <w:rFonts w:ascii="Arial" w:hAnsi="Arial" w:cs="Arial"/>
          <w:sz w:val="22"/>
          <w:szCs w:val="22"/>
        </w:rPr>
        <w:t xml:space="preserve">targeted </w:t>
      </w:r>
      <w:r w:rsidRPr="007A0F02">
        <w:rPr>
          <w:rFonts w:ascii="Arial" w:hAnsi="Arial" w:cs="Arial"/>
          <w:sz w:val="22"/>
          <w:szCs w:val="22"/>
        </w:rPr>
        <w:t xml:space="preserve">investment returns are unlikely to deviate in 10-years. </w:t>
      </w:r>
      <w:r w:rsidR="00437296" w:rsidRPr="007A0F02">
        <w:rPr>
          <w:rFonts w:ascii="Arial" w:hAnsi="Arial" w:cs="Arial"/>
          <w:sz w:val="22"/>
          <w:szCs w:val="22"/>
        </w:rPr>
        <w:br/>
      </w:r>
    </w:p>
    <w:p w14:paraId="4BD96EC8" w14:textId="77777777" w:rsidR="0032006A" w:rsidRDefault="00CA7AA8" w:rsidP="00685954">
      <w:pPr>
        <w:spacing w:line="360" w:lineRule="auto"/>
        <w:rPr>
          <w:rFonts w:ascii="Arial" w:hAnsi="Arial" w:cs="Arial"/>
          <w:sz w:val="22"/>
          <w:szCs w:val="22"/>
        </w:rPr>
      </w:pPr>
      <w:r w:rsidRPr="00B36E7F">
        <w:rPr>
          <w:rFonts w:ascii="Arial" w:hAnsi="Arial" w:cs="Arial"/>
          <w:sz w:val="22"/>
          <w:szCs w:val="22"/>
        </w:rPr>
        <w:t>RECOMMEN</w:t>
      </w:r>
      <w:r w:rsidR="007B40B9" w:rsidRPr="00B36E7F">
        <w:rPr>
          <w:rFonts w:ascii="Arial" w:hAnsi="Arial" w:cs="Arial"/>
          <w:sz w:val="22"/>
          <w:szCs w:val="22"/>
        </w:rPr>
        <w:t>DATIONS</w:t>
      </w:r>
      <w:r w:rsidR="0032006A">
        <w:rPr>
          <w:rFonts w:ascii="Arial" w:hAnsi="Arial" w:cs="Arial"/>
          <w:sz w:val="22"/>
          <w:szCs w:val="22"/>
        </w:rPr>
        <w:br/>
        <w:t>Based on the market data available on CoStar, the demographic data from STDB and the analysis conducted using ARGUS, the recommendations for taking and asking prices are as follows:</w:t>
      </w:r>
    </w:p>
    <w:p w14:paraId="6F7BD0F6" w14:textId="77777777" w:rsidR="00B82CD9" w:rsidRPr="007A0F02" w:rsidRDefault="00B36E7F" w:rsidP="00685954">
      <w:pPr>
        <w:spacing w:line="360" w:lineRule="auto"/>
        <w:rPr>
          <w:rFonts w:ascii="Arial" w:hAnsi="Arial" w:cs="Arial"/>
          <w:sz w:val="22"/>
          <w:szCs w:val="22"/>
        </w:rPr>
      </w:pPr>
      <w:r w:rsidRPr="00B36E7F">
        <w:pict w14:anchorId="614E0064">
          <v:shape id="_x0000_i1029" type="#_x0000_t75" style="width:468pt;height:100.8pt">
            <v:imagedata r:id="rId12" o:title=""/>
          </v:shape>
        </w:pict>
      </w:r>
    </w:p>
    <w:p w14:paraId="7C0C5331" w14:textId="77777777" w:rsidR="00B067CA" w:rsidRPr="00B067CA" w:rsidRDefault="00B067CA" w:rsidP="00B36E7F">
      <w:pPr>
        <w:spacing w:line="360" w:lineRule="auto"/>
        <w:rPr>
          <w:rFonts w:ascii="Arial" w:hAnsi="Arial" w:cs="Arial"/>
          <w:sz w:val="22"/>
          <w:szCs w:val="22"/>
        </w:rPr>
      </w:pPr>
      <w:r>
        <w:rPr>
          <w:rFonts w:ascii="Arial" w:hAnsi="Arial" w:cs="Arial"/>
          <w:iCs/>
          <w:sz w:val="22"/>
          <w:szCs w:val="22"/>
        </w:rPr>
        <w:t xml:space="preserve">It is recommended that a “fair” purchase price for Oak Brook Tower would be </w:t>
      </w:r>
      <w:r w:rsidRPr="007A0F02">
        <w:rPr>
          <w:rFonts w:ascii="Arial" w:hAnsi="Arial" w:cs="Arial"/>
          <w:sz w:val="22"/>
          <w:szCs w:val="22"/>
        </w:rPr>
        <w:t>$31,553,681</w:t>
      </w:r>
      <w:r w:rsidR="007067EE">
        <w:rPr>
          <w:rFonts w:ascii="Arial" w:hAnsi="Arial" w:cs="Arial"/>
          <w:sz w:val="22"/>
          <w:szCs w:val="22"/>
        </w:rPr>
        <w:t xml:space="preserve"> and a sale price of </w:t>
      </w:r>
      <w:r w:rsidR="007067EE" w:rsidRPr="007A0F02">
        <w:rPr>
          <w:rFonts w:ascii="Arial" w:hAnsi="Arial" w:cs="Arial"/>
          <w:sz w:val="22"/>
          <w:szCs w:val="22"/>
        </w:rPr>
        <w:t>$32,122,603</w:t>
      </w:r>
      <w:r>
        <w:rPr>
          <w:rFonts w:ascii="Arial" w:hAnsi="Arial" w:cs="Arial"/>
          <w:sz w:val="22"/>
          <w:szCs w:val="22"/>
        </w:rPr>
        <w:t xml:space="preserve">. The demographics are forecasted to maintain it’s high earning middle class population providing a strong pool of employees for tenants. The surrounding landmarks also benefit from the high earning and stable population by maintaining the prestigious status the Oak Brook area. Oak Brook Tower is also newer than most of </w:t>
      </w:r>
      <w:r w:rsidR="009C0720">
        <w:rPr>
          <w:rFonts w:ascii="Arial" w:hAnsi="Arial" w:cs="Arial"/>
          <w:sz w:val="22"/>
          <w:szCs w:val="22"/>
        </w:rPr>
        <w:t>its</w:t>
      </w:r>
      <w:r>
        <w:rPr>
          <w:rFonts w:ascii="Arial" w:hAnsi="Arial" w:cs="Arial"/>
          <w:sz w:val="22"/>
          <w:szCs w:val="22"/>
        </w:rPr>
        <w:t xml:space="preserve"> competition and the location supports the higher market rent expected ($30). </w:t>
      </w:r>
      <w:r w:rsidR="00E65769">
        <w:rPr>
          <w:rFonts w:ascii="Arial" w:hAnsi="Arial" w:cs="Arial"/>
          <w:sz w:val="22"/>
          <w:szCs w:val="22"/>
        </w:rPr>
        <w:t xml:space="preserve">Given it has been well maintained over the years, it’s not expected to require excessive repairs and maintenance over the 10-year holding period. The property can provide a stable source of returns as a “core” investment, providing 43% of the forecasted returns from net operating income and 57% net proceeds from the sale. </w:t>
      </w:r>
      <w:r w:rsidR="004C0282">
        <w:rPr>
          <w:rFonts w:ascii="Arial" w:hAnsi="Arial" w:cs="Arial"/>
          <w:sz w:val="22"/>
          <w:szCs w:val="22"/>
        </w:rPr>
        <w:t>The smaller spread allows for a more reliable expected return.</w:t>
      </w:r>
    </w:p>
    <w:p w14:paraId="7FE0794E" w14:textId="77777777" w:rsidR="007A384F" w:rsidRPr="007A0F02" w:rsidRDefault="001F3C3C" w:rsidP="007A0F02">
      <w:pPr>
        <w:spacing w:line="360" w:lineRule="auto"/>
        <w:rPr>
          <w:rFonts w:ascii="Arial" w:hAnsi="Arial" w:cs="Arial"/>
          <w:iCs/>
          <w:noProof/>
          <w:sz w:val="22"/>
          <w:szCs w:val="22"/>
        </w:rPr>
      </w:pPr>
      <w:r w:rsidRPr="007A0F02">
        <w:rPr>
          <w:rFonts w:ascii="Arial" w:hAnsi="Arial" w:cs="Arial"/>
          <w:i/>
          <w:sz w:val="22"/>
          <w:szCs w:val="22"/>
        </w:rPr>
        <w:br w:type="page"/>
      </w:r>
      <w:r w:rsidR="00523A10" w:rsidRPr="007A0F02">
        <w:rPr>
          <w:rFonts w:ascii="Arial" w:hAnsi="Arial" w:cs="Arial"/>
          <w:iCs/>
          <w:sz w:val="22"/>
          <w:szCs w:val="22"/>
        </w:rPr>
        <w:lastRenderedPageBreak/>
        <w:t xml:space="preserve">EXHIBITS </w:t>
      </w:r>
    </w:p>
    <w:p w14:paraId="619AA4F0" w14:textId="77777777" w:rsidR="00523A10" w:rsidRPr="007A0F02" w:rsidRDefault="004715ED" w:rsidP="007A0F02">
      <w:pPr>
        <w:spacing w:line="360" w:lineRule="auto"/>
        <w:ind w:left="360"/>
        <w:rPr>
          <w:rFonts w:ascii="Arial" w:hAnsi="Arial" w:cs="Arial"/>
          <w:iCs/>
          <w:noProof/>
          <w:sz w:val="22"/>
          <w:szCs w:val="22"/>
        </w:rPr>
      </w:pPr>
      <w:r w:rsidRPr="007A0F02">
        <w:rPr>
          <w:rFonts w:ascii="Arial" w:hAnsi="Arial" w:cs="Arial"/>
          <w:iCs/>
          <w:noProof/>
          <w:sz w:val="22"/>
          <w:szCs w:val="22"/>
        </w:rPr>
        <w:t xml:space="preserve">STDB </w:t>
      </w:r>
      <w:r w:rsidR="002F2A86">
        <w:rPr>
          <w:rFonts w:ascii="Arial" w:hAnsi="Arial" w:cs="Arial"/>
          <w:iCs/>
          <w:noProof/>
          <w:sz w:val="22"/>
          <w:szCs w:val="22"/>
        </w:rPr>
        <w:t xml:space="preserve">Community Profile Report </w:t>
      </w:r>
    </w:p>
    <w:p w14:paraId="04B671EB" w14:textId="77777777" w:rsidR="00523A10" w:rsidRPr="007A0F02" w:rsidRDefault="004715ED" w:rsidP="007A0F02">
      <w:pPr>
        <w:spacing w:line="360" w:lineRule="auto"/>
        <w:ind w:left="360"/>
        <w:rPr>
          <w:rFonts w:ascii="Arial" w:hAnsi="Arial" w:cs="Arial"/>
          <w:i/>
          <w:noProof/>
          <w:sz w:val="22"/>
          <w:szCs w:val="22"/>
        </w:rPr>
      </w:pPr>
      <w:r w:rsidRPr="007A0F02">
        <w:rPr>
          <w:rFonts w:ascii="Arial" w:hAnsi="Arial" w:cs="Arial"/>
          <w:i/>
          <w:noProof/>
          <w:sz w:val="22"/>
          <w:szCs w:val="22"/>
        </w:rPr>
        <w:pict w14:anchorId="40628138">
          <v:rect id="_x0000_s1027" style="position:absolute;left:0;text-align:left;margin-left:30pt;margin-top:229.95pt;width:418.5pt;height:12.5pt;z-index:2" filled="f" strokecolor="red" strokeweight="1.5pt"/>
        </w:pict>
      </w:r>
      <w:r w:rsidRPr="007A0F02">
        <w:rPr>
          <w:rFonts w:ascii="Arial" w:hAnsi="Arial" w:cs="Arial"/>
          <w:i/>
          <w:noProof/>
          <w:sz w:val="22"/>
          <w:szCs w:val="22"/>
        </w:rPr>
        <w:pict w14:anchorId="1E042959">
          <v:rect id="_x0000_s1026" style="position:absolute;left:0;text-align:left;margin-left:30pt;margin-top:290.45pt;width:418.5pt;height:21.5pt;z-index:1" filled="f" strokecolor="red" strokeweight="1.5pt"/>
        </w:pict>
      </w:r>
      <w:r w:rsidR="00523A10" w:rsidRPr="007A0F02">
        <w:rPr>
          <w:rFonts w:ascii="Arial" w:hAnsi="Arial" w:cs="Arial"/>
          <w:i/>
          <w:noProof/>
          <w:sz w:val="22"/>
          <w:szCs w:val="22"/>
        </w:rPr>
        <w:pict w14:anchorId="0871EADA">
          <v:shape id="Picture 1" o:spid="_x0000_i1030" type="#_x0000_t75" style="width:437.4pt;height:308.4pt;visibility:visible">
            <v:imagedata r:id="rId13" o:title=""/>
          </v:shape>
        </w:pict>
      </w:r>
    </w:p>
    <w:p w14:paraId="663CF8F8" w14:textId="77777777" w:rsidR="007D3B44" w:rsidRPr="007A0F02" w:rsidRDefault="007D3B44" w:rsidP="007A0F02">
      <w:pPr>
        <w:spacing w:line="360" w:lineRule="auto"/>
        <w:ind w:left="360"/>
        <w:rPr>
          <w:rFonts w:ascii="Arial" w:hAnsi="Arial" w:cs="Arial"/>
          <w:i/>
          <w:noProof/>
          <w:sz w:val="22"/>
          <w:szCs w:val="22"/>
        </w:rPr>
      </w:pPr>
    </w:p>
    <w:p w14:paraId="4C282F90" w14:textId="77777777" w:rsidR="007D3B44" w:rsidRPr="007A0F02" w:rsidRDefault="00C455D4" w:rsidP="007A0F02">
      <w:pPr>
        <w:spacing w:line="360" w:lineRule="auto"/>
        <w:ind w:left="360"/>
        <w:rPr>
          <w:rFonts w:ascii="Arial" w:hAnsi="Arial" w:cs="Arial"/>
          <w:iCs/>
          <w:noProof/>
          <w:sz w:val="22"/>
          <w:szCs w:val="22"/>
        </w:rPr>
      </w:pPr>
      <w:r w:rsidRPr="007A0F02">
        <w:rPr>
          <w:rFonts w:ascii="Arial" w:hAnsi="Arial" w:cs="Arial"/>
          <w:i/>
          <w:noProof/>
          <w:sz w:val="22"/>
          <w:szCs w:val="22"/>
        </w:rPr>
        <w:pict w14:anchorId="20B2F34E">
          <v:rect id="_x0000_s1029" style="position:absolute;left:0;text-align:left;margin-left:28pt;margin-top:17.65pt;width:370.5pt;height:9.5pt;z-index:4" filled="f" strokecolor="red" strokeweight="1.5pt"/>
        </w:pict>
      </w:r>
      <w:r w:rsidR="007D3B44" w:rsidRPr="007A0F02">
        <w:rPr>
          <w:rFonts w:ascii="Arial" w:hAnsi="Arial" w:cs="Arial"/>
          <w:iCs/>
          <w:noProof/>
          <w:sz w:val="22"/>
          <w:szCs w:val="22"/>
        </w:rPr>
        <w:t xml:space="preserve">STDB </w:t>
      </w:r>
      <w:r w:rsidR="002F2A86">
        <w:rPr>
          <w:rFonts w:ascii="Arial" w:hAnsi="Arial" w:cs="Arial"/>
          <w:iCs/>
          <w:noProof/>
          <w:sz w:val="22"/>
          <w:szCs w:val="22"/>
        </w:rPr>
        <w:t>1-3-5 Mile Summary Dashboard</w:t>
      </w:r>
    </w:p>
    <w:p w14:paraId="3CB58F9D" w14:textId="77777777" w:rsidR="004715ED" w:rsidRPr="007A0F02" w:rsidRDefault="00C455D4" w:rsidP="007A0F02">
      <w:pPr>
        <w:spacing w:line="360" w:lineRule="auto"/>
        <w:ind w:left="360"/>
        <w:rPr>
          <w:rFonts w:ascii="Arial" w:hAnsi="Arial" w:cs="Arial"/>
          <w:i/>
          <w:noProof/>
          <w:sz w:val="22"/>
          <w:szCs w:val="22"/>
        </w:rPr>
      </w:pPr>
      <w:r w:rsidRPr="007A0F02">
        <w:rPr>
          <w:rFonts w:ascii="Arial" w:hAnsi="Arial" w:cs="Arial"/>
          <w:i/>
          <w:noProof/>
          <w:sz w:val="22"/>
          <w:szCs w:val="22"/>
        </w:rPr>
        <w:pict w14:anchorId="0C2CC51D">
          <v:rect id="_x0000_s1028" style="position:absolute;left:0;text-align:left;margin-left:24.5pt;margin-top:35.65pt;width:370.5pt;height:21.5pt;z-index:3" filled="f" strokecolor="red" strokeweight="1.5pt"/>
        </w:pict>
      </w:r>
      <w:r w:rsidR="007D3B44" w:rsidRPr="007A0F02">
        <w:rPr>
          <w:rFonts w:ascii="Arial" w:hAnsi="Arial" w:cs="Arial"/>
          <w:i/>
          <w:noProof/>
          <w:sz w:val="22"/>
          <w:szCs w:val="22"/>
        </w:rPr>
        <w:pict w14:anchorId="154B5D9A">
          <v:shape id="_x0000_i1031" type="#_x0000_t75" style="width:382.2pt;height:258pt;visibility:visible">
            <v:imagedata r:id="rId14" o:title=""/>
          </v:shape>
        </w:pict>
      </w:r>
    </w:p>
    <w:p w14:paraId="1C534DE2" w14:textId="77777777" w:rsidR="004715ED" w:rsidRPr="007A0F02" w:rsidRDefault="004715ED" w:rsidP="007A0F02">
      <w:pPr>
        <w:spacing w:line="360" w:lineRule="auto"/>
        <w:ind w:left="360"/>
        <w:rPr>
          <w:rFonts w:ascii="Arial" w:hAnsi="Arial" w:cs="Arial"/>
          <w:i/>
          <w:noProof/>
          <w:sz w:val="22"/>
          <w:szCs w:val="22"/>
        </w:rPr>
      </w:pPr>
    </w:p>
    <w:p w14:paraId="42DF9465" w14:textId="77777777" w:rsidR="004715ED" w:rsidRPr="007A0F02" w:rsidRDefault="00E12711" w:rsidP="007A0F02">
      <w:pPr>
        <w:spacing w:line="360" w:lineRule="auto"/>
        <w:ind w:left="360"/>
        <w:rPr>
          <w:rFonts w:ascii="Arial" w:hAnsi="Arial" w:cs="Arial"/>
          <w:iCs/>
          <w:noProof/>
          <w:sz w:val="22"/>
          <w:szCs w:val="22"/>
        </w:rPr>
      </w:pPr>
      <w:r w:rsidRPr="007A0F02">
        <w:rPr>
          <w:rFonts w:ascii="Arial" w:hAnsi="Arial" w:cs="Arial"/>
          <w:iCs/>
          <w:noProof/>
          <w:sz w:val="22"/>
          <w:szCs w:val="22"/>
        </w:rPr>
        <w:lastRenderedPageBreak/>
        <w:t xml:space="preserve">CoStar 1 </w:t>
      </w:r>
    </w:p>
    <w:p w14:paraId="164CB080" w14:textId="77777777" w:rsidR="00E12711" w:rsidRPr="007A0F02" w:rsidRDefault="00CA0E22" w:rsidP="007A0F02">
      <w:pPr>
        <w:spacing w:line="360" w:lineRule="auto"/>
        <w:ind w:left="360"/>
        <w:rPr>
          <w:rFonts w:ascii="Arial" w:hAnsi="Arial" w:cs="Arial"/>
          <w:iCs/>
          <w:noProof/>
          <w:sz w:val="22"/>
          <w:szCs w:val="22"/>
        </w:rPr>
      </w:pPr>
      <w:r w:rsidRPr="007A0F02">
        <w:rPr>
          <w:rFonts w:ascii="Arial" w:hAnsi="Arial" w:cs="Arial"/>
          <w:sz w:val="22"/>
          <w:szCs w:val="22"/>
        </w:rPr>
        <w:pict w14:anchorId="07529D76">
          <v:shape id="_x0000_i1032" type="#_x0000_t75" style="width:468pt;height:139.8pt">
            <v:imagedata r:id="rId15" o:title=""/>
          </v:shape>
        </w:pict>
      </w:r>
    </w:p>
    <w:p w14:paraId="171BCEC2" w14:textId="77777777" w:rsidR="00C10EB7" w:rsidRPr="007A0F02" w:rsidRDefault="00C10EB7" w:rsidP="007A0F02">
      <w:pPr>
        <w:spacing w:line="360" w:lineRule="auto"/>
        <w:rPr>
          <w:rFonts w:ascii="Arial" w:hAnsi="Arial" w:cs="Arial"/>
          <w:i/>
          <w:noProof/>
          <w:sz w:val="22"/>
          <w:szCs w:val="22"/>
        </w:rPr>
      </w:pPr>
    </w:p>
    <w:p w14:paraId="20D79B0E" w14:textId="77777777" w:rsidR="004715ED" w:rsidRPr="007A0F02" w:rsidRDefault="004715ED" w:rsidP="007A0F02">
      <w:pPr>
        <w:spacing w:line="360" w:lineRule="auto"/>
        <w:rPr>
          <w:rFonts w:ascii="Arial" w:hAnsi="Arial" w:cs="Arial"/>
          <w:iCs/>
          <w:noProof/>
          <w:sz w:val="22"/>
          <w:szCs w:val="22"/>
        </w:rPr>
      </w:pPr>
      <w:r w:rsidRPr="007A0F02">
        <w:rPr>
          <w:rFonts w:ascii="Arial" w:hAnsi="Arial" w:cs="Arial"/>
          <w:iCs/>
          <w:noProof/>
          <w:sz w:val="22"/>
          <w:szCs w:val="22"/>
        </w:rPr>
        <w:t xml:space="preserve">ARGUS </w:t>
      </w:r>
      <w:r w:rsidR="0068221C">
        <w:rPr>
          <w:rFonts w:ascii="Arial" w:hAnsi="Arial" w:cs="Arial"/>
          <w:iCs/>
          <w:noProof/>
          <w:sz w:val="22"/>
          <w:szCs w:val="22"/>
        </w:rPr>
        <w:t xml:space="preserve">Cash Flow Summary Report </w:t>
      </w:r>
    </w:p>
    <w:p w14:paraId="0A6432DE" w14:textId="77777777" w:rsidR="004715ED" w:rsidRPr="007A0F02" w:rsidRDefault="004715ED" w:rsidP="007A0F02">
      <w:pPr>
        <w:spacing w:line="360" w:lineRule="auto"/>
        <w:ind w:left="360"/>
        <w:rPr>
          <w:rFonts w:ascii="Arial" w:hAnsi="Arial" w:cs="Arial"/>
          <w:noProof/>
          <w:sz w:val="22"/>
          <w:szCs w:val="22"/>
        </w:rPr>
      </w:pPr>
      <w:r w:rsidRPr="007A0F02">
        <w:rPr>
          <w:rFonts w:ascii="Arial" w:hAnsi="Arial" w:cs="Arial"/>
          <w:noProof/>
          <w:sz w:val="22"/>
          <w:szCs w:val="22"/>
        </w:rPr>
        <w:pict w14:anchorId="076F7A68">
          <v:shape id="_x0000_i1033" type="#_x0000_t75" style="width:468pt;height:359.4pt;visibility:visible">
            <v:imagedata r:id="rId16" o:title=""/>
          </v:shape>
        </w:pict>
      </w:r>
    </w:p>
    <w:p w14:paraId="41002CC4" w14:textId="77777777" w:rsidR="00FE509C" w:rsidRDefault="004715ED" w:rsidP="007A0F02">
      <w:pPr>
        <w:spacing w:line="360" w:lineRule="auto"/>
        <w:ind w:left="360"/>
        <w:rPr>
          <w:rFonts w:ascii="Arial" w:hAnsi="Arial" w:cs="Arial"/>
          <w:noProof/>
          <w:sz w:val="22"/>
          <w:szCs w:val="22"/>
        </w:rPr>
      </w:pPr>
      <w:r w:rsidRPr="007A0F02">
        <w:rPr>
          <w:rFonts w:ascii="Arial" w:hAnsi="Arial" w:cs="Arial"/>
          <w:noProof/>
          <w:sz w:val="22"/>
          <w:szCs w:val="22"/>
        </w:rPr>
        <w:lastRenderedPageBreak/>
        <w:pict w14:anchorId="5AB7A6A5">
          <v:shape id="_x0000_i1034" type="#_x0000_t75" style="width:468pt;height:166.2pt;visibility:visible">
            <v:imagedata r:id="rId17" o:title=""/>
          </v:shape>
        </w:pict>
      </w:r>
    </w:p>
    <w:p w14:paraId="3EC224EF" w14:textId="77777777" w:rsidR="00C10EB7" w:rsidRPr="007A0F02" w:rsidRDefault="00503F04" w:rsidP="007A0F02">
      <w:pPr>
        <w:spacing w:line="360" w:lineRule="auto"/>
        <w:ind w:left="360"/>
        <w:rPr>
          <w:rFonts w:ascii="Arial" w:hAnsi="Arial" w:cs="Arial"/>
          <w:noProof/>
          <w:sz w:val="22"/>
          <w:szCs w:val="22"/>
        </w:rPr>
      </w:pPr>
      <w:r w:rsidRPr="007A0F02">
        <w:rPr>
          <w:rFonts w:ascii="Arial" w:hAnsi="Arial" w:cs="Arial"/>
          <w:noProof/>
          <w:sz w:val="22"/>
          <w:szCs w:val="22"/>
        </w:rPr>
        <w:t xml:space="preserve">ARGUS </w:t>
      </w:r>
      <w:r w:rsidR="0068221C">
        <w:rPr>
          <w:rFonts w:ascii="Arial" w:hAnsi="Arial" w:cs="Arial"/>
          <w:noProof/>
          <w:sz w:val="22"/>
          <w:szCs w:val="22"/>
        </w:rPr>
        <w:t>Property Summary Report</w:t>
      </w:r>
    </w:p>
    <w:p w14:paraId="390FB479" w14:textId="77777777" w:rsidR="004715ED" w:rsidRPr="007A0F02" w:rsidRDefault="001371FD" w:rsidP="007A0F02">
      <w:pPr>
        <w:spacing w:line="360" w:lineRule="auto"/>
        <w:ind w:left="360"/>
        <w:jc w:val="center"/>
        <w:rPr>
          <w:rFonts w:ascii="Arial" w:hAnsi="Arial" w:cs="Arial"/>
          <w:noProof/>
          <w:sz w:val="22"/>
          <w:szCs w:val="22"/>
        </w:rPr>
      </w:pPr>
      <w:r w:rsidRPr="007A0F02">
        <w:rPr>
          <w:rFonts w:ascii="Arial" w:hAnsi="Arial" w:cs="Arial"/>
          <w:noProof/>
          <w:sz w:val="22"/>
          <w:szCs w:val="22"/>
        </w:rPr>
        <w:pict w14:anchorId="5280F0FD">
          <v:shape id="_x0000_i1035" type="#_x0000_t75" style="width:486.6pt;height:264.6pt;visibility:visible">
            <v:imagedata r:id="rId18" o:title=""/>
          </v:shape>
        </w:pict>
      </w:r>
    </w:p>
    <w:p w14:paraId="2A8B6305" w14:textId="77777777" w:rsidR="002A47A8" w:rsidRPr="007A0F02" w:rsidRDefault="002A47A8" w:rsidP="007A0F02">
      <w:pPr>
        <w:spacing w:line="360" w:lineRule="auto"/>
        <w:rPr>
          <w:rFonts w:ascii="Arial" w:hAnsi="Arial" w:cs="Arial"/>
          <w:iCs/>
          <w:sz w:val="22"/>
          <w:szCs w:val="22"/>
        </w:rPr>
      </w:pPr>
    </w:p>
    <w:sectPr w:rsidR="002A47A8" w:rsidRPr="007A0F02" w:rsidSect="009C0720">
      <w:footerReference w:type="default" r:id="rId19"/>
      <w:pgSz w:w="12240" w:h="15840" w:code="1"/>
      <w:pgMar w:top="1152" w:right="1440" w:bottom="1152" w:left="1440" w:header="720" w:footer="720" w:gutter="0"/>
      <w:paperSrc w:first="261" w:other="2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F3C2B" w14:textId="77777777" w:rsidR="009D6488" w:rsidRDefault="009D6488">
      <w:r>
        <w:separator/>
      </w:r>
    </w:p>
  </w:endnote>
  <w:endnote w:type="continuationSeparator" w:id="0">
    <w:p w14:paraId="5033DCC8" w14:textId="77777777" w:rsidR="009D6488" w:rsidRDefault="009D6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FD34F" w14:textId="77777777" w:rsidR="009C0720" w:rsidRDefault="009C0720">
    <w:pPr>
      <w:pStyle w:val="Footer"/>
      <w:jc w:val="right"/>
    </w:pPr>
    <w:r>
      <w:fldChar w:fldCharType="begin"/>
    </w:r>
    <w:r>
      <w:instrText xml:space="preserve"> PAGE   \* MERGEFORMAT </w:instrText>
    </w:r>
    <w:r>
      <w:fldChar w:fldCharType="separate"/>
    </w:r>
    <w:r>
      <w:rPr>
        <w:noProof/>
      </w:rPr>
      <w:t>2</w:t>
    </w:r>
    <w:r>
      <w:rPr>
        <w:noProof/>
      </w:rPr>
      <w:fldChar w:fldCharType="end"/>
    </w:r>
  </w:p>
  <w:p w14:paraId="405A31C6" w14:textId="77777777" w:rsidR="00CB7A22" w:rsidRDefault="00CB7A22" w:rsidP="009C0720">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2A77D" w14:textId="77777777" w:rsidR="009D6488" w:rsidRDefault="009D6488">
      <w:r>
        <w:separator/>
      </w:r>
    </w:p>
  </w:footnote>
  <w:footnote w:type="continuationSeparator" w:id="0">
    <w:p w14:paraId="6E6CCD05" w14:textId="77777777" w:rsidR="009D6488" w:rsidRDefault="009D6488">
      <w:r>
        <w:continuationSeparator/>
      </w:r>
    </w:p>
  </w:footnote>
  <w:footnote w:id="1">
    <w:p w14:paraId="4CD4DB1A" w14:textId="77777777" w:rsidR="00243ABA" w:rsidRDefault="00243ABA">
      <w:pPr>
        <w:pStyle w:val="FootnoteText"/>
        <w:rPr>
          <w:rFonts w:ascii="Arial" w:hAnsi="Arial" w:cs="Arial"/>
          <w:color w:val="4C94D8"/>
          <w:sz w:val="16"/>
          <w:szCs w:val="16"/>
        </w:rPr>
      </w:pPr>
      <w:r>
        <w:rPr>
          <w:rStyle w:val="FootnoteReference"/>
          <w:rFonts w:ascii="Arial" w:hAnsi="Arial" w:cs="Arial"/>
          <w:color w:val="4C94D8"/>
          <w:sz w:val="16"/>
          <w:szCs w:val="16"/>
        </w:rPr>
        <w:footnoteRef/>
      </w:r>
      <w:r>
        <w:rPr>
          <w:rFonts w:ascii="Arial" w:hAnsi="Arial" w:cs="Arial"/>
          <w:color w:val="4C94D8"/>
          <w:sz w:val="16"/>
          <w:szCs w:val="16"/>
        </w:rPr>
        <w:t xml:space="preserve"> </w:t>
      </w:r>
      <w:r>
        <w:rPr>
          <w:rFonts w:ascii="Arial" w:hAnsi="Arial" w:cs="Arial"/>
          <w:i/>
          <w:iCs/>
          <w:color w:val="4C94D8"/>
          <w:sz w:val="16"/>
          <w:szCs w:val="16"/>
        </w:rPr>
        <w:t>Yahoo is part of the Yahoo family of brands</w:t>
      </w:r>
      <w:r>
        <w:rPr>
          <w:rFonts w:ascii="Arial" w:hAnsi="Arial" w:cs="Arial"/>
          <w:color w:val="4C94D8"/>
          <w:sz w:val="16"/>
          <w:szCs w:val="16"/>
        </w:rPr>
        <w:t>. (n.d.). https://finance.yahoo.com/news/much-earn-middle-class-illinois-110000823.html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EF813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DB350D"/>
    <w:multiLevelType w:val="hybridMultilevel"/>
    <w:tmpl w:val="CC741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DA0881"/>
    <w:multiLevelType w:val="singleLevel"/>
    <w:tmpl w:val="BB02DA52"/>
    <w:lvl w:ilvl="0">
      <w:start w:val="1"/>
      <w:numFmt w:val="upperRoman"/>
      <w:lvlText w:val="%1."/>
      <w:lvlJc w:val="left"/>
      <w:pPr>
        <w:tabs>
          <w:tab w:val="num" w:pos="2880"/>
        </w:tabs>
        <w:ind w:left="2880" w:hanging="720"/>
      </w:pPr>
      <w:rPr>
        <w:rFonts w:hint="default"/>
      </w:rPr>
    </w:lvl>
  </w:abstractNum>
  <w:abstractNum w:abstractNumId="3" w15:restartNumberingAfterBreak="0">
    <w:nsid w:val="2B4C439C"/>
    <w:multiLevelType w:val="singleLevel"/>
    <w:tmpl w:val="74E01910"/>
    <w:lvl w:ilvl="0">
      <w:start w:val="1"/>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56AB1BFF"/>
    <w:multiLevelType w:val="hybridMultilevel"/>
    <w:tmpl w:val="DF78C344"/>
    <w:lvl w:ilvl="0" w:tplc="5B3ECD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C4D3A44"/>
    <w:multiLevelType w:val="hybridMultilevel"/>
    <w:tmpl w:val="1D7C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D51BB0"/>
    <w:multiLevelType w:val="singleLevel"/>
    <w:tmpl w:val="A4DE6606"/>
    <w:lvl w:ilvl="0">
      <w:start w:val="1"/>
      <w:numFmt w:val="decimal"/>
      <w:lvlText w:val="%1."/>
      <w:lvlJc w:val="left"/>
      <w:pPr>
        <w:tabs>
          <w:tab w:val="num" w:pos="2160"/>
        </w:tabs>
        <w:ind w:left="2160" w:hanging="720"/>
      </w:pPr>
      <w:rPr>
        <w:rFonts w:hint="default"/>
      </w:rPr>
    </w:lvl>
  </w:abstractNum>
  <w:abstractNum w:abstractNumId="7" w15:restartNumberingAfterBreak="0">
    <w:nsid w:val="78152132"/>
    <w:multiLevelType w:val="singleLevel"/>
    <w:tmpl w:val="74E01910"/>
    <w:lvl w:ilvl="0">
      <w:start w:val="1"/>
      <w:numFmt w:val="bullet"/>
      <w:lvlText w:val="•"/>
      <w:lvlJc w:val="left"/>
      <w:pPr>
        <w:tabs>
          <w:tab w:val="num" w:pos="360"/>
        </w:tabs>
        <w:ind w:left="360" w:hanging="360"/>
      </w:pPr>
      <w:rPr>
        <w:rFonts w:ascii="Times New Roman" w:hAnsi="Times New Roman" w:hint="default"/>
      </w:rPr>
    </w:lvl>
  </w:abstractNum>
  <w:abstractNum w:abstractNumId="8" w15:restartNumberingAfterBreak="0">
    <w:nsid w:val="78E9431A"/>
    <w:multiLevelType w:val="singleLevel"/>
    <w:tmpl w:val="74E01910"/>
    <w:lvl w:ilvl="0">
      <w:start w:val="1"/>
      <w:numFmt w:val="bullet"/>
      <w:lvlText w:val="•"/>
      <w:lvlJc w:val="left"/>
      <w:pPr>
        <w:tabs>
          <w:tab w:val="num" w:pos="360"/>
        </w:tabs>
        <w:ind w:left="360" w:hanging="360"/>
      </w:pPr>
      <w:rPr>
        <w:rFonts w:ascii="Times New Roman" w:hAnsi="Times New Roman" w:hint="default"/>
      </w:rPr>
    </w:lvl>
  </w:abstractNum>
  <w:num w:numId="1" w16cid:durableId="369646162">
    <w:abstractNumId w:val="2"/>
  </w:num>
  <w:num w:numId="2" w16cid:durableId="1136333853">
    <w:abstractNumId w:val="3"/>
  </w:num>
  <w:num w:numId="3" w16cid:durableId="1549761232">
    <w:abstractNumId w:val="8"/>
  </w:num>
  <w:num w:numId="4" w16cid:durableId="1654405486">
    <w:abstractNumId w:val="7"/>
  </w:num>
  <w:num w:numId="5" w16cid:durableId="1743261385">
    <w:abstractNumId w:val="6"/>
  </w:num>
  <w:num w:numId="6" w16cid:durableId="1713656403">
    <w:abstractNumId w:val="1"/>
  </w:num>
  <w:num w:numId="7" w16cid:durableId="1941790073">
    <w:abstractNumId w:val="0"/>
  </w:num>
  <w:num w:numId="8" w16cid:durableId="1097290936">
    <w:abstractNumId w:val="4"/>
  </w:num>
  <w:num w:numId="9" w16cid:durableId="16853268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2EF7"/>
    <w:rsid w:val="0000474A"/>
    <w:rsid w:val="00004ECE"/>
    <w:rsid w:val="00006CD5"/>
    <w:rsid w:val="000121D3"/>
    <w:rsid w:val="00016D68"/>
    <w:rsid w:val="00031E76"/>
    <w:rsid w:val="000356EF"/>
    <w:rsid w:val="00037BD2"/>
    <w:rsid w:val="00042729"/>
    <w:rsid w:val="000569C4"/>
    <w:rsid w:val="00061FC9"/>
    <w:rsid w:val="0006605B"/>
    <w:rsid w:val="00072A75"/>
    <w:rsid w:val="00073602"/>
    <w:rsid w:val="00073EC9"/>
    <w:rsid w:val="00075624"/>
    <w:rsid w:val="00080D21"/>
    <w:rsid w:val="00085878"/>
    <w:rsid w:val="00090F8E"/>
    <w:rsid w:val="00091AB0"/>
    <w:rsid w:val="00092AE0"/>
    <w:rsid w:val="00097BAF"/>
    <w:rsid w:val="000B2ED9"/>
    <w:rsid w:val="000B4439"/>
    <w:rsid w:val="000B6436"/>
    <w:rsid w:val="000B6A3E"/>
    <w:rsid w:val="000C4024"/>
    <w:rsid w:val="000D31A6"/>
    <w:rsid w:val="000D47FB"/>
    <w:rsid w:val="000D6AD9"/>
    <w:rsid w:val="000D7934"/>
    <w:rsid w:val="000D7E4A"/>
    <w:rsid w:val="000E7993"/>
    <w:rsid w:val="000F490C"/>
    <w:rsid w:val="00103A1E"/>
    <w:rsid w:val="001047E9"/>
    <w:rsid w:val="001071B4"/>
    <w:rsid w:val="00114E99"/>
    <w:rsid w:val="00125619"/>
    <w:rsid w:val="00126377"/>
    <w:rsid w:val="00126882"/>
    <w:rsid w:val="001278C7"/>
    <w:rsid w:val="0013655F"/>
    <w:rsid w:val="001371FD"/>
    <w:rsid w:val="0013755F"/>
    <w:rsid w:val="001420B9"/>
    <w:rsid w:val="00142364"/>
    <w:rsid w:val="00144C70"/>
    <w:rsid w:val="00146288"/>
    <w:rsid w:val="001464A9"/>
    <w:rsid w:val="00147215"/>
    <w:rsid w:val="00156E97"/>
    <w:rsid w:val="001573C4"/>
    <w:rsid w:val="001626E6"/>
    <w:rsid w:val="001639B5"/>
    <w:rsid w:val="001642A0"/>
    <w:rsid w:val="00171C74"/>
    <w:rsid w:val="001739A2"/>
    <w:rsid w:val="00183247"/>
    <w:rsid w:val="001842C9"/>
    <w:rsid w:val="00191123"/>
    <w:rsid w:val="00194070"/>
    <w:rsid w:val="001A07BF"/>
    <w:rsid w:val="001A4F0D"/>
    <w:rsid w:val="001A6C33"/>
    <w:rsid w:val="001B1FCE"/>
    <w:rsid w:val="001B58E6"/>
    <w:rsid w:val="001C2C9B"/>
    <w:rsid w:val="001C3460"/>
    <w:rsid w:val="001C4237"/>
    <w:rsid w:val="001C493E"/>
    <w:rsid w:val="001C6CCF"/>
    <w:rsid w:val="001D012C"/>
    <w:rsid w:val="001D2F82"/>
    <w:rsid w:val="001D5E97"/>
    <w:rsid w:val="001D75EB"/>
    <w:rsid w:val="001E38D0"/>
    <w:rsid w:val="001E3947"/>
    <w:rsid w:val="001F3C3C"/>
    <w:rsid w:val="001F568C"/>
    <w:rsid w:val="00200424"/>
    <w:rsid w:val="00201ACA"/>
    <w:rsid w:val="00204479"/>
    <w:rsid w:val="0020685E"/>
    <w:rsid w:val="00207540"/>
    <w:rsid w:val="00207786"/>
    <w:rsid w:val="002111CF"/>
    <w:rsid w:val="002207BE"/>
    <w:rsid w:val="002369FE"/>
    <w:rsid w:val="002423D8"/>
    <w:rsid w:val="00243ABA"/>
    <w:rsid w:val="00243AEA"/>
    <w:rsid w:val="00244CFB"/>
    <w:rsid w:val="0024583F"/>
    <w:rsid w:val="00247F1F"/>
    <w:rsid w:val="00250335"/>
    <w:rsid w:val="00251687"/>
    <w:rsid w:val="00253C96"/>
    <w:rsid w:val="002578B3"/>
    <w:rsid w:val="002641DA"/>
    <w:rsid w:val="00286AE3"/>
    <w:rsid w:val="00287765"/>
    <w:rsid w:val="002924DC"/>
    <w:rsid w:val="002A152D"/>
    <w:rsid w:val="002A47A8"/>
    <w:rsid w:val="002A5CB0"/>
    <w:rsid w:val="002C380B"/>
    <w:rsid w:val="002D1B09"/>
    <w:rsid w:val="002E1932"/>
    <w:rsid w:val="002F263C"/>
    <w:rsid w:val="002F2A86"/>
    <w:rsid w:val="002F58D6"/>
    <w:rsid w:val="002F6C97"/>
    <w:rsid w:val="003032C2"/>
    <w:rsid w:val="00303E24"/>
    <w:rsid w:val="0030786F"/>
    <w:rsid w:val="00310894"/>
    <w:rsid w:val="003161F3"/>
    <w:rsid w:val="0032006A"/>
    <w:rsid w:val="0032225F"/>
    <w:rsid w:val="00324C7A"/>
    <w:rsid w:val="00325E3C"/>
    <w:rsid w:val="003304AC"/>
    <w:rsid w:val="0033148D"/>
    <w:rsid w:val="00335900"/>
    <w:rsid w:val="00335C66"/>
    <w:rsid w:val="003370CA"/>
    <w:rsid w:val="00345631"/>
    <w:rsid w:val="00355150"/>
    <w:rsid w:val="00364BB9"/>
    <w:rsid w:val="0036529C"/>
    <w:rsid w:val="00366A15"/>
    <w:rsid w:val="00371F5B"/>
    <w:rsid w:val="003748E6"/>
    <w:rsid w:val="00375DD6"/>
    <w:rsid w:val="0038037B"/>
    <w:rsid w:val="00383444"/>
    <w:rsid w:val="003844F6"/>
    <w:rsid w:val="00386417"/>
    <w:rsid w:val="00386BB2"/>
    <w:rsid w:val="0039548E"/>
    <w:rsid w:val="00397C42"/>
    <w:rsid w:val="003A0E62"/>
    <w:rsid w:val="003A19C6"/>
    <w:rsid w:val="003A1C5E"/>
    <w:rsid w:val="003A384C"/>
    <w:rsid w:val="003A44A3"/>
    <w:rsid w:val="003A56BB"/>
    <w:rsid w:val="003B793B"/>
    <w:rsid w:val="003C51A4"/>
    <w:rsid w:val="003C5995"/>
    <w:rsid w:val="003C5A5D"/>
    <w:rsid w:val="003C7007"/>
    <w:rsid w:val="003C7FB2"/>
    <w:rsid w:val="003D0BF5"/>
    <w:rsid w:val="003D31A8"/>
    <w:rsid w:val="003D425C"/>
    <w:rsid w:val="003D6151"/>
    <w:rsid w:val="003E27E3"/>
    <w:rsid w:val="003E50CD"/>
    <w:rsid w:val="003F4D76"/>
    <w:rsid w:val="003F550A"/>
    <w:rsid w:val="003F671A"/>
    <w:rsid w:val="003F6FA0"/>
    <w:rsid w:val="00400B20"/>
    <w:rsid w:val="00402FF5"/>
    <w:rsid w:val="00406713"/>
    <w:rsid w:val="00406E2E"/>
    <w:rsid w:val="00411D55"/>
    <w:rsid w:val="00416487"/>
    <w:rsid w:val="00417531"/>
    <w:rsid w:val="00417861"/>
    <w:rsid w:val="004232F4"/>
    <w:rsid w:val="00423DAB"/>
    <w:rsid w:val="004257CC"/>
    <w:rsid w:val="00425A5E"/>
    <w:rsid w:val="00425D1F"/>
    <w:rsid w:val="004331E7"/>
    <w:rsid w:val="00433EB2"/>
    <w:rsid w:val="00437296"/>
    <w:rsid w:val="00441DD4"/>
    <w:rsid w:val="004570E6"/>
    <w:rsid w:val="00457AE3"/>
    <w:rsid w:val="0046160C"/>
    <w:rsid w:val="00463F1A"/>
    <w:rsid w:val="004715ED"/>
    <w:rsid w:val="004719DE"/>
    <w:rsid w:val="00472182"/>
    <w:rsid w:val="00472513"/>
    <w:rsid w:val="00473C7F"/>
    <w:rsid w:val="00474922"/>
    <w:rsid w:val="00476EF0"/>
    <w:rsid w:val="00477282"/>
    <w:rsid w:val="0048277E"/>
    <w:rsid w:val="00485498"/>
    <w:rsid w:val="00486238"/>
    <w:rsid w:val="004949F5"/>
    <w:rsid w:val="004A57B4"/>
    <w:rsid w:val="004A7494"/>
    <w:rsid w:val="004A79AA"/>
    <w:rsid w:val="004B0F65"/>
    <w:rsid w:val="004B2841"/>
    <w:rsid w:val="004C0282"/>
    <w:rsid w:val="004C05B6"/>
    <w:rsid w:val="004C0840"/>
    <w:rsid w:val="004C50BA"/>
    <w:rsid w:val="004D038C"/>
    <w:rsid w:val="004D103F"/>
    <w:rsid w:val="004D7D75"/>
    <w:rsid w:val="004F7997"/>
    <w:rsid w:val="00502FEC"/>
    <w:rsid w:val="00503F04"/>
    <w:rsid w:val="00510D55"/>
    <w:rsid w:val="00513DE3"/>
    <w:rsid w:val="00516F62"/>
    <w:rsid w:val="005173FC"/>
    <w:rsid w:val="00520EE6"/>
    <w:rsid w:val="00523A10"/>
    <w:rsid w:val="00526A18"/>
    <w:rsid w:val="00530486"/>
    <w:rsid w:val="0053655F"/>
    <w:rsid w:val="00536B3F"/>
    <w:rsid w:val="00537912"/>
    <w:rsid w:val="00540775"/>
    <w:rsid w:val="005409FB"/>
    <w:rsid w:val="00546948"/>
    <w:rsid w:val="005515D6"/>
    <w:rsid w:val="0055354E"/>
    <w:rsid w:val="005619CD"/>
    <w:rsid w:val="005715ED"/>
    <w:rsid w:val="005723CF"/>
    <w:rsid w:val="005727EE"/>
    <w:rsid w:val="005805AE"/>
    <w:rsid w:val="00581BF3"/>
    <w:rsid w:val="0058339F"/>
    <w:rsid w:val="00586595"/>
    <w:rsid w:val="00587313"/>
    <w:rsid w:val="0058774E"/>
    <w:rsid w:val="00587A3D"/>
    <w:rsid w:val="005902F5"/>
    <w:rsid w:val="005A0AC8"/>
    <w:rsid w:val="005A1A8C"/>
    <w:rsid w:val="005A1FB3"/>
    <w:rsid w:val="005C008E"/>
    <w:rsid w:val="005C0264"/>
    <w:rsid w:val="005C374C"/>
    <w:rsid w:val="005C55D6"/>
    <w:rsid w:val="005C5B5D"/>
    <w:rsid w:val="005C5D76"/>
    <w:rsid w:val="005C7107"/>
    <w:rsid w:val="005D0E45"/>
    <w:rsid w:val="005D222F"/>
    <w:rsid w:val="005D6BD8"/>
    <w:rsid w:val="005F0F44"/>
    <w:rsid w:val="005F2CE8"/>
    <w:rsid w:val="005F2EF7"/>
    <w:rsid w:val="005F5CD5"/>
    <w:rsid w:val="005F6EFA"/>
    <w:rsid w:val="0060259A"/>
    <w:rsid w:val="006033C9"/>
    <w:rsid w:val="00611B73"/>
    <w:rsid w:val="00611BDB"/>
    <w:rsid w:val="00615A8A"/>
    <w:rsid w:val="00617AA2"/>
    <w:rsid w:val="0062025A"/>
    <w:rsid w:val="0063071C"/>
    <w:rsid w:val="0063396C"/>
    <w:rsid w:val="006347C2"/>
    <w:rsid w:val="00636B4C"/>
    <w:rsid w:val="006522B1"/>
    <w:rsid w:val="00653B3D"/>
    <w:rsid w:val="00665267"/>
    <w:rsid w:val="00665AB8"/>
    <w:rsid w:val="00666C7F"/>
    <w:rsid w:val="006702A4"/>
    <w:rsid w:val="006728E2"/>
    <w:rsid w:val="00673E56"/>
    <w:rsid w:val="00675FD5"/>
    <w:rsid w:val="006765B7"/>
    <w:rsid w:val="0068221C"/>
    <w:rsid w:val="00685954"/>
    <w:rsid w:val="00692DDF"/>
    <w:rsid w:val="00693F67"/>
    <w:rsid w:val="006948AA"/>
    <w:rsid w:val="00697BF8"/>
    <w:rsid w:val="006A2659"/>
    <w:rsid w:val="006A2743"/>
    <w:rsid w:val="006C40BE"/>
    <w:rsid w:val="006E2633"/>
    <w:rsid w:val="006E65D8"/>
    <w:rsid w:val="006F414E"/>
    <w:rsid w:val="006F4587"/>
    <w:rsid w:val="006F7BB1"/>
    <w:rsid w:val="00700E87"/>
    <w:rsid w:val="00704E85"/>
    <w:rsid w:val="007067EE"/>
    <w:rsid w:val="007123FB"/>
    <w:rsid w:val="0071263D"/>
    <w:rsid w:val="00712724"/>
    <w:rsid w:val="00716DA9"/>
    <w:rsid w:val="00720813"/>
    <w:rsid w:val="00722999"/>
    <w:rsid w:val="00726422"/>
    <w:rsid w:val="007300F0"/>
    <w:rsid w:val="007321B2"/>
    <w:rsid w:val="00732243"/>
    <w:rsid w:val="00732892"/>
    <w:rsid w:val="007400B5"/>
    <w:rsid w:val="00742686"/>
    <w:rsid w:val="00744BCC"/>
    <w:rsid w:val="00750C6A"/>
    <w:rsid w:val="00766BBE"/>
    <w:rsid w:val="00771E0D"/>
    <w:rsid w:val="00773F26"/>
    <w:rsid w:val="007773D6"/>
    <w:rsid w:val="00777540"/>
    <w:rsid w:val="00781D30"/>
    <w:rsid w:val="00782DC4"/>
    <w:rsid w:val="007830A7"/>
    <w:rsid w:val="007851F9"/>
    <w:rsid w:val="00797587"/>
    <w:rsid w:val="007A0424"/>
    <w:rsid w:val="007A0F02"/>
    <w:rsid w:val="007A1039"/>
    <w:rsid w:val="007A2ADB"/>
    <w:rsid w:val="007A384F"/>
    <w:rsid w:val="007A3E35"/>
    <w:rsid w:val="007B17F6"/>
    <w:rsid w:val="007B3A97"/>
    <w:rsid w:val="007B40B9"/>
    <w:rsid w:val="007B444E"/>
    <w:rsid w:val="007B6CD0"/>
    <w:rsid w:val="007C0307"/>
    <w:rsid w:val="007C267E"/>
    <w:rsid w:val="007C4E67"/>
    <w:rsid w:val="007D3B44"/>
    <w:rsid w:val="007D6A07"/>
    <w:rsid w:val="007E45B7"/>
    <w:rsid w:val="007E4C46"/>
    <w:rsid w:val="007E5F70"/>
    <w:rsid w:val="007F4175"/>
    <w:rsid w:val="0080406A"/>
    <w:rsid w:val="008119E6"/>
    <w:rsid w:val="00821F88"/>
    <w:rsid w:val="008232AE"/>
    <w:rsid w:val="00824B36"/>
    <w:rsid w:val="00833E57"/>
    <w:rsid w:val="00840CB9"/>
    <w:rsid w:val="00841FC3"/>
    <w:rsid w:val="00843797"/>
    <w:rsid w:val="00844417"/>
    <w:rsid w:val="008462FE"/>
    <w:rsid w:val="0085022D"/>
    <w:rsid w:val="00850262"/>
    <w:rsid w:val="0085244E"/>
    <w:rsid w:val="00853A63"/>
    <w:rsid w:val="00860E91"/>
    <w:rsid w:val="00862013"/>
    <w:rsid w:val="0088083E"/>
    <w:rsid w:val="00881240"/>
    <w:rsid w:val="0088136B"/>
    <w:rsid w:val="00883D76"/>
    <w:rsid w:val="00886A56"/>
    <w:rsid w:val="0088704A"/>
    <w:rsid w:val="008916C4"/>
    <w:rsid w:val="008919CC"/>
    <w:rsid w:val="00892B54"/>
    <w:rsid w:val="00893308"/>
    <w:rsid w:val="008A0A59"/>
    <w:rsid w:val="008A30A1"/>
    <w:rsid w:val="008B11FF"/>
    <w:rsid w:val="008B639A"/>
    <w:rsid w:val="008C1CC5"/>
    <w:rsid w:val="008C5108"/>
    <w:rsid w:val="008D402A"/>
    <w:rsid w:val="008D4447"/>
    <w:rsid w:val="008D7EE2"/>
    <w:rsid w:val="008E10BB"/>
    <w:rsid w:val="008E324D"/>
    <w:rsid w:val="008E7CC4"/>
    <w:rsid w:val="008F2223"/>
    <w:rsid w:val="008F24F3"/>
    <w:rsid w:val="008F5EE5"/>
    <w:rsid w:val="008F6809"/>
    <w:rsid w:val="00910256"/>
    <w:rsid w:val="00910C1A"/>
    <w:rsid w:val="0091193E"/>
    <w:rsid w:val="00912C69"/>
    <w:rsid w:val="00916E8F"/>
    <w:rsid w:val="00920999"/>
    <w:rsid w:val="00925013"/>
    <w:rsid w:val="00925A6D"/>
    <w:rsid w:val="00927599"/>
    <w:rsid w:val="009372CD"/>
    <w:rsid w:val="0094075A"/>
    <w:rsid w:val="00947DA9"/>
    <w:rsid w:val="00947DD9"/>
    <w:rsid w:val="00951150"/>
    <w:rsid w:val="009620F0"/>
    <w:rsid w:val="009829D9"/>
    <w:rsid w:val="009945C3"/>
    <w:rsid w:val="009947C9"/>
    <w:rsid w:val="009949FB"/>
    <w:rsid w:val="00995D86"/>
    <w:rsid w:val="0099686F"/>
    <w:rsid w:val="009A04B0"/>
    <w:rsid w:val="009B0375"/>
    <w:rsid w:val="009C0720"/>
    <w:rsid w:val="009C6760"/>
    <w:rsid w:val="009D6488"/>
    <w:rsid w:val="009D71D2"/>
    <w:rsid w:val="009E42E9"/>
    <w:rsid w:val="009E4ED7"/>
    <w:rsid w:val="009F194E"/>
    <w:rsid w:val="009F25E6"/>
    <w:rsid w:val="009F5E61"/>
    <w:rsid w:val="009F647F"/>
    <w:rsid w:val="009F7104"/>
    <w:rsid w:val="00A0007C"/>
    <w:rsid w:val="00A01379"/>
    <w:rsid w:val="00A11058"/>
    <w:rsid w:val="00A2016E"/>
    <w:rsid w:val="00A24082"/>
    <w:rsid w:val="00A3108A"/>
    <w:rsid w:val="00A34927"/>
    <w:rsid w:val="00A428FD"/>
    <w:rsid w:val="00A45BE3"/>
    <w:rsid w:val="00A45EF4"/>
    <w:rsid w:val="00A52F77"/>
    <w:rsid w:val="00A55CC8"/>
    <w:rsid w:val="00A61568"/>
    <w:rsid w:val="00A62B23"/>
    <w:rsid w:val="00A63DE6"/>
    <w:rsid w:val="00A66865"/>
    <w:rsid w:val="00A7452D"/>
    <w:rsid w:val="00A82336"/>
    <w:rsid w:val="00A93BFB"/>
    <w:rsid w:val="00AA7EB0"/>
    <w:rsid w:val="00AB65BC"/>
    <w:rsid w:val="00AC131E"/>
    <w:rsid w:val="00AD0AF4"/>
    <w:rsid w:val="00AD7EDE"/>
    <w:rsid w:val="00AE0910"/>
    <w:rsid w:val="00AE0E86"/>
    <w:rsid w:val="00AE453A"/>
    <w:rsid w:val="00AE77D8"/>
    <w:rsid w:val="00AF041C"/>
    <w:rsid w:val="00B00377"/>
    <w:rsid w:val="00B01C7E"/>
    <w:rsid w:val="00B02ADF"/>
    <w:rsid w:val="00B067CA"/>
    <w:rsid w:val="00B07412"/>
    <w:rsid w:val="00B20A57"/>
    <w:rsid w:val="00B236B8"/>
    <w:rsid w:val="00B261C6"/>
    <w:rsid w:val="00B369F5"/>
    <w:rsid w:val="00B36E7F"/>
    <w:rsid w:val="00B44AC1"/>
    <w:rsid w:val="00B46BB9"/>
    <w:rsid w:val="00B50DDE"/>
    <w:rsid w:val="00B51652"/>
    <w:rsid w:val="00B51A60"/>
    <w:rsid w:val="00B52787"/>
    <w:rsid w:val="00B661DF"/>
    <w:rsid w:val="00B67B7F"/>
    <w:rsid w:val="00B701E5"/>
    <w:rsid w:val="00B73203"/>
    <w:rsid w:val="00B737F2"/>
    <w:rsid w:val="00B80E13"/>
    <w:rsid w:val="00B82CD9"/>
    <w:rsid w:val="00B8727A"/>
    <w:rsid w:val="00B8775B"/>
    <w:rsid w:val="00B962E0"/>
    <w:rsid w:val="00BA5D83"/>
    <w:rsid w:val="00BA6F39"/>
    <w:rsid w:val="00BB3833"/>
    <w:rsid w:val="00BB430B"/>
    <w:rsid w:val="00BB77D2"/>
    <w:rsid w:val="00BC356B"/>
    <w:rsid w:val="00BC6633"/>
    <w:rsid w:val="00BD093C"/>
    <w:rsid w:val="00BD1D2E"/>
    <w:rsid w:val="00BD451F"/>
    <w:rsid w:val="00BD583C"/>
    <w:rsid w:val="00BE199C"/>
    <w:rsid w:val="00BE4399"/>
    <w:rsid w:val="00BE60FB"/>
    <w:rsid w:val="00BF1321"/>
    <w:rsid w:val="00BF3360"/>
    <w:rsid w:val="00BF4536"/>
    <w:rsid w:val="00BF4B45"/>
    <w:rsid w:val="00BF7577"/>
    <w:rsid w:val="00C025CF"/>
    <w:rsid w:val="00C0455F"/>
    <w:rsid w:val="00C10EB7"/>
    <w:rsid w:val="00C12235"/>
    <w:rsid w:val="00C12622"/>
    <w:rsid w:val="00C12C02"/>
    <w:rsid w:val="00C15D33"/>
    <w:rsid w:val="00C17C75"/>
    <w:rsid w:val="00C22321"/>
    <w:rsid w:val="00C24521"/>
    <w:rsid w:val="00C2582F"/>
    <w:rsid w:val="00C34916"/>
    <w:rsid w:val="00C411B3"/>
    <w:rsid w:val="00C41893"/>
    <w:rsid w:val="00C455D4"/>
    <w:rsid w:val="00C47BC7"/>
    <w:rsid w:val="00C513F2"/>
    <w:rsid w:val="00C63B23"/>
    <w:rsid w:val="00C667A1"/>
    <w:rsid w:val="00C6772A"/>
    <w:rsid w:val="00C67EF4"/>
    <w:rsid w:val="00C82108"/>
    <w:rsid w:val="00C95236"/>
    <w:rsid w:val="00C957D2"/>
    <w:rsid w:val="00C95DAC"/>
    <w:rsid w:val="00C969B7"/>
    <w:rsid w:val="00CA0397"/>
    <w:rsid w:val="00CA0E22"/>
    <w:rsid w:val="00CA5E67"/>
    <w:rsid w:val="00CA69B9"/>
    <w:rsid w:val="00CA7AA8"/>
    <w:rsid w:val="00CB17DA"/>
    <w:rsid w:val="00CB7A22"/>
    <w:rsid w:val="00CC2720"/>
    <w:rsid w:val="00CC3FA9"/>
    <w:rsid w:val="00CD2D67"/>
    <w:rsid w:val="00CF474B"/>
    <w:rsid w:val="00CF4D2C"/>
    <w:rsid w:val="00CF6696"/>
    <w:rsid w:val="00CF7DD8"/>
    <w:rsid w:val="00D0313A"/>
    <w:rsid w:val="00D077F3"/>
    <w:rsid w:val="00D108AF"/>
    <w:rsid w:val="00D12EDD"/>
    <w:rsid w:val="00D16629"/>
    <w:rsid w:val="00D2305F"/>
    <w:rsid w:val="00D32261"/>
    <w:rsid w:val="00D3250C"/>
    <w:rsid w:val="00D32548"/>
    <w:rsid w:val="00D370E3"/>
    <w:rsid w:val="00D52A36"/>
    <w:rsid w:val="00D52B1C"/>
    <w:rsid w:val="00D5723C"/>
    <w:rsid w:val="00D61CEA"/>
    <w:rsid w:val="00D624E5"/>
    <w:rsid w:val="00D72A33"/>
    <w:rsid w:val="00D7367A"/>
    <w:rsid w:val="00D73C77"/>
    <w:rsid w:val="00D779E7"/>
    <w:rsid w:val="00D92E1C"/>
    <w:rsid w:val="00D9309B"/>
    <w:rsid w:val="00D97047"/>
    <w:rsid w:val="00DA27CC"/>
    <w:rsid w:val="00DA4F58"/>
    <w:rsid w:val="00DA77AB"/>
    <w:rsid w:val="00DB27CC"/>
    <w:rsid w:val="00DB6B61"/>
    <w:rsid w:val="00DB6D34"/>
    <w:rsid w:val="00DC522C"/>
    <w:rsid w:val="00DC7FA4"/>
    <w:rsid w:val="00DD0381"/>
    <w:rsid w:val="00DD24B1"/>
    <w:rsid w:val="00DD690F"/>
    <w:rsid w:val="00DF149E"/>
    <w:rsid w:val="00DF3835"/>
    <w:rsid w:val="00DF44A1"/>
    <w:rsid w:val="00E03139"/>
    <w:rsid w:val="00E03C36"/>
    <w:rsid w:val="00E0660D"/>
    <w:rsid w:val="00E070AB"/>
    <w:rsid w:val="00E1029F"/>
    <w:rsid w:val="00E10715"/>
    <w:rsid w:val="00E11A08"/>
    <w:rsid w:val="00E12711"/>
    <w:rsid w:val="00E32213"/>
    <w:rsid w:val="00E341CD"/>
    <w:rsid w:val="00E3674A"/>
    <w:rsid w:val="00E368E8"/>
    <w:rsid w:val="00E42D61"/>
    <w:rsid w:val="00E44D87"/>
    <w:rsid w:val="00E4649F"/>
    <w:rsid w:val="00E5225F"/>
    <w:rsid w:val="00E54B97"/>
    <w:rsid w:val="00E65769"/>
    <w:rsid w:val="00E663CA"/>
    <w:rsid w:val="00E67A01"/>
    <w:rsid w:val="00E70478"/>
    <w:rsid w:val="00E80413"/>
    <w:rsid w:val="00E829BB"/>
    <w:rsid w:val="00E87AC9"/>
    <w:rsid w:val="00E91D7F"/>
    <w:rsid w:val="00E93D91"/>
    <w:rsid w:val="00E96923"/>
    <w:rsid w:val="00EB723C"/>
    <w:rsid w:val="00EB74C0"/>
    <w:rsid w:val="00EC2CB6"/>
    <w:rsid w:val="00ED0E81"/>
    <w:rsid w:val="00ED776F"/>
    <w:rsid w:val="00EE2D6A"/>
    <w:rsid w:val="00EE3DB9"/>
    <w:rsid w:val="00EE4E30"/>
    <w:rsid w:val="00EE5632"/>
    <w:rsid w:val="00EF2F93"/>
    <w:rsid w:val="00EF75D6"/>
    <w:rsid w:val="00F00743"/>
    <w:rsid w:val="00F04D91"/>
    <w:rsid w:val="00F062AC"/>
    <w:rsid w:val="00F119E7"/>
    <w:rsid w:val="00F15F06"/>
    <w:rsid w:val="00F313DA"/>
    <w:rsid w:val="00F32286"/>
    <w:rsid w:val="00F3243A"/>
    <w:rsid w:val="00F3341E"/>
    <w:rsid w:val="00F37303"/>
    <w:rsid w:val="00F37C3B"/>
    <w:rsid w:val="00F50638"/>
    <w:rsid w:val="00F56BAC"/>
    <w:rsid w:val="00F57802"/>
    <w:rsid w:val="00F61AA0"/>
    <w:rsid w:val="00F65C56"/>
    <w:rsid w:val="00F6728D"/>
    <w:rsid w:val="00F71AF3"/>
    <w:rsid w:val="00F74599"/>
    <w:rsid w:val="00F750D1"/>
    <w:rsid w:val="00F759E2"/>
    <w:rsid w:val="00F7616C"/>
    <w:rsid w:val="00F778BB"/>
    <w:rsid w:val="00F81448"/>
    <w:rsid w:val="00F81B61"/>
    <w:rsid w:val="00F821B7"/>
    <w:rsid w:val="00F8596B"/>
    <w:rsid w:val="00F9216A"/>
    <w:rsid w:val="00F97DE7"/>
    <w:rsid w:val="00FA2591"/>
    <w:rsid w:val="00FA5E3A"/>
    <w:rsid w:val="00FB0A85"/>
    <w:rsid w:val="00FC6425"/>
    <w:rsid w:val="00FD4B1B"/>
    <w:rsid w:val="00FE0820"/>
    <w:rsid w:val="00FE4974"/>
    <w:rsid w:val="00FE509C"/>
    <w:rsid w:val="00FE5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7D9D66DF"/>
  <w15:chartTrackingRefBased/>
  <w15:docId w15:val="{A3579C8E-3770-42C1-AA51-685E69339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outlineLvl w:val="2"/>
    </w:pPr>
    <w:rPr>
      <w:b/>
      <w:sz w:val="28"/>
    </w:rPr>
  </w:style>
  <w:style w:type="paragraph" w:styleId="Heading4">
    <w:name w:val="heading 4"/>
    <w:basedOn w:val="Normal"/>
    <w:next w:val="Normal"/>
    <w:qFormat/>
    <w:pPr>
      <w:keepNext/>
      <w:outlineLvl w:val="3"/>
    </w:pPr>
    <w:rPr>
      <w:b/>
      <w:i/>
    </w:rPr>
  </w:style>
  <w:style w:type="paragraph" w:styleId="Heading5">
    <w:name w:val="heading 5"/>
    <w:basedOn w:val="Normal"/>
    <w:next w:val="Normal"/>
    <w:qFormat/>
    <w:pPr>
      <w:keepNext/>
      <w:outlineLvl w:val="4"/>
    </w:pPr>
    <w:rPr>
      <w:b/>
      <w:sz w:val="20"/>
    </w:rPr>
  </w:style>
  <w:style w:type="paragraph" w:styleId="Heading6">
    <w:name w:val="heading 6"/>
    <w:basedOn w:val="Normal"/>
    <w:next w:val="Normal"/>
    <w:qFormat/>
    <w:pPr>
      <w:keepNext/>
      <w:outlineLvl w:val="5"/>
    </w:pPr>
    <w:rPr>
      <w:b/>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i/>
      <w:sz w:val="20"/>
    </w:rPr>
  </w:style>
  <w:style w:type="paragraph" w:styleId="Heading9">
    <w:name w:val="heading 9"/>
    <w:basedOn w:val="Normal"/>
    <w:next w:val="Normal"/>
    <w:qFormat/>
    <w:pPr>
      <w:keepNext/>
      <w:outlineLvl w:val="8"/>
    </w:pPr>
    <w:rPr>
      <w:b/>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3600" w:hanging="1440"/>
    </w:pPr>
    <w:rPr>
      <w:b/>
    </w:rPr>
  </w:style>
  <w:style w:type="paragraph" w:styleId="BodyTextIndent2">
    <w:name w:val="Body Text Indent 2"/>
    <w:basedOn w:val="Normal"/>
    <w:pPr>
      <w:ind w:left="2880" w:hanging="720"/>
    </w:pPr>
  </w:style>
  <w:style w:type="paragraph" w:styleId="BodyTextIndent3">
    <w:name w:val="Body Text Indent 3"/>
    <w:basedOn w:val="Normal"/>
    <w:pPr>
      <w:tabs>
        <w:tab w:val="left" w:pos="2160"/>
      </w:tabs>
      <w:ind w:left="2160" w:hanging="1440"/>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odyText">
    <w:name w:val="Body Text"/>
    <w:basedOn w:val="Normal"/>
    <w:link w:val="BodyTextChar"/>
    <w:rPr>
      <w:b/>
      <w:sz w:val="20"/>
    </w:rPr>
  </w:style>
  <w:style w:type="character" w:styleId="Emphasis">
    <w:name w:val="Emphasis"/>
    <w:qFormat/>
    <w:rPr>
      <w:i/>
      <w:iCs/>
    </w:rPr>
  </w:style>
  <w:style w:type="paragraph" w:customStyle="1" w:styleId="body">
    <w:name w:val="body"/>
    <w:basedOn w:val="Normal"/>
    <w:pPr>
      <w:spacing w:before="100" w:beforeAutospacing="1" w:after="100" w:afterAutospacing="1"/>
    </w:pPr>
    <w:rPr>
      <w:rFonts w:ascii="Arial Unicode MS" w:eastAsia="Arial Unicode MS" w:hAnsi="Arial Unicode MS" w:cs="Arial Unicode MS"/>
      <w:szCs w:val="24"/>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Cs w:val="24"/>
    </w:rPr>
  </w:style>
  <w:style w:type="character" w:styleId="Strong">
    <w:name w:val="Strong"/>
    <w:qFormat/>
    <w:rPr>
      <w:b/>
      <w:bCs/>
    </w:rPr>
  </w:style>
  <w:style w:type="paragraph" w:styleId="Title">
    <w:name w:val="Title"/>
    <w:basedOn w:val="Normal"/>
    <w:qFormat/>
    <w:pPr>
      <w:jc w:val="center"/>
    </w:pPr>
    <w:rPr>
      <w:b/>
      <w:sz w:val="28"/>
    </w:rPr>
  </w:style>
  <w:style w:type="character" w:styleId="FollowedHyperlink">
    <w:name w:val="FollowedHyperlink"/>
    <w:rPr>
      <w:color w:val="800080"/>
      <w:u w:val="single"/>
    </w:rPr>
  </w:style>
  <w:style w:type="paragraph" w:styleId="BalloonText">
    <w:name w:val="Balloon Text"/>
    <w:basedOn w:val="Normal"/>
    <w:semiHidden/>
    <w:rsid w:val="009F647F"/>
    <w:rPr>
      <w:rFonts w:ascii="Tahoma" w:hAnsi="Tahoma" w:cs="Tahoma"/>
      <w:sz w:val="16"/>
      <w:szCs w:val="16"/>
    </w:rPr>
  </w:style>
  <w:style w:type="paragraph" w:styleId="ListBullet">
    <w:name w:val="List Bullet"/>
    <w:basedOn w:val="Normal"/>
    <w:rsid w:val="00537912"/>
    <w:pPr>
      <w:numPr>
        <w:numId w:val="7"/>
      </w:numPr>
    </w:pPr>
  </w:style>
  <w:style w:type="paragraph" w:customStyle="1" w:styleId="Subject">
    <w:name w:val="Subject"/>
    <w:basedOn w:val="Normal"/>
    <w:rsid w:val="00F37C3B"/>
    <w:pPr>
      <w:spacing w:before="60" w:after="60"/>
    </w:pPr>
    <w:rPr>
      <w:sz w:val="20"/>
    </w:rPr>
  </w:style>
  <w:style w:type="paragraph" w:styleId="Date">
    <w:name w:val="Date"/>
    <w:basedOn w:val="Normal"/>
    <w:rsid w:val="00F37C3B"/>
    <w:pPr>
      <w:spacing w:before="60" w:after="60"/>
    </w:pPr>
    <w:rPr>
      <w:sz w:val="20"/>
    </w:rPr>
  </w:style>
  <w:style w:type="paragraph" w:customStyle="1" w:styleId="To">
    <w:name w:val="To"/>
    <w:basedOn w:val="Normal"/>
    <w:rsid w:val="00F37C3B"/>
    <w:pPr>
      <w:spacing w:before="60" w:after="60"/>
    </w:pPr>
    <w:rPr>
      <w:sz w:val="20"/>
    </w:rPr>
  </w:style>
  <w:style w:type="paragraph" w:customStyle="1" w:styleId="From">
    <w:name w:val="From"/>
    <w:basedOn w:val="Normal"/>
    <w:rsid w:val="00F37C3B"/>
    <w:pPr>
      <w:spacing w:before="60" w:after="60"/>
    </w:pPr>
    <w:rPr>
      <w:sz w:val="20"/>
    </w:rPr>
  </w:style>
  <w:style w:type="character" w:customStyle="1" w:styleId="BodyTextChar">
    <w:name w:val="Body Text Char"/>
    <w:link w:val="BodyText"/>
    <w:rsid w:val="005515D6"/>
    <w:rPr>
      <w:b/>
    </w:rPr>
  </w:style>
  <w:style w:type="paragraph" w:styleId="FootnoteText">
    <w:name w:val="footnote text"/>
    <w:basedOn w:val="Normal"/>
    <w:link w:val="FootnoteTextChar"/>
    <w:rsid w:val="00C22321"/>
    <w:rPr>
      <w:sz w:val="20"/>
    </w:rPr>
  </w:style>
  <w:style w:type="character" w:customStyle="1" w:styleId="FootnoteTextChar">
    <w:name w:val="Footnote Text Char"/>
    <w:basedOn w:val="DefaultParagraphFont"/>
    <w:link w:val="FootnoteText"/>
    <w:rsid w:val="00C22321"/>
  </w:style>
  <w:style w:type="character" w:styleId="FootnoteReference">
    <w:name w:val="footnote reference"/>
    <w:rsid w:val="00C22321"/>
    <w:rPr>
      <w:vertAlign w:val="superscript"/>
    </w:rPr>
  </w:style>
  <w:style w:type="paragraph" w:styleId="ListParagraph">
    <w:name w:val="List Paragraph"/>
    <w:basedOn w:val="Normal"/>
    <w:uiPriority w:val="34"/>
    <w:qFormat/>
    <w:rsid w:val="00DC522C"/>
    <w:pPr>
      <w:ind w:left="720"/>
    </w:pPr>
  </w:style>
  <w:style w:type="paragraph" w:styleId="EndnoteText">
    <w:name w:val="endnote text"/>
    <w:basedOn w:val="Normal"/>
    <w:link w:val="EndnoteTextChar"/>
    <w:rsid w:val="00004ECE"/>
    <w:rPr>
      <w:sz w:val="20"/>
    </w:rPr>
  </w:style>
  <w:style w:type="character" w:customStyle="1" w:styleId="EndnoteTextChar">
    <w:name w:val="Endnote Text Char"/>
    <w:basedOn w:val="DefaultParagraphFont"/>
    <w:link w:val="EndnoteText"/>
    <w:rsid w:val="00004ECE"/>
  </w:style>
  <w:style w:type="character" w:styleId="EndnoteReference">
    <w:name w:val="endnote reference"/>
    <w:rsid w:val="00004ECE"/>
    <w:rPr>
      <w:vertAlign w:val="superscript"/>
    </w:rPr>
  </w:style>
  <w:style w:type="character" w:customStyle="1" w:styleId="FooterChar">
    <w:name w:val="Footer Char"/>
    <w:link w:val="Footer"/>
    <w:uiPriority w:val="99"/>
    <w:rsid w:val="009C072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749356">
      <w:bodyDiv w:val="1"/>
      <w:marLeft w:val="0"/>
      <w:marRight w:val="0"/>
      <w:marTop w:val="0"/>
      <w:marBottom w:val="0"/>
      <w:divBdr>
        <w:top w:val="none" w:sz="0" w:space="0" w:color="auto"/>
        <w:left w:val="none" w:sz="0" w:space="0" w:color="auto"/>
        <w:bottom w:val="none" w:sz="0" w:space="0" w:color="auto"/>
        <w:right w:val="none" w:sz="0" w:space="0" w:color="auto"/>
      </w:divBdr>
      <w:divsChild>
        <w:div w:id="1622614586">
          <w:marLeft w:val="-720"/>
          <w:marRight w:val="0"/>
          <w:marTop w:val="0"/>
          <w:marBottom w:val="0"/>
          <w:divBdr>
            <w:top w:val="none" w:sz="0" w:space="0" w:color="auto"/>
            <w:left w:val="none" w:sz="0" w:space="0" w:color="auto"/>
            <w:bottom w:val="none" w:sz="0" w:space="0" w:color="auto"/>
            <w:right w:val="none" w:sz="0" w:space="0" w:color="auto"/>
          </w:divBdr>
        </w:div>
      </w:divsChild>
    </w:div>
    <w:div w:id="765930885">
      <w:bodyDiv w:val="1"/>
      <w:marLeft w:val="0"/>
      <w:marRight w:val="0"/>
      <w:marTop w:val="0"/>
      <w:marBottom w:val="0"/>
      <w:divBdr>
        <w:top w:val="none" w:sz="0" w:space="0" w:color="auto"/>
        <w:left w:val="none" w:sz="0" w:space="0" w:color="auto"/>
        <w:bottom w:val="none" w:sz="0" w:space="0" w:color="auto"/>
        <w:right w:val="none" w:sz="0" w:space="0" w:color="auto"/>
      </w:divBdr>
    </w:div>
    <w:div w:id="900364572">
      <w:bodyDiv w:val="1"/>
      <w:marLeft w:val="0"/>
      <w:marRight w:val="0"/>
      <w:marTop w:val="0"/>
      <w:marBottom w:val="0"/>
      <w:divBdr>
        <w:top w:val="none" w:sz="0" w:space="0" w:color="auto"/>
        <w:left w:val="none" w:sz="0" w:space="0" w:color="auto"/>
        <w:bottom w:val="none" w:sz="0" w:space="0" w:color="auto"/>
        <w:right w:val="none" w:sz="0" w:space="0" w:color="auto"/>
      </w:divBdr>
      <w:divsChild>
        <w:div w:id="2140491583">
          <w:marLeft w:val="-720"/>
          <w:marRight w:val="0"/>
          <w:marTop w:val="0"/>
          <w:marBottom w:val="0"/>
          <w:divBdr>
            <w:top w:val="none" w:sz="0" w:space="0" w:color="auto"/>
            <w:left w:val="none" w:sz="0" w:space="0" w:color="auto"/>
            <w:bottom w:val="none" w:sz="0" w:space="0" w:color="auto"/>
            <w:right w:val="none" w:sz="0" w:space="0" w:color="auto"/>
          </w:divBdr>
        </w:div>
      </w:divsChild>
    </w:div>
    <w:div w:id="1078483003">
      <w:bodyDiv w:val="1"/>
      <w:marLeft w:val="0"/>
      <w:marRight w:val="0"/>
      <w:marTop w:val="0"/>
      <w:marBottom w:val="0"/>
      <w:divBdr>
        <w:top w:val="none" w:sz="0" w:space="0" w:color="auto"/>
        <w:left w:val="none" w:sz="0" w:space="0" w:color="auto"/>
        <w:bottom w:val="none" w:sz="0" w:space="0" w:color="auto"/>
        <w:right w:val="none" w:sz="0" w:space="0" w:color="auto"/>
      </w:divBdr>
      <w:divsChild>
        <w:div w:id="1190678585">
          <w:marLeft w:val="-720"/>
          <w:marRight w:val="0"/>
          <w:marTop w:val="0"/>
          <w:marBottom w:val="0"/>
          <w:divBdr>
            <w:top w:val="none" w:sz="0" w:space="0" w:color="auto"/>
            <w:left w:val="none" w:sz="0" w:space="0" w:color="auto"/>
            <w:bottom w:val="none" w:sz="0" w:space="0" w:color="auto"/>
            <w:right w:val="none" w:sz="0" w:space="0" w:color="auto"/>
          </w:divBdr>
        </w:div>
      </w:divsChild>
    </w:div>
    <w:div w:id="1212617793">
      <w:bodyDiv w:val="1"/>
      <w:marLeft w:val="0"/>
      <w:marRight w:val="0"/>
      <w:marTop w:val="0"/>
      <w:marBottom w:val="0"/>
      <w:divBdr>
        <w:top w:val="none" w:sz="0" w:space="0" w:color="auto"/>
        <w:left w:val="none" w:sz="0" w:space="0" w:color="auto"/>
        <w:bottom w:val="none" w:sz="0" w:space="0" w:color="auto"/>
        <w:right w:val="none" w:sz="0" w:space="0" w:color="auto"/>
      </w:divBdr>
      <w:divsChild>
        <w:div w:id="2014917644">
          <w:marLeft w:val="-720"/>
          <w:marRight w:val="0"/>
          <w:marTop w:val="0"/>
          <w:marBottom w:val="0"/>
          <w:divBdr>
            <w:top w:val="none" w:sz="0" w:space="0" w:color="auto"/>
            <w:left w:val="none" w:sz="0" w:space="0" w:color="auto"/>
            <w:bottom w:val="none" w:sz="0" w:space="0" w:color="auto"/>
            <w:right w:val="none" w:sz="0" w:space="0" w:color="auto"/>
          </w:divBdr>
        </w:div>
      </w:divsChild>
    </w:div>
    <w:div w:id="1534154772">
      <w:bodyDiv w:val="1"/>
      <w:marLeft w:val="0"/>
      <w:marRight w:val="0"/>
      <w:marTop w:val="0"/>
      <w:marBottom w:val="0"/>
      <w:divBdr>
        <w:top w:val="none" w:sz="0" w:space="0" w:color="auto"/>
        <w:left w:val="none" w:sz="0" w:space="0" w:color="auto"/>
        <w:bottom w:val="none" w:sz="0" w:space="0" w:color="auto"/>
        <w:right w:val="none" w:sz="0" w:space="0" w:color="auto"/>
      </w:divBdr>
      <w:divsChild>
        <w:div w:id="597447114">
          <w:marLeft w:val="-720"/>
          <w:marRight w:val="0"/>
          <w:marTop w:val="0"/>
          <w:marBottom w:val="0"/>
          <w:divBdr>
            <w:top w:val="none" w:sz="0" w:space="0" w:color="auto"/>
            <w:left w:val="none" w:sz="0" w:space="0" w:color="auto"/>
            <w:bottom w:val="none" w:sz="0" w:space="0" w:color="auto"/>
            <w:right w:val="none" w:sz="0" w:space="0" w:color="auto"/>
          </w:divBdr>
        </w:div>
      </w:divsChild>
    </w:div>
    <w:div w:id="1596472885">
      <w:bodyDiv w:val="1"/>
      <w:marLeft w:val="0"/>
      <w:marRight w:val="0"/>
      <w:marTop w:val="0"/>
      <w:marBottom w:val="0"/>
      <w:divBdr>
        <w:top w:val="none" w:sz="0" w:space="0" w:color="auto"/>
        <w:left w:val="none" w:sz="0" w:space="0" w:color="auto"/>
        <w:bottom w:val="none" w:sz="0" w:space="0" w:color="auto"/>
        <w:right w:val="none" w:sz="0" w:space="0" w:color="auto"/>
      </w:divBdr>
      <w:divsChild>
        <w:div w:id="993491145">
          <w:marLeft w:val="-720"/>
          <w:marRight w:val="0"/>
          <w:marTop w:val="0"/>
          <w:marBottom w:val="0"/>
          <w:divBdr>
            <w:top w:val="none" w:sz="0" w:space="0" w:color="auto"/>
            <w:left w:val="none" w:sz="0" w:space="0" w:color="auto"/>
            <w:bottom w:val="none" w:sz="0" w:space="0" w:color="auto"/>
            <w:right w:val="none" w:sz="0" w:space="0" w:color="auto"/>
          </w:divBdr>
        </w:div>
      </w:divsChild>
    </w:div>
    <w:div w:id="1789081257">
      <w:bodyDiv w:val="1"/>
      <w:marLeft w:val="0"/>
      <w:marRight w:val="0"/>
      <w:marTop w:val="0"/>
      <w:marBottom w:val="0"/>
      <w:divBdr>
        <w:top w:val="none" w:sz="0" w:space="0" w:color="auto"/>
        <w:left w:val="none" w:sz="0" w:space="0" w:color="auto"/>
        <w:bottom w:val="none" w:sz="0" w:space="0" w:color="auto"/>
        <w:right w:val="none" w:sz="0" w:space="0" w:color="auto"/>
      </w:divBdr>
    </w:div>
    <w:div w:id="1908026533">
      <w:bodyDiv w:val="1"/>
      <w:marLeft w:val="0"/>
      <w:marRight w:val="0"/>
      <w:marTop w:val="0"/>
      <w:marBottom w:val="0"/>
      <w:divBdr>
        <w:top w:val="none" w:sz="0" w:space="0" w:color="auto"/>
        <w:left w:val="none" w:sz="0" w:space="0" w:color="auto"/>
        <w:bottom w:val="none" w:sz="0" w:space="0" w:color="auto"/>
        <w:right w:val="none" w:sz="0" w:space="0" w:color="auto"/>
      </w:divBdr>
      <w:divsChild>
        <w:div w:id="2090543563">
          <w:marLeft w:val="-720"/>
          <w:marRight w:val="0"/>
          <w:marTop w:val="0"/>
          <w:marBottom w:val="0"/>
          <w:divBdr>
            <w:top w:val="none" w:sz="0" w:space="0" w:color="auto"/>
            <w:left w:val="none" w:sz="0" w:space="0" w:color="auto"/>
            <w:bottom w:val="none" w:sz="0" w:space="0" w:color="auto"/>
            <w:right w:val="none" w:sz="0" w:space="0" w:color="auto"/>
          </w:divBdr>
        </w:div>
      </w:divsChild>
    </w:div>
    <w:div w:id="1948078478">
      <w:bodyDiv w:val="1"/>
      <w:marLeft w:val="0"/>
      <w:marRight w:val="0"/>
      <w:marTop w:val="0"/>
      <w:marBottom w:val="0"/>
      <w:divBdr>
        <w:top w:val="none" w:sz="0" w:space="0" w:color="auto"/>
        <w:left w:val="none" w:sz="0" w:space="0" w:color="auto"/>
        <w:bottom w:val="none" w:sz="0" w:space="0" w:color="auto"/>
        <w:right w:val="none" w:sz="0" w:space="0" w:color="auto"/>
      </w:divBdr>
      <w:divsChild>
        <w:div w:id="120930158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8EC74-E0D5-423C-9E98-45FC7582D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Prop Val Syllabus Winter 2002</vt:lpstr>
    </vt:vector>
  </TitlesOfParts>
  <Company>CB Richard Ellis</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 Val Syllabus Winter 2002</dc:title>
  <dc:subject>Property Valuation</dc:subject>
  <dc:creator>Stephen G. Bell</dc:creator>
  <cp:keywords>DePaul</cp:keywords>
  <cp:lastModifiedBy>Ibalio, Matthew</cp:lastModifiedBy>
  <cp:revision>2</cp:revision>
  <cp:lastPrinted>2023-07-15T19:58:00Z</cp:lastPrinted>
  <dcterms:created xsi:type="dcterms:W3CDTF">2024-10-21T15:13:00Z</dcterms:created>
  <dcterms:modified xsi:type="dcterms:W3CDTF">2024-10-21T15:13:00Z</dcterms:modified>
</cp:coreProperties>
</file>