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100" w:line="259" w:lineRule="auto"/>
        <w:jc w:val="left"/>
      </w:pPr>
      <w:r>
        <w:rPr>
          <w:rFonts w:ascii="Aptos" w:hAnsi="Aptos"/>
          <w:b/>
          <w:color w:val="000000"/>
          <w:sz w:val="21"/>
        </w:rPr>
        <w:t>Delaware School Funding Model Analysis</w:t>
      </w:r>
    </w:p>
    <w:p>
      <w:pPr>
        <w:spacing w:before="160" w:after="100" w:line="259" w:lineRule="auto"/>
        <w:jc w:val="left"/>
      </w:pPr>
      <w:r>
        <w:rPr>
          <w:rFonts w:ascii="Aptos" w:hAnsi="Aptos"/>
          <w:color w:val="000000"/>
          <w:sz w:val="21"/>
        </w:rPr>
        <w:t>Current Model, PEFC Proposed Model, and Independent Technical Reproduction</w:t>
      </w:r>
    </w:p>
    <w:p>
      <w:pPr>
        <w:spacing w:before="560" w:after="100" w:line="259" w:lineRule="auto"/>
      </w:pPr>
      <w:r>
        <w:rPr>
          <w:rFonts w:ascii="Aptos" w:hAnsi="Aptos"/>
          <w:b/>
          <w:color w:val="000000"/>
          <w:sz w:val="21"/>
        </w:rPr>
        <w:t>FIRST FULL DRAFT FOR REVIEW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1F4E78"/>
            <w:tcMar>
              <w:top w:w="75" w:type="dxa"/>
              <w:start w:w="75" w:type="dxa"/>
              <w:bottom w:w="75" w:type="dxa"/>
              <w:end w:w="75" w:type="dxa"/>
            </w:tcMar>
          </w:tcPr>
          <w:p>
            <w:pPr>
              <w:jc w:val="center"/>
            </w:pPr>
            <w:r>
              <w:rPr>
                <w:rFonts w:ascii="Aptos" w:hAnsi="Aptos"/>
                <w:b/>
                <w:color w:val="FFFFFF"/>
                <w:sz w:val="18"/>
              </w:rPr>
              <w:t>Report detail</w:t>
            </w:r>
          </w:p>
        </w:tc>
        <w:tc>
          <w:tcPr>
            <w:tcW w:type="dxa" w:w="6623"/>
            <w:vAlign w:val="center"/>
            <w:shd w:fill="1F4E78"/>
            <w:tcMar>
              <w:top w:w="75" w:type="dxa"/>
              <w:start w:w="75" w:type="dxa"/>
              <w:bottom w:w="75" w:type="dxa"/>
              <w:end w:w="75" w:type="dxa"/>
            </w:tcMar>
          </w:tcPr>
          <w:p>
            <w:pPr>
              <w:jc w:val="center"/>
            </w:pPr>
            <w:r>
              <w:rPr>
                <w:rFonts w:ascii="Aptos" w:hAnsi="Aptos"/>
                <w:b/>
                <w:color w:val="FFFFFF"/>
                <w:sz w:val="18"/>
              </w:rPr>
              <w:t>Value</w:t>
            </w:r>
          </w:p>
        </w:tc>
      </w:tr>
      <w:tr>
        <w:trPr>
          <w:cantSplit/>
        </w:trPr>
        <w:tc>
          <w:tcPr>
            <w:tcW w:type="dxa" w:w="2448"/>
            <w:vAlign w:val="center"/>
            <w:tcMar>
              <w:top w:w="75" w:type="dxa"/>
              <w:start w:w="75" w:type="dxa"/>
              <w:bottom w:w="75" w:type="dxa"/>
              <w:end w:w="75" w:type="dxa"/>
            </w:tcMar>
          </w:tcPr>
          <w:p>
            <w:pPr>
              <w:jc w:val="left"/>
            </w:pPr>
            <w:r>
              <w:rPr>
                <w:rFonts w:ascii="Aptos" w:hAnsi="Aptos"/>
                <w:sz w:val="18"/>
              </w:rPr>
              <w:t>Model year</w:t>
            </w:r>
          </w:p>
        </w:tc>
        <w:tc>
          <w:tcPr>
            <w:tcW w:type="dxa" w:w="6623"/>
            <w:vAlign w:val="center"/>
            <w:tcMar>
              <w:top w:w="75" w:type="dxa"/>
              <w:start w:w="75" w:type="dxa"/>
              <w:bottom w:w="75" w:type="dxa"/>
              <w:end w:w="75" w:type="dxa"/>
            </w:tcMar>
          </w:tcPr>
          <w:p>
            <w:pPr>
              <w:jc w:val="left"/>
            </w:pPr>
            <w:r>
              <w:rPr>
                <w:rFonts w:ascii="Aptos" w:hAnsi="Aptos"/>
                <w:sz w:val="18"/>
              </w:rPr>
              <w:t>School Year 2025–26</w:t>
            </w:r>
          </w:p>
        </w:tc>
      </w:tr>
      <w:tr>
        <w:trPr>
          <w:cantSplit/>
        </w:trPr>
        <w:tc>
          <w:tcPr>
            <w:tcW w:type="dxa" w:w="2448"/>
            <w:vAlign w:val="center"/>
            <w:tcMar>
              <w:top w:w="75" w:type="dxa"/>
              <w:start w:w="75" w:type="dxa"/>
              <w:bottom w:w="75" w:type="dxa"/>
              <w:end w:w="75" w:type="dxa"/>
            </w:tcMar>
          </w:tcPr>
          <w:p>
            <w:pPr>
              <w:jc w:val="left"/>
            </w:pPr>
            <w:r>
              <w:rPr>
                <w:rFonts w:ascii="Aptos" w:hAnsi="Aptos"/>
                <w:sz w:val="18"/>
              </w:rPr>
              <w:t>Count date</w:t>
            </w:r>
          </w:p>
        </w:tc>
        <w:tc>
          <w:tcPr>
            <w:tcW w:type="dxa" w:w="6623"/>
            <w:vAlign w:val="center"/>
            <w:tcMar>
              <w:top w:w="75" w:type="dxa"/>
              <w:start w:w="75" w:type="dxa"/>
              <w:bottom w:w="75" w:type="dxa"/>
              <w:end w:w="75" w:type="dxa"/>
            </w:tcMar>
          </w:tcPr>
          <w:p>
            <w:pPr>
              <w:jc w:val="left"/>
            </w:pPr>
            <w:r>
              <w:rPr>
                <w:rFonts w:ascii="Aptos" w:hAnsi="Aptos"/>
                <w:sz w:val="18"/>
              </w:rPr>
              <w:t>September 30, 2025</w:t>
            </w:r>
          </w:p>
        </w:tc>
      </w:tr>
      <w:tr>
        <w:trPr>
          <w:cantSplit/>
        </w:trPr>
        <w:tc>
          <w:tcPr>
            <w:tcW w:type="dxa" w:w="2448"/>
            <w:vAlign w:val="center"/>
            <w:tcMar>
              <w:top w:w="75" w:type="dxa"/>
              <w:start w:w="75" w:type="dxa"/>
              <w:bottom w:w="75" w:type="dxa"/>
              <w:end w:w="75" w:type="dxa"/>
            </w:tcMar>
          </w:tcPr>
          <w:p>
            <w:pPr>
              <w:jc w:val="left"/>
            </w:pPr>
            <w:r>
              <w:rPr>
                <w:rFonts w:ascii="Aptos" w:hAnsi="Aptos"/>
                <w:sz w:val="18"/>
              </w:rPr>
              <w:t>Final reporting scope</w:t>
            </w:r>
          </w:p>
        </w:tc>
        <w:tc>
          <w:tcPr>
            <w:tcW w:type="dxa" w:w="6623"/>
            <w:vAlign w:val="center"/>
            <w:tcMar>
              <w:top w:w="75" w:type="dxa"/>
              <w:start w:w="75" w:type="dxa"/>
              <w:bottom w:w="75" w:type="dxa"/>
              <w:end w:w="75" w:type="dxa"/>
            </w:tcMar>
          </w:tcPr>
          <w:p>
            <w:pPr>
              <w:jc w:val="left"/>
            </w:pPr>
            <w:r>
              <w:rPr>
                <w:rFonts w:ascii="Aptos" w:hAnsi="Aptos"/>
                <w:sz w:val="18"/>
              </w:rPr>
              <w:t>42 LEAs: 19 districts and 23 charters</w:t>
            </w:r>
          </w:p>
        </w:tc>
      </w:tr>
      <w:tr>
        <w:trPr>
          <w:cantSplit/>
        </w:trPr>
        <w:tc>
          <w:tcPr>
            <w:tcW w:type="dxa" w:w="2448"/>
            <w:vAlign w:val="center"/>
            <w:tcMar>
              <w:top w:w="75" w:type="dxa"/>
              <w:start w:w="75" w:type="dxa"/>
              <w:bottom w:w="75" w:type="dxa"/>
              <w:end w:w="75" w:type="dxa"/>
            </w:tcMar>
          </w:tcPr>
          <w:p>
            <w:pPr>
              <w:jc w:val="left"/>
            </w:pPr>
            <w:r>
              <w:rPr>
                <w:rFonts w:ascii="Aptos" w:hAnsi="Aptos"/>
                <w:sz w:val="18"/>
              </w:rPr>
              <w:t>Analysis run</w:t>
            </w:r>
          </w:p>
        </w:tc>
        <w:tc>
          <w:tcPr>
            <w:tcW w:type="dxa" w:w="6623"/>
            <w:vAlign w:val="center"/>
            <w:tcMar>
              <w:top w:w="75" w:type="dxa"/>
              <w:start w:w="75" w:type="dxa"/>
              <w:bottom w:w="75" w:type="dxa"/>
              <w:end w:w="75" w:type="dxa"/>
            </w:tcMar>
          </w:tcPr>
          <w:p>
            <w:pPr>
              <w:jc w:val="left"/>
            </w:pPr>
            <w:r>
              <w:rPr>
                <w:rFonts w:ascii="Aptos" w:hAnsi="Aptos"/>
                <w:sz w:val="18"/>
              </w:rPr>
              <w:t>July 23, 2026; Step 11 version 2026-07-23-v3</w:t>
            </w:r>
          </w:p>
        </w:tc>
      </w:tr>
      <w:tr>
        <w:trPr>
          <w:cantSplit/>
        </w:trPr>
        <w:tc>
          <w:tcPr>
            <w:tcW w:type="dxa" w:w="2448"/>
            <w:vAlign w:val="center"/>
            <w:tcMar>
              <w:top w:w="75" w:type="dxa"/>
              <w:start w:w="75" w:type="dxa"/>
              <w:bottom w:w="75" w:type="dxa"/>
              <w:end w:w="75" w:type="dxa"/>
            </w:tcMar>
          </w:tcPr>
          <w:p>
            <w:pPr>
              <w:jc w:val="left"/>
            </w:pPr>
            <w:r>
              <w:rPr>
                <w:rFonts w:ascii="Aptos" w:hAnsi="Aptos"/>
                <w:sz w:val="18"/>
              </w:rPr>
              <w:t>Status</w:t>
            </w:r>
          </w:p>
        </w:tc>
        <w:tc>
          <w:tcPr>
            <w:tcW w:type="dxa" w:w="6623"/>
            <w:vAlign w:val="center"/>
            <w:tcMar>
              <w:top w:w="75" w:type="dxa"/>
              <w:start w:w="75" w:type="dxa"/>
              <w:bottom w:w="75" w:type="dxa"/>
              <w:end w:w="75" w:type="dxa"/>
            </w:tcMar>
          </w:tcPr>
          <w:p>
            <w:pPr>
              <w:jc w:val="left"/>
            </w:pPr>
            <w:r>
              <w:rPr>
                <w:rFonts w:ascii="Aptos" w:hAnsi="Aptos"/>
                <w:sz w:val="18"/>
              </w:rPr>
              <w:t>Working draft; technical appendices will be delivered separately</w:t>
            </w:r>
          </w:p>
        </w:tc>
      </w:tr>
    </w:tbl>
    <w:p>
      <w:pPr>
        <w:spacing w:after="100" w:line="259" w:lineRule="auto"/>
      </w:pPr>
    </w:p>
    <w:p>
      <w:pPr>
        <w:spacing w:before="680" w:after="100" w:line="259" w:lineRule="auto"/>
      </w:pPr>
      <w:r>
        <w:rPr>
          <w:rFonts w:ascii="Aptos" w:hAnsi="Aptos"/>
          <w:b/>
          <w:color w:val="000000"/>
          <w:sz w:val="21"/>
        </w:rPr>
        <w:t>Important interpretation note</w:t>
      </w:r>
    </w:p>
    <w:p>
      <w:pPr>
        <w:spacing w:after="100" w:line="259" w:lineRule="auto"/>
      </w:pPr>
      <w:r>
        <w:rPr>
          <w:rFonts w:ascii="Aptos" w:hAnsi="Aptos"/>
          <w:color w:val="000000"/>
          <w:sz w:val="21"/>
        </w:rPr>
        <w:t>The modeled differences in this report are not confirmed net fiscal impacts. The recreated current baseline is incomplete, and current appropriations that may continue, be consolidated, or be replaced by proposed weighted funding have not been fully netted.</w:t>
      </w:r>
    </w:p>
    <w:p>
      <w:pPr>
        <w:spacing w:after="100" w:line="259" w:lineRule="auto"/>
      </w:pPr>
      <w:r>
        <w:rPr>
          <w:rFonts w:ascii="Aptos" w:hAnsi="Aptos"/>
          <w:color w:val="000000"/>
          <w:sz w:val="21"/>
        </w:rPr>
        <w:br w:type="page"/>
      </w:r>
    </w:p>
    <w:p>
      <w:pPr>
        <w:pStyle w:val="Heading1"/>
        <w:keepNext/>
      </w:pPr>
      <w:r>
        <w:t>Contents</w:t>
      </w:r>
    </w:p>
    <w:p>
      <w:pPr>
        <w:spacing w:after="100" w:line="259" w:lineRule="auto"/>
        <w:ind w:left="216"/>
      </w:pPr>
      <w:r>
        <w:rPr>
          <w:rFonts w:ascii="Aptos" w:hAnsi="Aptos"/>
          <w:b/>
          <w:color w:val="000000"/>
          <w:sz w:val="21"/>
        </w:rPr>
        <w:t>Executive Summary</w:t>
      </w:r>
    </w:p>
    <w:p>
      <w:pPr>
        <w:spacing w:after="100" w:line="259" w:lineRule="auto"/>
        <w:ind w:left="0"/>
      </w:pPr>
      <w:r>
        <w:rPr>
          <w:rFonts w:ascii="Aptos" w:hAnsi="Aptos"/>
          <w:b w:val="0"/>
          <w:color w:val="000000"/>
          <w:sz w:val="21"/>
        </w:rPr>
        <w:t>1. Purpose, Scope, and Methods</w:t>
      </w:r>
    </w:p>
    <w:p>
      <w:pPr>
        <w:spacing w:after="100" w:line="259" w:lineRule="auto"/>
        <w:ind w:left="0"/>
      </w:pPr>
      <w:r>
        <w:rPr>
          <w:rFonts w:ascii="Aptos" w:hAnsi="Aptos"/>
          <w:b w:val="0"/>
          <w:color w:val="000000"/>
          <w:sz w:val="21"/>
        </w:rPr>
        <w:t>2. The Current Funding Model as Recreated in the Analysis</w:t>
      </w:r>
    </w:p>
    <w:p>
      <w:pPr>
        <w:spacing w:after="100" w:line="259" w:lineRule="auto"/>
        <w:ind w:left="0"/>
      </w:pPr>
      <w:r>
        <w:rPr>
          <w:rFonts w:ascii="Aptos" w:hAnsi="Aptos"/>
          <w:b w:val="0"/>
          <w:color w:val="000000"/>
          <w:sz w:val="21"/>
        </w:rPr>
        <w:t>3. The PEFC Proposed Model as Presented</w:t>
      </w:r>
    </w:p>
    <w:p>
      <w:pPr>
        <w:spacing w:after="100" w:line="259" w:lineRule="auto"/>
        <w:ind w:left="0"/>
      </w:pPr>
      <w:r>
        <w:rPr>
          <w:rFonts w:ascii="Aptos" w:hAnsi="Aptos"/>
          <w:b w:val="0"/>
          <w:color w:val="000000"/>
          <w:sz w:val="21"/>
        </w:rPr>
        <w:t>4. Independent Technical Review and Reproduction of the Proposed Model</w:t>
      </w:r>
    </w:p>
    <w:p>
      <w:pPr>
        <w:spacing w:after="100" w:line="259" w:lineRule="auto"/>
        <w:ind w:left="0"/>
      </w:pPr>
      <w:r>
        <w:rPr>
          <w:rFonts w:ascii="Aptos" w:hAnsi="Aptos"/>
          <w:b w:val="0"/>
          <w:color w:val="000000"/>
          <w:sz w:val="21"/>
        </w:rPr>
        <w:t>5. Three-Way Model Comparison</w:t>
      </w:r>
    </w:p>
    <w:p>
      <w:pPr>
        <w:spacing w:after="100" w:line="259" w:lineRule="auto"/>
        <w:ind w:left="0"/>
      </w:pPr>
      <w:r>
        <w:rPr>
          <w:rFonts w:ascii="Aptos" w:hAnsi="Aptos"/>
          <w:b w:val="0"/>
          <w:color w:val="000000"/>
          <w:sz w:val="21"/>
        </w:rPr>
        <w:t>6. Key Findings</w:t>
      </w:r>
    </w:p>
    <w:p>
      <w:pPr>
        <w:spacing w:after="100" w:line="259" w:lineRule="auto"/>
        <w:ind w:left="0"/>
      </w:pPr>
      <w:r>
        <w:rPr>
          <w:rFonts w:ascii="Aptos" w:hAnsi="Aptos"/>
          <w:b w:val="0"/>
          <w:color w:val="000000"/>
          <w:sz w:val="21"/>
        </w:rPr>
        <w:t>7. Limitations, Unresolved Questions, and Next Steps</w:t>
      </w:r>
    </w:p>
    <w:p>
      <w:pPr>
        <w:spacing w:after="100" w:line="259" w:lineRule="auto"/>
        <w:ind w:left="216"/>
      </w:pPr>
      <w:r>
        <w:rPr>
          <w:rFonts w:ascii="Aptos" w:hAnsi="Aptos"/>
          <w:b/>
          <w:color w:val="000000"/>
          <w:sz w:val="21"/>
        </w:rPr>
        <w:t>Companion Technical Appendices</w:t>
      </w:r>
    </w:p>
    <w:tbl>
      <w:tblPr>
        <w:tblW w:type="auto" w:w="0"/>
        <w:jc w:val="center"/>
        <w:tblLayout w:type="fixed"/>
        <w:tblLook w:firstColumn="1" w:firstRow="1" w:lastColumn="0" w:lastRow="0" w:noHBand="0" w:noVBand="1" w:val="04A0"/>
      </w:tblPr>
      <w:tblGrid>
        <w:gridCol w:w="10166"/>
      </w:tblGrid>
      <w:tr>
        <w:trPr>
          <w:cantSplit/>
          <w:tblHeader/>
        </w:trPr>
        <w:tc>
          <w:tcPr>
            <w:tcW w:type="dxa" w:w="9216"/>
            <w:shd w:fill="EEF5FA"/>
            <w:tcMar>
              <w:top w:w="130" w:type="dxa"/>
              <w:start w:w="160" w:type="dxa"/>
              <w:bottom w:w="130" w:type="dxa"/>
              <w:end w:w="160" w:type="dxa"/>
            </w:tcMar>
          </w:tcPr>
          <w:p>
            <w:pPr>
              <w:spacing w:after="60"/>
            </w:pPr>
            <w:r>
              <w:rPr>
                <w:rFonts w:ascii="Aptos" w:hAnsi="Aptos"/>
                <w:b/>
                <w:color w:val="1F4E78"/>
                <w:sz w:val="21"/>
              </w:rPr>
              <w:t>How this report uses model names</w:t>
            </w:r>
          </w:p>
          <w:p>
            <w:pPr>
              <w:spacing w:after="0"/>
            </w:pPr>
            <w:r>
              <w:rPr>
                <w:rFonts w:ascii="Aptos" w:hAnsi="Aptos"/>
                <w:sz w:val="19"/>
              </w:rPr>
              <w:t>The report distinguishes three separate analytical objects throughout: the Recreated Current Model, the PEFC Proposed Model as Presented, and the Independent Technical Review and Reproduction of the Proposed Model. The shorter term “independent reproduction” is used only after the full name has been introduced.</w:t>
            </w:r>
          </w:p>
        </w:tc>
      </w:tr>
    </w:tbl>
    <w:p>
      <w:pPr>
        <w:spacing w:after="100" w:line="259" w:lineRule="auto"/>
      </w:pPr>
    </w:p>
    <w:p>
      <w:pPr>
        <w:spacing w:after="100" w:line="259" w:lineRule="auto"/>
      </w:pPr>
      <w:r>
        <w:rPr>
          <w:rFonts w:ascii="Aptos" w:hAnsi="Aptos"/>
          <w:color w:val="000000"/>
          <w:sz w:val="21"/>
        </w:rPr>
        <w:br w:type="page"/>
      </w:r>
    </w:p>
    <w:p>
      <w:pPr>
        <w:pStyle w:val="Heading1"/>
        <w:keepNext/>
      </w:pPr>
      <w:r>
        <w:t>Executive Summary</w:t>
      </w:r>
    </w:p>
    <w:p>
      <w:pPr>
        <w:spacing w:after="100" w:line="259" w:lineRule="auto"/>
      </w:pPr>
      <w:r>
        <w:rPr>
          <w:rFonts w:ascii="Aptos" w:hAnsi="Aptos"/>
          <w:color w:val="000000"/>
          <w:sz w:val="21"/>
        </w:rPr>
        <w:t>Delaware’s current funding model and the proposed hybrid funding model are not simple variations of the same formula. The current model assigns many teaching, support, administrative, and operating positions through separate unit, threshold, and eligibility rules. The Public Education Funding Commission (PEFC) proposal retains position-based funding, reorganizes it into Base and Central Office sections, and adds two weighted-student funding pools: Opportunity Funding and Operational Funding.</w:t>
      </w:r>
    </w:p>
    <w:p>
      <w:pPr>
        <w:spacing w:after="100" w:line="259" w:lineRule="auto"/>
      </w:pPr>
      <w:r>
        <w:rPr>
          <w:rFonts w:ascii="Aptos" w:hAnsi="Aptos"/>
          <w:color w:val="000000"/>
          <w:sz w:val="21"/>
        </w:rPr>
        <w:t>This report compares three distinct versions of that work. The Recreated Current Model is a reproducible, but partial, reconstruction of the current position-based system. The PEFC Proposed Model as Presented reports the calculator exactly as supplied, including its own inputs, formulas, and scope. The Independent Technical Review and Reproduction of the Proposed Model uses reconciled Unit Count inputs, documented implementation guidance, explicit interpretation rules, and reproducible quality-control checks.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328"/>
            <w:vAlign w:val="center"/>
            <w:shd w:fill="1F4E78"/>
            <w:tcMar>
              <w:top w:w="75" w:type="dxa"/>
              <w:start w:w="75" w:type="dxa"/>
              <w:bottom w:w="75" w:type="dxa"/>
              <w:end w:w="75" w:type="dxa"/>
            </w:tcMar>
          </w:tcPr>
          <w:p>
            <w:pPr>
              <w:jc w:val="center"/>
            </w:pPr>
            <w:r>
              <w:rPr>
                <w:rFonts w:ascii="Aptos" w:hAnsi="Aptos"/>
                <w:b/>
                <w:color w:val="FFFFFF"/>
                <w:sz w:val="18"/>
              </w:rPr>
              <w:t>Key measure</w:t>
            </w:r>
          </w:p>
        </w:tc>
        <w:tc>
          <w:tcPr>
            <w:tcW w:type="dxa" w:w="3744"/>
            <w:vAlign w:val="center"/>
            <w:shd w:fill="1F4E78"/>
            <w:tcMar>
              <w:top w:w="75" w:type="dxa"/>
              <w:start w:w="75" w:type="dxa"/>
              <w:bottom w:w="75" w:type="dxa"/>
              <w:end w:w="75" w:type="dxa"/>
            </w:tcMar>
          </w:tcPr>
          <w:p>
            <w:pPr>
              <w:jc w:val="center"/>
            </w:pPr>
            <w:r>
              <w:rPr>
                <w:rFonts w:ascii="Aptos" w:hAnsi="Aptos"/>
                <w:b/>
                <w:color w:val="FFFFFF"/>
                <w:sz w:val="18"/>
              </w:rPr>
              <w:t>Statewide result</w:t>
            </w:r>
          </w:p>
        </w:tc>
      </w:tr>
      <w:tr>
        <w:trPr>
          <w:cantSplit/>
        </w:trPr>
        <w:tc>
          <w:tcPr>
            <w:tcW w:type="dxa" w:w="5328"/>
            <w:vAlign w:val="center"/>
            <w:tcMar>
              <w:top w:w="75" w:type="dxa"/>
              <w:start w:w="75" w:type="dxa"/>
              <w:bottom w:w="75" w:type="dxa"/>
              <w:end w:w="75" w:type="dxa"/>
            </w:tcMar>
          </w:tcPr>
          <w:p>
            <w:pPr>
              <w:jc w:val="left"/>
            </w:pPr>
            <w:r>
              <w:rPr>
                <w:rFonts w:ascii="Aptos" w:hAnsi="Aptos"/>
                <w:sz w:val="18"/>
              </w:rPr>
              <w:t>Partial recreated current funding</w:t>
            </w:r>
          </w:p>
        </w:tc>
        <w:tc>
          <w:tcPr>
            <w:tcW w:type="dxa" w:w="3744"/>
            <w:vAlign w:val="center"/>
            <w:tcMar>
              <w:top w:w="75" w:type="dxa"/>
              <w:start w:w="75" w:type="dxa"/>
              <w:bottom w:w="75" w:type="dxa"/>
              <w:end w:w="75" w:type="dxa"/>
            </w:tcMar>
          </w:tcPr>
          <w:p>
            <w:pPr>
              <w:jc w:val="right"/>
            </w:pPr>
            <w:r>
              <w:rPr>
                <w:rFonts w:ascii="Aptos" w:hAnsi="Aptos"/>
                <w:sz w:val="18"/>
              </w:rPr>
              <w:t>$1,562.2M</w:t>
            </w:r>
          </w:p>
        </w:tc>
      </w:tr>
      <w:tr>
        <w:trPr>
          <w:cantSplit/>
        </w:trPr>
        <w:tc>
          <w:tcPr>
            <w:tcW w:type="dxa" w:w="5328"/>
            <w:shd w:fill="EEF5FA"/>
            <w:vAlign w:val="center"/>
            <w:tcMar>
              <w:top w:w="75" w:type="dxa"/>
              <w:start w:w="75" w:type="dxa"/>
              <w:bottom w:w="75" w:type="dxa"/>
              <w:end w:w="75" w:type="dxa"/>
            </w:tcMar>
          </w:tcPr>
          <w:p>
            <w:pPr>
              <w:jc w:val="left"/>
            </w:pPr>
            <w:r>
              <w:rPr>
                <w:rFonts w:ascii="Aptos" w:hAnsi="Aptos"/>
                <w:sz w:val="18"/>
              </w:rPr>
              <w:t>Independent position-based funding</w:t>
            </w:r>
          </w:p>
        </w:tc>
        <w:tc>
          <w:tcPr>
            <w:tcW w:type="dxa" w:w="3744"/>
            <w:shd w:fill="EEF5FA"/>
            <w:vAlign w:val="center"/>
            <w:tcMar>
              <w:top w:w="75" w:type="dxa"/>
              <w:start w:w="75" w:type="dxa"/>
              <w:bottom w:w="75" w:type="dxa"/>
              <w:end w:w="75" w:type="dxa"/>
            </w:tcMar>
          </w:tcPr>
          <w:p>
            <w:pPr>
              <w:jc w:val="right"/>
            </w:pPr>
            <w:r>
              <w:rPr>
                <w:rFonts w:ascii="Aptos" w:hAnsi="Aptos"/>
                <w:sz w:val="18"/>
              </w:rPr>
              <w:t>$1,614.0M</w:t>
            </w:r>
          </w:p>
        </w:tc>
      </w:tr>
      <w:tr>
        <w:trPr>
          <w:cantSplit/>
        </w:trPr>
        <w:tc>
          <w:tcPr>
            <w:tcW w:type="dxa" w:w="5328"/>
            <w:vAlign w:val="center"/>
            <w:tcMar>
              <w:top w:w="75" w:type="dxa"/>
              <w:start w:w="75" w:type="dxa"/>
              <w:bottom w:w="75" w:type="dxa"/>
              <w:end w:w="75" w:type="dxa"/>
            </w:tcMar>
          </w:tcPr>
          <w:p>
            <w:pPr>
              <w:jc w:val="left"/>
            </w:pPr>
            <w:r>
              <w:rPr>
                <w:rFonts w:ascii="Aptos" w:hAnsi="Aptos"/>
                <w:sz w:val="18"/>
              </w:rPr>
              <w:t>Position-based modeled difference</w:t>
            </w:r>
          </w:p>
        </w:tc>
        <w:tc>
          <w:tcPr>
            <w:tcW w:type="dxa" w:w="3744"/>
            <w:vAlign w:val="center"/>
            <w:tcMar>
              <w:top w:w="75" w:type="dxa"/>
              <w:start w:w="75" w:type="dxa"/>
              <w:bottom w:w="75" w:type="dxa"/>
              <w:end w:w="75" w:type="dxa"/>
            </w:tcMar>
          </w:tcPr>
          <w:p>
            <w:pPr>
              <w:jc w:val="right"/>
            </w:pPr>
            <w:r>
              <w:rPr>
                <w:rFonts w:ascii="Aptos" w:hAnsi="Aptos"/>
                <w:sz w:val="18"/>
              </w:rPr>
              <w:t>$51.8M (+3.3%)</w:t>
            </w:r>
          </w:p>
        </w:tc>
      </w:tr>
      <w:tr>
        <w:trPr>
          <w:cantSplit/>
        </w:trPr>
        <w:tc>
          <w:tcPr>
            <w:tcW w:type="dxa" w:w="5328"/>
            <w:shd w:fill="EEF5FA"/>
            <w:vAlign w:val="center"/>
            <w:tcMar>
              <w:top w:w="75" w:type="dxa"/>
              <w:start w:w="75" w:type="dxa"/>
              <w:bottom w:w="75" w:type="dxa"/>
              <w:end w:w="75" w:type="dxa"/>
            </w:tcMar>
          </w:tcPr>
          <w:p>
            <w:pPr>
              <w:jc w:val="left"/>
            </w:pPr>
            <w:r>
              <w:rPr>
                <w:rFonts w:ascii="Aptos" w:hAnsi="Aptos"/>
                <w:sz w:val="18"/>
              </w:rPr>
              <w:t>Proposed weighted funding</w:t>
            </w:r>
          </w:p>
        </w:tc>
        <w:tc>
          <w:tcPr>
            <w:tcW w:type="dxa" w:w="3744"/>
            <w:shd w:fill="EEF5FA"/>
            <w:vAlign w:val="center"/>
            <w:tcMar>
              <w:top w:w="75" w:type="dxa"/>
              <w:start w:w="75" w:type="dxa"/>
              <w:bottom w:w="75" w:type="dxa"/>
              <w:end w:w="75" w:type="dxa"/>
            </w:tcMar>
          </w:tcPr>
          <w:p>
            <w:pPr>
              <w:jc w:val="right"/>
            </w:pPr>
            <w:r>
              <w:rPr>
                <w:rFonts w:ascii="Aptos" w:hAnsi="Aptos"/>
                <w:sz w:val="18"/>
              </w:rPr>
              <w:t>$442.0M</w:t>
            </w:r>
          </w:p>
        </w:tc>
      </w:tr>
      <w:tr>
        <w:trPr>
          <w:cantSplit/>
        </w:trPr>
        <w:tc>
          <w:tcPr>
            <w:tcW w:type="dxa" w:w="5328"/>
            <w:vAlign w:val="center"/>
            <w:tcMar>
              <w:top w:w="75" w:type="dxa"/>
              <w:start w:w="75" w:type="dxa"/>
              <w:bottom w:w="75" w:type="dxa"/>
              <w:end w:w="75" w:type="dxa"/>
            </w:tcMar>
          </w:tcPr>
          <w:p>
            <w:pPr>
              <w:jc w:val="left"/>
            </w:pPr>
            <w:r>
              <w:rPr>
                <w:rFonts w:ascii="Aptos" w:hAnsi="Aptos"/>
                <w:sz w:val="18"/>
              </w:rPr>
              <w:t>Independent total modeled funding</w:t>
            </w:r>
          </w:p>
        </w:tc>
        <w:tc>
          <w:tcPr>
            <w:tcW w:type="dxa" w:w="3744"/>
            <w:vAlign w:val="center"/>
            <w:tcMar>
              <w:top w:w="75" w:type="dxa"/>
              <w:start w:w="75" w:type="dxa"/>
              <w:bottom w:w="75" w:type="dxa"/>
              <w:end w:w="75" w:type="dxa"/>
            </w:tcMar>
          </w:tcPr>
          <w:p>
            <w:pPr>
              <w:jc w:val="right"/>
            </w:pPr>
            <w:r>
              <w:rPr>
                <w:rFonts w:ascii="Aptos" w:hAnsi="Aptos"/>
                <w:sz w:val="18"/>
              </w:rPr>
              <w:t>$2,056.1M</w:t>
            </w:r>
          </w:p>
        </w:tc>
      </w:tr>
      <w:tr>
        <w:trPr>
          <w:cantSplit/>
        </w:trPr>
        <w:tc>
          <w:tcPr>
            <w:tcW w:type="dxa" w:w="5328"/>
            <w:shd w:fill="EEF5FA"/>
            <w:vAlign w:val="center"/>
            <w:tcMar>
              <w:top w:w="75" w:type="dxa"/>
              <w:start w:w="75" w:type="dxa"/>
              <w:bottom w:w="75" w:type="dxa"/>
              <w:end w:w="75" w:type="dxa"/>
            </w:tcMar>
          </w:tcPr>
          <w:p>
            <w:pPr>
              <w:jc w:val="left"/>
            </w:pPr>
            <w:r>
              <w:rPr>
                <w:rFonts w:ascii="Aptos" w:hAnsi="Aptos"/>
                <w:sz w:val="18"/>
              </w:rPr>
              <w:t>Gross modeled difference</w:t>
            </w:r>
          </w:p>
        </w:tc>
        <w:tc>
          <w:tcPr>
            <w:tcW w:type="dxa" w:w="3744"/>
            <w:shd w:fill="EEF5FA"/>
            <w:vAlign w:val="center"/>
            <w:tcMar>
              <w:top w:w="75" w:type="dxa"/>
              <w:start w:w="75" w:type="dxa"/>
              <w:bottom w:w="75" w:type="dxa"/>
              <w:end w:w="75" w:type="dxa"/>
            </w:tcMar>
          </w:tcPr>
          <w:p>
            <w:pPr>
              <w:jc w:val="right"/>
            </w:pPr>
            <w:r>
              <w:rPr>
                <w:rFonts w:ascii="Aptos" w:hAnsi="Aptos"/>
                <w:sz w:val="18"/>
              </w:rPr>
              <w:t>$493.8M (+31.6%)</w:t>
            </w:r>
          </w:p>
        </w:tc>
      </w:tr>
    </w:tbl>
    <w:p>
      <w:pPr>
        <w:spacing w:after="100" w:line="259" w:lineRule="auto"/>
      </w:pPr>
    </w:p>
    <w:p>
      <w:pPr>
        <w:spacing w:after="100" w:line="259" w:lineRule="auto"/>
      </w:pPr>
      <w:r>
        <w:rPr>
          <w:rFonts w:ascii="Aptos" w:hAnsi="Aptos"/>
          <w:color w:val="000000"/>
          <w:sz w:val="21"/>
        </w:rPr>
        <w:t>The closest available like-for-like comparison is position based. In the final 42-LEA scope, proposed Base and Central Office Funding total $1.614 billion. That is $51.8 million, or 3.3%, above the $1.562 billion captured in the partial Recreated Current Model. The comparison is still preliminary because the current baseline does not yet include all custodial, cafeteria, and facilities quantities or rates.</w:t>
      </w:r>
    </w:p>
    <w:p>
      <w:pPr>
        <w:spacing w:after="100" w:line="259" w:lineRule="auto"/>
      </w:pPr>
      <w:r>
        <w:rPr>
          <w:rFonts w:ascii="Aptos" w:hAnsi="Aptos"/>
          <w:color w:val="000000"/>
          <w:sz w:val="21"/>
        </w:rPr>
        <w:t>The complete independent reproduction totals $2.056 billion after adding the fixed $163.0 million Opportunity pool and $279.0268 million Operational pool. Compared with the partial current baseline, the gross modeled difference is $493.8 million, or 31.6%. This is not a confirmed increase in state spending. It does not subtract current appropriations that may continue, change form, or be replaced under the proposed model.</w:t>
      </w:r>
    </w:p>
    <w:tbl>
      <w:tblPr>
        <w:tblW w:type="auto" w:w="0"/>
        <w:jc w:val="center"/>
        <w:tblLayout w:type="fixed"/>
        <w:tblLook w:firstColumn="1" w:firstRow="1" w:lastColumn="0" w:lastRow="0" w:noHBand="0" w:noVBand="1" w:val="04A0"/>
      </w:tblPr>
      <w:tblGrid>
        <w:gridCol w:w="10166"/>
      </w:tblGrid>
      <w:tr>
        <w:trPr>
          <w:cantSplit/>
          <w:tblHeader/>
        </w:trPr>
        <w:tc>
          <w:tcPr>
            <w:tcW w:type="dxa" w:w="9216"/>
            <w:shd w:fill="FFF2CC"/>
            <w:tcMar>
              <w:top w:w="130" w:type="dxa"/>
              <w:start w:w="160" w:type="dxa"/>
              <w:bottom w:w="130" w:type="dxa"/>
              <w:end w:w="160" w:type="dxa"/>
            </w:tcMar>
          </w:tcPr>
          <w:p>
            <w:pPr>
              <w:spacing w:after="60"/>
            </w:pPr>
            <w:r>
              <w:rPr>
                <w:rFonts w:ascii="Aptos" w:hAnsi="Aptos"/>
                <w:b/>
                <w:color w:val="1F4E78"/>
                <w:sz w:val="21"/>
              </w:rPr>
              <w:t>Scope changes the PEFC comparison</w:t>
            </w:r>
          </w:p>
          <w:p>
            <w:pPr>
              <w:spacing w:after="0"/>
            </w:pPr>
            <w:r>
              <w:rPr>
                <w:rFonts w:ascii="Aptos" w:hAnsi="Aptos"/>
                <w:sz w:val="19"/>
              </w:rPr>
              <w:t>The PEFC calculator displays $2.0596 billion statewide, about $3.51 million above the independent reproduction. When the PEFC LEA rows are restricted to the same final 42-LEA scope, the PEFC amount is $2.0519 billion, about $4.13 million below the independent reproduction. The direction of the difference therefore changes after scope alignment.</w:t>
            </w:r>
          </w:p>
        </w:tc>
      </w:tr>
    </w:tbl>
    <w:p>
      <w:pPr>
        <w:spacing w:after="100" w:line="259" w:lineRule="auto"/>
      </w:pPr>
    </w:p>
    <w:p>
      <w:pPr>
        <w:keepNext/>
        <w:spacing w:before="160" w:after="100" w:line="259" w:lineRule="auto"/>
      </w:pPr>
      <w:r>
        <w:rPr>
          <w:rFonts w:ascii="Aptos" w:hAnsi="Aptos"/>
          <w:b/>
          <w:color w:val="000000"/>
          <w:sz w:val="21"/>
        </w:rPr>
        <w:t>Exhibit 1. Statewide funding summary across the three model versions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vAlign w:val="center"/>
            <w:shd w:fill="1F4E78"/>
            <w:tcMar>
              <w:top w:w="75" w:type="dxa"/>
              <w:start w:w="75" w:type="dxa"/>
              <w:bottom w:w="75" w:type="dxa"/>
              <w:end w:w="75" w:type="dxa"/>
            </w:tcMar>
          </w:tcPr>
          <w:p>
            <w:pPr>
              <w:jc w:val="center"/>
            </w:pPr>
            <w:r>
              <w:rPr>
                <w:rFonts w:ascii="Aptos" w:hAnsi="Aptos"/>
                <w:b/>
                <w:color w:val="FFFFFF"/>
                <w:sz w:val="16"/>
              </w:rPr>
              <w:t>Funding measure</w:t>
            </w:r>
          </w:p>
        </w:tc>
        <w:tc>
          <w:tcPr>
            <w:tcW w:type="dxa" w:w="1800"/>
            <w:vAlign w:val="center"/>
            <w:shd w:fill="1F4E78"/>
            <w:tcMar>
              <w:top w:w="75" w:type="dxa"/>
              <w:start w:w="75" w:type="dxa"/>
              <w:bottom w:w="75" w:type="dxa"/>
              <w:end w:w="75" w:type="dxa"/>
            </w:tcMar>
          </w:tcPr>
          <w:p>
            <w:pPr>
              <w:jc w:val="center"/>
            </w:pPr>
            <w:r>
              <w:rPr>
                <w:rFonts w:ascii="Aptos" w:hAnsi="Aptos"/>
                <w:b/>
                <w:color w:val="FFFFFF"/>
                <w:sz w:val="16"/>
              </w:rPr>
              <w:t>Recreated Current Model</w:t>
            </w:r>
          </w:p>
        </w:tc>
        <w:tc>
          <w:tcPr>
            <w:tcW w:type="dxa" w:w="1728"/>
            <w:vAlign w:val="center"/>
            <w:shd w:fill="1F4E78"/>
            <w:tcMar>
              <w:top w:w="75" w:type="dxa"/>
              <w:start w:w="75" w:type="dxa"/>
              <w:bottom w:w="75" w:type="dxa"/>
              <w:end w:w="75" w:type="dxa"/>
            </w:tcMar>
          </w:tcPr>
          <w:p>
            <w:pPr>
              <w:jc w:val="center"/>
            </w:pPr>
            <w:r>
              <w:rPr>
                <w:rFonts w:ascii="Aptos" w:hAnsi="Aptos"/>
                <w:b/>
                <w:color w:val="FFFFFF"/>
                <w:sz w:val="16"/>
              </w:rPr>
              <w:t>PEFC as presented</w:t>
            </w:r>
          </w:p>
        </w:tc>
        <w:tc>
          <w:tcPr>
            <w:tcW w:type="dxa" w:w="1728"/>
            <w:vAlign w:val="center"/>
            <w:shd w:fill="1F4E78"/>
            <w:tcMar>
              <w:top w:w="75" w:type="dxa"/>
              <w:start w:w="75" w:type="dxa"/>
              <w:bottom w:w="75" w:type="dxa"/>
              <w:end w:w="75" w:type="dxa"/>
            </w:tcMar>
          </w:tcPr>
          <w:p>
            <w:pPr>
              <w:jc w:val="center"/>
            </w:pPr>
            <w:r>
              <w:rPr>
                <w:rFonts w:ascii="Aptos" w:hAnsi="Aptos"/>
                <w:b/>
                <w:color w:val="FFFFFF"/>
                <w:sz w:val="16"/>
              </w:rPr>
              <w:t>Independent reproduction</w:t>
            </w:r>
          </w:p>
        </w:tc>
        <w:tc>
          <w:tcPr>
            <w:tcW w:type="dxa" w:w="1800"/>
            <w:vAlign w:val="center"/>
            <w:shd w:fill="1F4E78"/>
            <w:tcMar>
              <w:top w:w="75" w:type="dxa"/>
              <w:start w:w="75" w:type="dxa"/>
              <w:bottom w:w="75" w:type="dxa"/>
              <w:end w:w="75" w:type="dxa"/>
            </w:tcMar>
          </w:tcPr>
          <w:p>
            <w:pPr>
              <w:jc w:val="center"/>
            </w:pPr>
            <w:r>
              <w:rPr>
                <w:rFonts w:ascii="Aptos" w:hAnsi="Aptos"/>
                <w:b/>
                <w:color w:val="FFFFFF"/>
                <w:sz w:val="16"/>
              </w:rPr>
              <w:t>Comparability</w:t>
            </w:r>
          </w:p>
        </w:tc>
      </w:tr>
      <w:tr>
        <w:trPr>
          <w:cantSplit/>
        </w:trPr>
        <w:tc>
          <w:tcPr>
            <w:tcW w:type="dxa" w:w="2232"/>
            <w:vAlign w:val="center"/>
            <w:tcMar>
              <w:top w:w="75" w:type="dxa"/>
              <w:start w:w="75" w:type="dxa"/>
              <w:bottom w:w="75" w:type="dxa"/>
              <w:end w:w="75" w:type="dxa"/>
            </w:tcMar>
          </w:tcPr>
          <w:p>
            <w:pPr>
              <w:jc w:val="left"/>
            </w:pPr>
            <w:r>
              <w:rPr>
                <w:rFonts w:ascii="Aptos" w:hAnsi="Aptos"/>
                <w:sz w:val="16"/>
              </w:rPr>
              <w:t>Base Funding</w:t>
            </w:r>
          </w:p>
        </w:tc>
        <w:tc>
          <w:tcPr>
            <w:tcW w:type="dxa" w:w="1800"/>
            <w:vAlign w:val="center"/>
            <w:tcMar>
              <w:top w:w="75" w:type="dxa"/>
              <w:start w:w="75" w:type="dxa"/>
              <w:bottom w:w="75" w:type="dxa"/>
              <w:end w:w="75" w:type="dxa"/>
            </w:tcMar>
          </w:tcPr>
          <w:p>
            <w:pPr>
              <w:jc w:val="right"/>
            </w:pPr>
            <w:r>
              <w:rPr>
                <w:rFonts w:ascii="Aptos" w:hAnsi="Aptos"/>
                <w:sz w:val="16"/>
              </w:rPr>
              <w:t>$1,526.7M</w:t>
            </w:r>
          </w:p>
        </w:tc>
        <w:tc>
          <w:tcPr>
            <w:tcW w:type="dxa" w:w="1728"/>
            <w:vAlign w:val="center"/>
            <w:tcMar>
              <w:top w:w="75" w:type="dxa"/>
              <w:start w:w="75" w:type="dxa"/>
              <w:bottom w:w="75" w:type="dxa"/>
              <w:end w:w="75" w:type="dxa"/>
            </w:tcMar>
          </w:tcPr>
          <w:p>
            <w:pPr>
              <w:jc w:val="right"/>
            </w:pPr>
            <w:r>
              <w:rPr>
                <w:rFonts w:ascii="Aptos" w:hAnsi="Aptos"/>
                <w:sz w:val="16"/>
              </w:rPr>
              <w:t>$1,558.1M</w:t>
            </w:r>
          </w:p>
        </w:tc>
        <w:tc>
          <w:tcPr>
            <w:tcW w:type="dxa" w:w="1728"/>
            <w:vAlign w:val="center"/>
            <w:tcMar>
              <w:top w:w="75" w:type="dxa"/>
              <w:start w:w="75" w:type="dxa"/>
              <w:bottom w:w="75" w:type="dxa"/>
              <w:end w:w="75" w:type="dxa"/>
            </w:tcMar>
          </w:tcPr>
          <w:p>
            <w:pPr>
              <w:jc w:val="right"/>
            </w:pPr>
            <w:r>
              <w:rPr>
                <w:rFonts w:ascii="Aptos" w:hAnsi="Aptos"/>
                <w:sz w:val="16"/>
              </w:rPr>
              <w:t>$1,555.6M</w:t>
            </w:r>
          </w:p>
        </w:tc>
        <w:tc>
          <w:tcPr>
            <w:tcW w:type="dxa" w:w="1800"/>
            <w:vAlign w:val="center"/>
            <w:tcMar>
              <w:top w:w="75" w:type="dxa"/>
              <w:start w:w="75" w:type="dxa"/>
              <w:bottom w:w="75" w:type="dxa"/>
              <w:end w:w="75" w:type="dxa"/>
            </w:tcMar>
          </w:tcPr>
          <w:p>
            <w:pPr>
              <w:jc w:val="left"/>
            </w:pPr>
            <w:r>
              <w:rPr>
                <w:rFonts w:ascii="Aptos" w:hAnsi="Aptos"/>
                <w:sz w:val="16"/>
              </w:rPr>
              <w:t>Partial</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Central Office Funding</w:t>
            </w:r>
          </w:p>
        </w:tc>
        <w:tc>
          <w:tcPr>
            <w:tcW w:type="dxa" w:w="1800"/>
            <w:shd w:fill="EEF5FA"/>
            <w:vAlign w:val="center"/>
            <w:tcMar>
              <w:top w:w="75" w:type="dxa"/>
              <w:start w:w="75" w:type="dxa"/>
              <w:bottom w:w="75" w:type="dxa"/>
              <w:end w:w="75" w:type="dxa"/>
            </w:tcMar>
          </w:tcPr>
          <w:p>
            <w:pPr>
              <w:jc w:val="right"/>
            </w:pPr>
            <w:r>
              <w:rPr>
                <w:rFonts w:ascii="Aptos" w:hAnsi="Aptos"/>
                <w:sz w:val="16"/>
              </w:rPr>
              <w:t>$35.6M</w:t>
            </w:r>
          </w:p>
        </w:tc>
        <w:tc>
          <w:tcPr>
            <w:tcW w:type="dxa" w:w="1728"/>
            <w:shd w:fill="EEF5FA"/>
            <w:vAlign w:val="center"/>
            <w:tcMar>
              <w:top w:w="75" w:type="dxa"/>
              <w:start w:w="75" w:type="dxa"/>
              <w:bottom w:w="75" w:type="dxa"/>
              <w:end w:w="75" w:type="dxa"/>
            </w:tcMar>
          </w:tcPr>
          <w:p>
            <w:pPr>
              <w:jc w:val="right"/>
            </w:pPr>
            <w:r>
              <w:rPr>
                <w:rFonts w:ascii="Aptos" w:hAnsi="Aptos"/>
                <w:sz w:val="16"/>
              </w:rPr>
              <w:t>$59.4M</w:t>
            </w:r>
          </w:p>
        </w:tc>
        <w:tc>
          <w:tcPr>
            <w:tcW w:type="dxa" w:w="1728"/>
            <w:shd w:fill="EEF5FA"/>
            <w:vAlign w:val="center"/>
            <w:tcMar>
              <w:top w:w="75" w:type="dxa"/>
              <w:start w:w="75" w:type="dxa"/>
              <w:bottom w:w="75" w:type="dxa"/>
              <w:end w:w="75" w:type="dxa"/>
            </w:tcMar>
          </w:tcPr>
          <w:p>
            <w:pPr>
              <w:jc w:val="right"/>
            </w:pPr>
            <w:r>
              <w:rPr>
                <w:rFonts w:ascii="Aptos" w:hAnsi="Aptos"/>
                <w:sz w:val="16"/>
              </w:rPr>
              <w:t>$58.4M</w:t>
            </w:r>
          </w:p>
        </w:tc>
        <w:tc>
          <w:tcPr>
            <w:tcW w:type="dxa" w:w="1800"/>
            <w:shd w:fill="EEF5FA"/>
            <w:vAlign w:val="center"/>
            <w:tcMar>
              <w:top w:w="75" w:type="dxa"/>
              <w:start w:w="75" w:type="dxa"/>
              <w:bottom w:w="75" w:type="dxa"/>
              <w:end w:w="75" w:type="dxa"/>
            </w:tcMar>
          </w:tcPr>
          <w:p>
            <w:pPr>
              <w:jc w:val="left"/>
            </w:pPr>
            <w:r>
              <w:rPr>
                <w:rFonts w:ascii="Aptos" w:hAnsi="Aptos"/>
                <w:sz w:val="16"/>
              </w:rPr>
              <w:t>Partial</w:t>
            </w:r>
          </w:p>
        </w:tc>
      </w:tr>
      <w:tr>
        <w:trPr>
          <w:cantSplit/>
        </w:trPr>
        <w:tc>
          <w:tcPr>
            <w:tcW w:type="dxa" w:w="2232"/>
            <w:vAlign w:val="center"/>
            <w:tcMar>
              <w:top w:w="75" w:type="dxa"/>
              <w:start w:w="75" w:type="dxa"/>
              <w:bottom w:w="75" w:type="dxa"/>
              <w:end w:w="75" w:type="dxa"/>
            </w:tcMar>
          </w:tcPr>
          <w:p>
            <w:pPr>
              <w:jc w:val="left"/>
            </w:pPr>
            <w:r>
              <w:rPr>
                <w:rFonts w:ascii="Aptos" w:hAnsi="Aptos"/>
                <w:sz w:val="16"/>
              </w:rPr>
              <w:t>Position-based Funding</w:t>
            </w:r>
          </w:p>
        </w:tc>
        <w:tc>
          <w:tcPr>
            <w:tcW w:type="dxa" w:w="1800"/>
            <w:vAlign w:val="center"/>
            <w:tcMar>
              <w:top w:w="75" w:type="dxa"/>
              <w:start w:w="75" w:type="dxa"/>
              <w:bottom w:w="75" w:type="dxa"/>
              <w:end w:w="75" w:type="dxa"/>
            </w:tcMar>
          </w:tcPr>
          <w:p>
            <w:pPr>
              <w:jc w:val="right"/>
            </w:pPr>
            <w:r>
              <w:rPr>
                <w:rFonts w:ascii="Aptos" w:hAnsi="Aptos"/>
                <w:sz w:val="16"/>
              </w:rPr>
              <w:t>$1,562.2M</w:t>
            </w:r>
          </w:p>
        </w:tc>
        <w:tc>
          <w:tcPr>
            <w:tcW w:type="dxa" w:w="1728"/>
            <w:vAlign w:val="center"/>
            <w:tcMar>
              <w:top w:w="75" w:type="dxa"/>
              <w:start w:w="75" w:type="dxa"/>
              <w:bottom w:w="75" w:type="dxa"/>
              <w:end w:w="75" w:type="dxa"/>
            </w:tcMar>
          </w:tcPr>
          <w:p>
            <w:pPr>
              <w:jc w:val="right"/>
            </w:pPr>
            <w:r>
              <w:rPr>
                <w:rFonts w:ascii="Aptos" w:hAnsi="Aptos"/>
                <w:sz w:val="16"/>
              </w:rPr>
              <w:t>$1,617.5M</w:t>
            </w:r>
          </w:p>
        </w:tc>
        <w:tc>
          <w:tcPr>
            <w:tcW w:type="dxa" w:w="1728"/>
            <w:vAlign w:val="center"/>
            <w:tcMar>
              <w:top w:w="75" w:type="dxa"/>
              <w:start w:w="75" w:type="dxa"/>
              <w:bottom w:w="75" w:type="dxa"/>
              <w:end w:w="75" w:type="dxa"/>
            </w:tcMar>
          </w:tcPr>
          <w:p>
            <w:pPr>
              <w:jc w:val="right"/>
            </w:pPr>
            <w:r>
              <w:rPr>
                <w:rFonts w:ascii="Aptos" w:hAnsi="Aptos"/>
                <w:sz w:val="16"/>
              </w:rPr>
              <w:t>$1,614.0M</w:t>
            </w:r>
          </w:p>
        </w:tc>
        <w:tc>
          <w:tcPr>
            <w:tcW w:type="dxa" w:w="1800"/>
            <w:vAlign w:val="center"/>
            <w:tcMar>
              <w:top w:w="75" w:type="dxa"/>
              <w:start w:w="75" w:type="dxa"/>
              <w:bottom w:w="75" w:type="dxa"/>
              <w:end w:w="75" w:type="dxa"/>
            </w:tcMar>
          </w:tcPr>
          <w:p>
            <w:pPr>
              <w:jc w:val="left"/>
            </w:pPr>
            <w:r>
              <w:rPr>
                <w:rFonts w:ascii="Aptos" w:hAnsi="Aptos"/>
                <w:sz w:val="16"/>
              </w:rPr>
              <w:t>Closest available comparison</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Opportunity Funding</w:t>
            </w:r>
          </w:p>
        </w:tc>
        <w:tc>
          <w:tcPr>
            <w:tcW w:type="dxa" w:w="1800"/>
            <w:shd w:fill="EEF5FA"/>
            <w:vAlign w:val="center"/>
            <w:tcMar>
              <w:top w:w="75" w:type="dxa"/>
              <w:start w:w="75" w:type="dxa"/>
              <w:bottom w:w="75" w:type="dxa"/>
              <w:end w:w="75" w:type="dxa"/>
            </w:tcMar>
          </w:tcPr>
          <w:p>
            <w:pPr>
              <w:jc w:val="right"/>
            </w:pPr>
            <w:r>
              <w:rPr>
                <w:rFonts w:ascii="Aptos" w:hAnsi="Aptos"/>
                <w:sz w:val="16"/>
              </w:rPr>
              <w:t>—</w:t>
            </w:r>
          </w:p>
        </w:tc>
        <w:tc>
          <w:tcPr>
            <w:tcW w:type="dxa" w:w="1728"/>
            <w:shd w:fill="EEF5FA"/>
            <w:vAlign w:val="center"/>
            <w:tcMar>
              <w:top w:w="75" w:type="dxa"/>
              <w:start w:w="75" w:type="dxa"/>
              <w:bottom w:w="75" w:type="dxa"/>
              <w:end w:w="75" w:type="dxa"/>
            </w:tcMar>
          </w:tcPr>
          <w:p>
            <w:pPr>
              <w:jc w:val="right"/>
            </w:pPr>
            <w:r>
              <w:rPr>
                <w:rFonts w:ascii="Aptos" w:hAnsi="Aptos"/>
                <w:sz w:val="16"/>
              </w:rPr>
              <w:t>$163.0M</w:t>
            </w:r>
          </w:p>
        </w:tc>
        <w:tc>
          <w:tcPr>
            <w:tcW w:type="dxa" w:w="1728"/>
            <w:shd w:fill="EEF5FA"/>
            <w:vAlign w:val="center"/>
            <w:tcMar>
              <w:top w:w="75" w:type="dxa"/>
              <w:start w:w="75" w:type="dxa"/>
              <w:bottom w:w="75" w:type="dxa"/>
              <w:end w:w="75" w:type="dxa"/>
            </w:tcMar>
          </w:tcPr>
          <w:p>
            <w:pPr>
              <w:jc w:val="right"/>
            </w:pPr>
            <w:r>
              <w:rPr>
                <w:rFonts w:ascii="Aptos" w:hAnsi="Aptos"/>
                <w:sz w:val="16"/>
              </w:rPr>
              <w:t>$163.0M</w:t>
            </w:r>
          </w:p>
        </w:tc>
        <w:tc>
          <w:tcPr>
            <w:tcW w:type="dxa" w:w="1800"/>
            <w:shd w:fill="EEF5FA"/>
            <w:vAlign w:val="center"/>
            <w:tcMar>
              <w:top w:w="75" w:type="dxa"/>
              <w:start w:w="75" w:type="dxa"/>
              <w:bottom w:w="75" w:type="dxa"/>
              <w:end w:w="75" w:type="dxa"/>
            </w:tcMar>
          </w:tcPr>
          <w:p>
            <w:pPr>
              <w:jc w:val="left"/>
            </w:pPr>
            <w:r>
              <w:rPr>
                <w:rFonts w:ascii="Aptos" w:hAnsi="Aptos"/>
                <w:sz w:val="16"/>
              </w:rPr>
              <w:t>No direct current equivalent</w:t>
            </w:r>
          </w:p>
        </w:tc>
      </w:tr>
      <w:tr>
        <w:trPr>
          <w:cantSplit/>
        </w:trPr>
        <w:tc>
          <w:tcPr>
            <w:tcW w:type="dxa" w:w="2232"/>
            <w:vAlign w:val="center"/>
            <w:tcMar>
              <w:top w:w="75" w:type="dxa"/>
              <w:start w:w="75" w:type="dxa"/>
              <w:bottom w:w="75" w:type="dxa"/>
              <w:end w:w="75" w:type="dxa"/>
            </w:tcMar>
          </w:tcPr>
          <w:p>
            <w:pPr>
              <w:jc w:val="left"/>
            </w:pPr>
            <w:r>
              <w:rPr>
                <w:rFonts w:ascii="Aptos" w:hAnsi="Aptos"/>
                <w:sz w:val="16"/>
              </w:rPr>
              <w:t>Operational Funding</w:t>
            </w:r>
          </w:p>
        </w:tc>
        <w:tc>
          <w:tcPr>
            <w:tcW w:type="dxa" w:w="1800"/>
            <w:vAlign w:val="center"/>
            <w:tcMar>
              <w:top w:w="75" w:type="dxa"/>
              <w:start w:w="75" w:type="dxa"/>
              <w:bottom w:w="75" w:type="dxa"/>
              <w:end w:w="75" w:type="dxa"/>
            </w:tcMar>
          </w:tcPr>
          <w:p>
            <w:pPr>
              <w:jc w:val="right"/>
            </w:pPr>
            <w:r>
              <w:rPr>
                <w:rFonts w:ascii="Aptos" w:hAnsi="Aptos"/>
                <w:sz w:val="16"/>
              </w:rPr>
              <w:t>—</w:t>
            </w:r>
          </w:p>
        </w:tc>
        <w:tc>
          <w:tcPr>
            <w:tcW w:type="dxa" w:w="1728"/>
            <w:vAlign w:val="center"/>
            <w:tcMar>
              <w:top w:w="75" w:type="dxa"/>
              <w:start w:w="75" w:type="dxa"/>
              <w:bottom w:w="75" w:type="dxa"/>
              <w:end w:w="75" w:type="dxa"/>
            </w:tcMar>
          </w:tcPr>
          <w:p>
            <w:pPr>
              <w:jc w:val="right"/>
            </w:pPr>
            <w:r>
              <w:rPr>
                <w:rFonts w:ascii="Aptos" w:hAnsi="Aptos"/>
                <w:sz w:val="16"/>
              </w:rPr>
              <w:t>$279.0M</w:t>
            </w:r>
          </w:p>
        </w:tc>
        <w:tc>
          <w:tcPr>
            <w:tcW w:type="dxa" w:w="1728"/>
            <w:vAlign w:val="center"/>
            <w:tcMar>
              <w:top w:w="75" w:type="dxa"/>
              <w:start w:w="75" w:type="dxa"/>
              <w:bottom w:w="75" w:type="dxa"/>
              <w:end w:w="75" w:type="dxa"/>
            </w:tcMar>
          </w:tcPr>
          <w:p>
            <w:pPr>
              <w:jc w:val="right"/>
            </w:pPr>
            <w:r>
              <w:rPr>
                <w:rFonts w:ascii="Aptos" w:hAnsi="Aptos"/>
                <w:sz w:val="16"/>
              </w:rPr>
              <w:t>$279.0M</w:t>
            </w:r>
          </w:p>
        </w:tc>
        <w:tc>
          <w:tcPr>
            <w:tcW w:type="dxa" w:w="1800"/>
            <w:vAlign w:val="center"/>
            <w:tcMar>
              <w:top w:w="75" w:type="dxa"/>
              <w:start w:w="75" w:type="dxa"/>
              <w:bottom w:w="75" w:type="dxa"/>
              <w:end w:w="75" w:type="dxa"/>
            </w:tcMar>
          </w:tcPr>
          <w:p>
            <w:pPr>
              <w:jc w:val="left"/>
            </w:pPr>
            <w:r>
              <w:rPr>
                <w:rFonts w:ascii="Aptos" w:hAnsi="Aptos"/>
                <w:sz w:val="16"/>
              </w:rPr>
              <w:t>No direct current equivalent</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Total modeled funding</w:t>
            </w:r>
          </w:p>
        </w:tc>
        <w:tc>
          <w:tcPr>
            <w:tcW w:type="dxa" w:w="1800"/>
            <w:shd w:fill="EEF5FA"/>
            <w:vAlign w:val="center"/>
            <w:tcMar>
              <w:top w:w="75" w:type="dxa"/>
              <w:start w:w="75" w:type="dxa"/>
              <w:bottom w:w="75" w:type="dxa"/>
              <w:end w:w="75" w:type="dxa"/>
            </w:tcMar>
          </w:tcPr>
          <w:p>
            <w:pPr>
              <w:jc w:val="right"/>
            </w:pPr>
            <w:r>
              <w:rPr>
                <w:rFonts w:ascii="Aptos" w:hAnsi="Aptos"/>
                <w:sz w:val="16"/>
              </w:rPr>
              <w:t>$1,562.2M</w:t>
            </w:r>
          </w:p>
        </w:tc>
        <w:tc>
          <w:tcPr>
            <w:tcW w:type="dxa" w:w="1728"/>
            <w:shd w:fill="EEF5FA"/>
            <w:vAlign w:val="center"/>
            <w:tcMar>
              <w:top w:w="75" w:type="dxa"/>
              <w:start w:w="75" w:type="dxa"/>
              <w:bottom w:w="75" w:type="dxa"/>
              <w:end w:w="75" w:type="dxa"/>
            </w:tcMar>
          </w:tcPr>
          <w:p>
            <w:pPr>
              <w:jc w:val="right"/>
            </w:pPr>
            <w:r>
              <w:rPr>
                <w:rFonts w:ascii="Aptos" w:hAnsi="Aptos"/>
                <w:sz w:val="16"/>
              </w:rPr>
              <w:t>$2,059.6M</w:t>
            </w:r>
          </w:p>
        </w:tc>
        <w:tc>
          <w:tcPr>
            <w:tcW w:type="dxa" w:w="1728"/>
            <w:shd w:fill="EEF5FA"/>
            <w:vAlign w:val="center"/>
            <w:tcMar>
              <w:top w:w="75" w:type="dxa"/>
              <w:start w:w="75" w:type="dxa"/>
              <w:bottom w:w="75" w:type="dxa"/>
              <w:end w:w="75" w:type="dxa"/>
            </w:tcMar>
          </w:tcPr>
          <w:p>
            <w:pPr>
              <w:jc w:val="right"/>
            </w:pPr>
            <w:r>
              <w:rPr>
                <w:rFonts w:ascii="Aptos" w:hAnsi="Aptos"/>
                <w:sz w:val="16"/>
              </w:rPr>
              <w:t>$2,056.1M</w:t>
            </w:r>
          </w:p>
        </w:tc>
        <w:tc>
          <w:tcPr>
            <w:tcW w:type="dxa" w:w="1800"/>
            <w:shd w:fill="EEF5FA"/>
            <w:vAlign w:val="center"/>
            <w:tcMar>
              <w:top w:w="75" w:type="dxa"/>
              <w:start w:w="75" w:type="dxa"/>
              <w:bottom w:w="75" w:type="dxa"/>
              <w:end w:w="75" w:type="dxa"/>
            </w:tcMar>
          </w:tcPr>
          <w:p>
            <w:pPr>
              <w:jc w:val="left"/>
            </w:pPr>
            <w:r>
              <w:rPr>
                <w:rFonts w:ascii="Aptos" w:hAnsi="Aptos"/>
                <w:sz w:val="16"/>
              </w:rPr>
              <w:t>Gross comparison only</w:t>
            </w:r>
          </w:p>
        </w:tc>
      </w:tr>
    </w:tbl>
    <w:p>
      <w:pPr>
        <w:spacing w:after="100" w:line="259" w:lineRule="auto"/>
      </w:pPr>
    </w:p>
    <w:p>
      <w:pPr>
        <w:spacing w:after="100" w:line="259" w:lineRule="auto"/>
      </w:pPr>
      <w:r>
        <w:rPr>
          <w:rFonts w:ascii="Aptos" w:hAnsi="Aptos"/>
          <w:i/>
          <w:color w:val="000000"/>
          <w:sz w:val="21"/>
        </w:rPr>
        <w:t>Source: 11_three_way_funding_comparison.csv. Values rounded to the nearest $0.1 million. PEFC values use the calculator scope as presented; current and independent values use the final 42-LEA scope.</w:t>
      </w:r>
    </w:p>
    <w:p>
      <w:pPr>
        <w:pStyle w:val="Heading2"/>
        <w:keepNext/>
      </w:pPr>
      <w:r>
        <w:t>Principal findings</w:t>
      </w:r>
    </w:p>
    <w:p>
      <w:pPr>
        <w:pStyle w:val="ListBullet"/>
        <w:spacing w:after="40" w:line="247" w:lineRule="auto"/>
      </w:pPr>
      <w:r>
        <w:rPr>
          <w:rFonts w:ascii="Aptos" w:hAnsi="Aptos"/>
          <w:sz w:val="20"/>
        </w:rPr>
        <w:t>Teaching-position totals are relatively close after the independent reproduction uses the final source inputs and reporting scope. Larger changes occur in principals, assistant principals, administrative support, and Central Office eligibility and formulas.</w:t>
      </w:r>
    </w:p>
    <w:p>
      <w:pPr>
        <w:pStyle w:val="ListBullet"/>
        <w:spacing w:after="40" w:line="247" w:lineRule="auto"/>
      </w:pPr>
      <w:r>
        <w:rPr>
          <w:rFonts w:ascii="Aptos" w:hAnsi="Aptos"/>
          <w:sz w:val="20"/>
        </w:rPr>
        <w:t>Charter calculation units matter. The current model treats each charter organization as one coded school, while the proposed Base formulas use calculator building rows. The independent reproduction applies school-based formulas to 252 calculation units: 205 district school codes and 47 charter building units.</w:t>
      </w:r>
    </w:p>
    <w:p>
      <w:pPr>
        <w:pStyle w:val="ListBullet"/>
        <w:spacing w:after="40" w:line="247" w:lineRule="auto"/>
      </w:pPr>
      <w:r>
        <w:rPr>
          <w:rFonts w:ascii="Aptos" w:hAnsi="Aptos"/>
          <w:sz w:val="20"/>
        </w:rPr>
        <w:t>The proposed model consolidates several separately identified current support functions into one Instructional Supports quantity equal to 20% of all Base Division I positions.</w:t>
      </w:r>
    </w:p>
    <w:p>
      <w:pPr>
        <w:pStyle w:val="ListBullet"/>
        <w:spacing w:after="40" w:line="247" w:lineRule="auto"/>
      </w:pPr>
      <w:r>
        <w:rPr>
          <w:rFonts w:ascii="Aptos" w:hAnsi="Aptos"/>
          <w:sz w:val="20"/>
        </w:rPr>
        <w:t>The independent reproduction recalculates Opportunity and Operational rates so that the fixed pools are fully distributed in the final reporting scope. The final rates are $4,952.73 per Opportunity weighted student and $3,252.72 per Operational weighted student.</w:t>
      </w:r>
    </w:p>
    <w:p>
      <w:pPr>
        <w:pStyle w:val="ListBullet"/>
        <w:spacing w:after="40" w:line="247" w:lineRule="auto"/>
      </w:pPr>
      <w:r>
        <w:rPr>
          <w:rFonts w:ascii="Aptos" w:hAnsi="Aptos"/>
          <w:sz w:val="20"/>
        </w:rPr>
        <w:t>All 42 included LEAs increase under the gross full-model comparison. Under the preliminary position-based comparison, 41 increase and one district decreases slightly.</w:t>
      </w:r>
    </w:p>
    <w:p>
      <w:pPr>
        <w:spacing w:after="100" w:line="259" w:lineRule="auto"/>
      </w:pPr>
      <w:r>
        <w:rPr>
          <w:rFonts w:ascii="Aptos" w:hAnsi="Aptos"/>
          <w:color w:val="000000"/>
          <w:sz w:val="21"/>
        </w:rPr>
        <w:t>The independent review found that the proposed model can be reproduced, but not without documented choices. The most important choices involve charter building allocations, the position base used for selected Central Office formulas, the treatment of fractional assistant-principal positions, the use of completed thresholds for Assistant Superintendents, and the fixed-pool weighted-rate method. All 18 Step 11 reporting checks passed, and the report outputs reconcile to the validated pipeline.</w:t>
      </w:r>
    </w:p>
    <w:p>
      <w:pPr>
        <w:spacing w:after="100" w:line="259" w:lineRule="auto"/>
      </w:pPr>
      <w:r>
        <w:rPr>
          <w:rFonts w:ascii="Aptos" w:hAnsi="Aptos"/>
          <w:color w:val="000000"/>
          <w:sz w:val="21"/>
        </w:rPr>
        <w:t>The main conclusion is therefore twofold. First, the proposed hybrid model represents a meaningful structural change, not just a new set of rates. Second, the statewide differences are interpretable only when model scope, source inputs, calculation units, and unresolved current-model gaps are kept visible.</w:t>
      </w:r>
    </w:p>
    <w:p>
      <w:pPr>
        <w:pStyle w:val="Heading1"/>
        <w:keepNext/>
        <w:pageBreakBefore/>
      </w:pPr>
      <w:r>
        <w:t>1. Purpose, Scope, and Methods</w:t>
      </w:r>
    </w:p>
    <w:p>
      <w:pPr>
        <w:spacing w:after="100" w:line="259" w:lineRule="auto"/>
      </w:pPr>
      <w:r>
        <w:rPr>
          <w:rFonts w:ascii="Aptos" w:hAnsi="Aptos"/>
          <w:color w:val="000000"/>
          <w:sz w:val="21"/>
        </w:rPr>
        <w:t>The purpose of this review is practical: document how the current and proposed funding structures operate, reproduce the PEFC calculator with traceable data and formulas, identify material ambiguities, and create a reproducible basis for statewide and LEA-level comparison. The work is a model implementation and reconciliation exercise. It is not a legal interpretation of Delaware’s funding statutes, a policy approval, or a complete forecast of future LEA budgets.</w:t>
      </w:r>
    </w:p>
    <w:p>
      <w:pPr>
        <w:pStyle w:val="Heading2"/>
        <w:keepNext/>
      </w:pPr>
      <w:r>
        <w:t>1.1 Three model versions</w:t>
      </w:r>
    </w:p>
    <w:p>
      <w:pPr>
        <w:keepNext/>
        <w:spacing w:before="160" w:after="100" w:line="259" w:lineRule="auto"/>
      </w:pPr>
      <w:r>
        <w:rPr>
          <w:rFonts w:ascii="Aptos" w:hAnsi="Aptos"/>
          <w:b/>
          <w:color w:val="000000"/>
          <w:sz w:val="21"/>
        </w:rPr>
        <w:t>Exhibit 2A. Definitions of the three model versions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1F4E78"/>
            <w:tcMar>
              <w:top w:w="75" w:type="dxa"/>
              <w:start w:w="75" w:type="dxa"/>
              <w:bottom w:w="75" w:type="dxa"/>
              <w:end w:w="75" w:type="dxa"/>
            </w:tcMar>
          </w:tcPr>
          <w:p>
            <w:pPr>
              <w:jc w:val="center"/>
            </w:pPr>
            <w:r>
              <w:rPr>
                <w:rFonts w:ascii="Aptos" w:hAnsi="Aptos"/>
                <w:b/>
                <w:color w:val="FFFFFF"/>
                <w:sz w:val="17"/>
              </w:rPr>
              <w:t>Model version</w:t>
            </w:r>
          </w:p>
        </w:tc>
        <w:tc>
          <w:tcPr>
            <w:tcW w:type="dxa" w:w="4824"/>
            <w:vAlign w:val="center"/>
            <w:shd w:fill="1F4E78"/>
            <w:tcMar>
              <w:top w:w="75" w:type="dxa"/>
              <w:start w:w="75" w:type="dxa"/>
              <w:bottom w:w="75" w:type="dxa"/>
              <w:end w:w="75" w:type="dxa"/>
            </w:tcMar>
          </w:tcPr>
          <w:p>
            <w:pPr>
              <w:jc w:val="center"/>
            </w:pPr>
            <w:r>
              <w:rPr>
                <w:rFonts w:ascii="Aptos" w:hAnsi="Aptos"/>
                <w:b/>
                <w:color w:val="FFFFFF"/>
                <w:sz w:val="17"/>
              </w:rPr>
              <w:t>Definition</w:t>
            </w:r>
          </w:p>
        </w:tc>
        <w:tc>
          <w:tcPr>
            <w:tcW w:type="dxa" w:w="2088"/>
            <w:vAlign w:val="center"/>
            <w:shd w:fill="1F4E78"/>
            <w:tcMar>
              <w:top w:w="75" w:type="dxa"/>
              <w:start w:w="75" w:type="dxa"/>
              <w:bottom w:w="75" w:type="dxa"/>
              <w:end w:w="75" w:type="dxa"/>
            </w:tcMar>
          </w:tcPr>
          <w:p>
            <w:pPr>
              <w:jc w:val="center"/>
            </w:pPr>
            <w:r>
              <w:rPr>
                <w:rFonts w:ascii="Aptos" w:hAnsi="Aptos"/>
                <w:b/>
                <w:color w:val="FFFFFF"/>
                <w:sz w:val="17"/>
              </w:rPr>
              <w:t>Primary source</w:t>
            </w:r>
          </w:p>
        </w:tc>
      </w:tr>
      <w:tr>
        <w:trPr>
          <w:cantSplit/>
        </w:trPr>
        <w:tc>
          <w:tcPr>
            <w:tcW w:type="dxa" w:w="2232"/>
            <w:vAlign w:val="center"/>
            <w:tcMar>
              <w:top w:w="75" w:type="dxa"/>
              <w:start w:w="75" w:type="dxa"/>
              <w:bottom w:w="75" w:type="dxa"/>
              <w:end w:w="75" w:type="dxa"/>
            </w:tcMar>
          </w:tcPr>
          <w:p>
            <w:pPr>
              <w:jc w:val="left"/>
            </w:pPr>
            <w:r>
              <w:rPr>
                <w:rFonts w:ascii="Aptos" w:hAnsi="Aptos"/>
                <w:sz w:val="17"/>
              </w:rPr>
              <w:t>Recreated Current Model</w:t>
            </w:r>
          </w:p>
        </w:tc>
        <w:tc>
          <w:tcPr>
            <w:tcW w:type="dxa" w:w="4824"/>
            <w:vAlign w:val="center"/>
            <w:tcMar>
              <w:top w:w="75" w:type="dxa"/>
              <w:start w:w="75" w:type="dxa"/>
              <w:bottom w:w="75" w:type="dxa"/>
              <w:end w:w="75" w:type="dxa"/>
            </w:tcMar>
          </w:tcPr>
          <w:p>
            <w:pPr>
              <w:jc w:val="left"/>
            </w:pPr>
            <w:r>
              <w:rPr>
                <w:rFonts w:ascii="Aptos" w:hAnsi="Aptos"/>
                <w:sz w:val="17"/>
              </w:rPr>
              <w:t>The current Delaware funding model as reconstructed in the pipeline, including reported Unit Count quantities, calculated staffing, available rates, documented crosswalks, analytical assumptions, and missing inputs.</w:t>
            </w:r>
          </w:p>
        </w:tc>
        <w:tc>
          <w:tcPr>
            <w:tcW w:type="dxa" w:w="2088"/>
            <w:vAlign w:val="center"/>
            <w:tcMar>
              <w:top w:w="75" w:type="dxa"/>
              <w:start w:w="75" w:type="dxa"/>
              <w:bottom w:w="75" w:type="dxa"/>
              <w:end w:w="75" w:type="dxa"/>
            </w:tcMar>
          </w:tcPr>
          <w:p>
            <w:pPr>
              <w:jc w:val="left"/>
            </w:pPr>
            <w:r>
              <w:rPr>
                <w:rFonts w:ascii="Aptos" w:hAnsi="Aptos"/>
                <w:sz w:val="17"/>
              </w:rPr>
              <w:t>Steps 02-05 and adjusted Step 10 outputs</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7"/>
              </w:rPr>
              <w:t>PEFC Proposed Model as Presented</w:t>
            </w:r>
          </w:p>
        </w:tc>
        <w:tc>
          <w:tcPr>
            <w:tcW w:type="dxa" w:w="4824"/>
            <w:shd w:fill="EEF5FA"/>
            <w:vAlign w:val="center"/>
            <w:tcMar>
              <w:top w:w="75" w:type="dxa"/>
              <w:start w:w="75" w:type="dxa"/>
              <w:bottom w:w="75" w:type="dxa"/>
              <w:end w:w="75" w:type="dxa"/>
            </w:tcMar>
          </w:tcPr>
          <w:p>
            <w:pPr>
              <w:jc w:val="left"/>
            </w:pPr>
            <w:r>
              <w:rPr>
                <w:rFonts w:ascii="Aptos" w:hAnsi="Aptos"/>
                <w:sz w:val="17"/>
              </w:rPr>
              <w:t>The proposed hybrid model exactly as displayed in Copy of Calculator for 25-26 w Charter (003).xlsm, without silently applying pipeline corrections.</w:t>
            </w:r>
          </w:p>
        </w:tc>
        <w:tc>
          <w:tcPr>
            <w:tcW w:type="dxa" w:w="2088"/>
            <w:shd w:fill="EEF5FA"/>
            <w:vAlign w:val="center"/>
            <w:tcMar>
              <w:top w:w="75" w:type="dxa"/>
              <w:start w:w="75" w:type="dxa"/>
              <w:bottom w:w="75" w:type="dxa"/>
              <w:end w:w="75" w:type="dxa"/>
            </w:tcMar>
          </w:tcPr>
          <w:p>
            <w:pPr>
              <w:jc w:val="left"/>
            </w:pPr>
            <w:r>
              <w:rPr>
                <w:rFonts w:ascii="Aptos" w:hAnsi="Aptos"/>
                <w:sz w:val="17"/>
              </w:rPr>
              <w:t>PEFC calculator workbook</w:t>
            </w:r>
          </w:p>
        </w:tc>
      </w:tr>
      <w:tr>
        <w:trPr>
          <w:cantSplit/>
        </w:trPr>
        <w:tc>
          <w:tcPr>
            <w:tcW w:type="dxa" w:w="2232"/>
            <w:vAlign w:val="center"/>
            <w:tcMar>
              <w:top w:w="75" w:type="dxa"/>
              <w:start w:w="75" w:type="dxa"/>
              <w:bottom w:w="75" w:type="dxa"/>
              <w:end w:w="75" w:type="dxa"/>
            </w:tcMar>
          </w:tcPr>
          <w:p>
            <w:pPr>
              <w:jc w:val="left"/>
            </w:pPr>
            <w:r>
              <w:rPr>
                <w:rFonts w:ascii="Aptos" w:hAnsi="Aptos"/>
                <w:sz w:val="17"/>
              </w:rPr>
              <w:t>Independent Technical Review and Reproduction of the Proposed Model</w:t>
            </w:r>
          </w:p>
        </w:tc>
        <w:tc>
          <w:tcPr>
            <w:tcW w:type="dxa" w:w="4824"/>
            <w:vAlign w:val="center"/>
            <w:tcMar>
              <w:top w:w="75" w:type="dxa"/>
              <w:start w:w="75" w:type="dxa"/>
              <w:bottom w:w="75" w:type="dxa"/>
              <w:end w:w="75" w:type="dxa"/>
            </w:tcMar>
          </w:tcPr>
          <w:p>
            <w:pPr>
              <w:jc w:val="left"/>
            </w:pPr>
            <w:r>
              <w:rPr>
                <w:rFonts w:ascii="Aptos" w:hAnsi="Aptos"/>
                <w:sz w:val="17"/>
              </w:rPr>
              <w:t>The proposed model independently reviewed and reproduced with reconciled source data, documented guidance, explicit interpretation rules, and QC.</w:t>
            </w:r>
          </w:p>
        </w:tc>
        <w:tc>
          <w:tcPr>
            <w:tcW w:type="dxa" w:w="2088"/>
            <w:vAlign w:val="center"/>
            <w:tcMar>
              <w:top w:w="75" w:type="dxa"/>
              <w:start w:w="75" w:type="dxa"/>
              <w:bottom w:w="75" w:type="dxa"/>
              <w:end w:w="75" w:type="dxa"/>
            </w:tcMar>
          </w:tcPr>
          <w:p>
            <w:pPr>
              <w:jc w:val="left"/>
            </w:pPr>
            <w:r>
              <w:rPr>
                <w:rFonts w:ascii="Aptos" w:hAnsi="Aptos"/>
                <w:sz w:val="17"/>
              </w:rPr>
              <w:t>Steps 06-10 and Step 11 reporting outputs</w:t>
            </w:r>
          </w:p>
        </w:tc>
      </w:tr>
    </w:tbl>
    <w:p>
      <w:pPr>
        <w:spacing w:after="100" w:line="259" w:lineRule="auto"/>
      </w:pPr>
    </w:p>
    <w:p>
      <w:pPr>
        <w:spacing w:after="100" w:line="259" w:lineRule="auto"/>
      </w:pPr>
      <w:r>
        <w:rPr>
          <w:rFonts w:ascii="Aptos" w:hAnsi="Aptos"/>
          <w:i/>
          <w:color w:val="000000"/>
          <w:sz w:val="21"/>
        </w:rPr>
        <w:t>Source: 11_model_version_definitions.csv.</w:t>
      </w:r>
    </w:p>
    <w:p>
      <w:pPr>
        <w:spacing w:after="100" w:line="259" w:lineRule="auto"/>
      </w:pPr>
      <w:r>
        <w:rPr>
          <w:rFonts w:ascii="Aptos" w:hAnsi="Aptos"/>
          <w:color w:val="000000"/>
          <w:sz w:val="21"/>
        </w:rPr>
        <w:t>These distinctions are central to the report. PEFC results are first described on the calculator’s own terms. The independent review is discussed separately so that source corrections and implementation choices are not presented as though they were part of the original workbook. Comparisons with the current model use the final pipeline scope unless a table explicitly says otherwise.</w:t>
      </w:r>
    </w:p>
    <w:p>
      <w:pPr>
        <w:pStyle w:val="Heading2"/>
        <w:keepNext/>
      </w:pPr>
      <w:r>
        <w:t>1.2 Reporting scope</w:t>
      </w:r>
    </w:p>
    <w:p>
      <w:pPr>
        <w:spacing w:after="100" w:line="259" w:lineRule="auto"/>
      </w:pPr>
      <w:r>
        <w:rPr>
          <w:rFonts w:ascii="Aptos" w:hAnsi="Aptos"/>
          <w:color w:val="000000"/>
          <w:sz w:val="21"/>
        </w:rPr>
        <w:t>The analysis uses School Year 2025–26 data and a September 30, 2025 count date. The final reporting scope includes 140,706 students across 42 local education agencies (LEAs): 19 districts and 23 charters. It contains 228 coded school records and five vocational or program records without school codes. For proposed school-based formulas, those records become 252 calculation units: 205 district school-code units and 47 charter building units.</w:t>
      </w:r>
    </w:p>
    <w:p>
      <w:pPr>
        <w:spacing w:after="100" w:line="259" w:lineRule="auto"/>
      </w:pPr>
      <w:r>
        <w:rPr>
          <w:rFonts w:ascii="Aptos" w:hAnsi="Aptos"/>
          <w:color w:val="000000"/>
          <w:sz w:val="21"/>
        </w:rPr>
        <w:t>Dover Air Force Base (DAFB) is calculated in the detailed pipeline but excluded from statewide reporting. Bryan Allen Stevenson School of Excellence is removed in Step 10 because 2025–26 was its final operating year. The fixed Opportunity and Operational pools are retained and redistributed across the remaining eligible weighted units. The PEFC-as-presented section, by contrast, preserves the calculator’s source scope unless a specific workbook formula excludes an organization.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88"/>
            <w:vAlign w:val="center"/>
            <w:shd w:fill="1F4E78"/>
            <w:tcMar>
              <w:top w:w="75" w:type="dxa"/>
              <w:start w:w="75" w:type="dxa"/>
              <w:bottom w:w="75" w:type="dxa"/>
              <w:end w:w="75" w:type="dxa"/>
            </w:tcMar>
          </w:tcPr>
          <w:p>
            <w:pPr>
              <w:jc w:val="center"/>
            </w:pPr>
            <w:r>
              <w:rPr>
                <w:rFonts w:ascii="Aptos" w:hAnsi="Aptos"/>
                <w:b/>
                <w:color w:val="FFFFFF"/>
                <w:sz w:val="18"/>
              </w:rPr>
              <w:t>Scope item</w:t>
            </w:r>
          </w:p>
        </w:tc>
        <w:tc>
          <w:tcPr>
            <w:tcW w:type="dxa" w:w="5184"/>
            <w:vAlign w:val="center"/>
            <w:shd w:fill="1F4E78"/>
            <w:tcMar>
              <w:top w:w="75" w:type="dxa"/>
              <w:start w:w="75" w:type="dxa"/>
              <w:bottom w:w="75" w:type="dxa"/>
              <w:end w:w="75" w:type="dxa"/>
            </w:tcMar>
          </w:tcPr>
          <w:p>
            <w:pPr>
              <w:jc w:val="center"/>
            </w:pPr>
            <w:r>
              <w:rPr>
                <w:rFonts w:ascii="Aptos" w:hAnsi="Aptos"/>
                <w:b/>
                <w:color w:val="FFFFFF"/>
                <w:sz w:val="18"/>
              </w:rPr>
              <w:t>Implemented value</w:t>
            </w:r>
          </w:p>
        </w:tc>
      </w:tr>
      <w:tr>
        <w:trPr>
          <w:cantSplit/>
        </w:trPr>
        <w:tc>
          <w:tcPr>
            <w:tcW w:type="dxa" w:w="3888"/>
            <w:vAlign w:val="center"/>
            <w:tcMar>
              <w:top w:w="75" w:type="dxa"/>
              <w:start w:w="75" w:type="dxa"/>
              <w:bottom w:w="75" w:type="dxa"/>
              <w:end w:w="75" w:type="dxa"/>
            </w:tcMar>
          </w:tcPr>
          <w:p>
            <w:pPr>
              <w:jc w:val="left"/>
            </w:pPr>
            <w:r>
              <w:rPr>
                <w:rFonts w:ascii="Aptos" w:hAnsi="Aptos"/>
                <w:sz w:val="18"/>
              </w:rPr>
              <w:t>School year / count date</w:t>
            </w:r>
          </w:p>
        </w:tc>
        <w:tc>
          <w:tcPr>
            <w:tcW w:type="dxa" w:w="5184"/>
            <w:vAlign w:val="center"/>
            <w:tcMar>
              <w:top w:w="75" w:type="dxa"/>
              <w:start w:w="75" w:type="dxa"/>
              <w:bottom w:w="75" w:type="dxa"/>
              <w:end w:w="75" w:type="dxa"/>
            </w:tcMar>
          </w:tcPr>
          <w:p>
            <w:pPr>
              <w:jc w:val="left"/>
            </w:pPr>
            <w:r>
              <w:rPr>
                <w:rFonts w:ascii="Aptos" w:hAnsi="Aptos"/>
                <w:sz w:val="18"/>
              </w:rPr>
              <w:t>2025–26 / September 30, 2025</w:t>
            </w:r>
          </w:p>
        </w:tc>
      </w:tr>
      <w:tr>
        <w:trPr>
          <w:cantSplit/>
        </w:trPr>
        <w:tc>
          <w:tcPr>
            <w:tcW w:type="dxa" w:w="3888"/>
            <w:shd w:fill="EEF5FA"/>
            <w:vAlign w:val="center"/>
            <w:tcMar>
              <w:top w:w="75" w:type="dxa"/>
              <w:start w:w="75" w:type="dxa"/>
              <w:bottom w:w="75" w:type="dxa"/>
              <w:end w:w="75" w:type="dxa"/>
            </w:tcMar>
          </w:tcPr>
          <w:p>
            <w:pPr>
              <w:jc w:val="left"/>
            </w:pPr>
            <w:r>
              <w:rPr>
                <w:rFonts w:ascii="Aptos" w:hAnsi="Aptos"/>
                <w:sz w:val="18"/>
              </w:rPr>
              <w:t>Final reporting scope</w:t>
            </w:r>
          </w:p>
        </w:tc>
        <w:tc>
          <w:tcPr>
            <w:tcW w:type="dxa" w:w="5184"/>
            <w:shd w:fill="EEF5FA"/>
            <w:vAlign w:val="center"/>
            <w:tcMar>
              <w:top w:w="75" w:type="dxa"/>
              <w:start w:w="75" w:type="dxa"/>
              <w:bottom w:w="75" w:type="dxa"/>
              <w:end w:w="75" w:type="dxa"/>
            </w:tcMar>
          </w:tcPr>
          <w:p>
            <w:pPr>
              <w:jc w:val="left"/>
            </w:pPr>
            <w:r>
              <w:rPr>
                <w:rFonts w:ascii="Aptos" w:hAnsi="Aptos"/>
                <w:sz w:val="18"/>
              </w:rPr>
              <w:t>42 LEAs: 19 districts and 23 charters</w:t>
            </w:r>
          </w:p>
        </w:tc>
      </w:tr>
      <w:tr>
        <w:trPr>
          <w:cantSplit/>
        </w:trPr>
        <w:tc>
          <w:tcPr>
            <w:tcW w:type="dxa" w:w="3888"/>
            <w:vAlign w:val="center"/>
            <w:tcMar>
              <w:top w:w="75" w:type="dxa"/>
              <w:start w:w="75" w:type="dxa"/>
              <w:bottom w:w="75" w:type="dxa"/>
              <w:end w:w="75" w:type="dxa"/>
            </w:tcMar>
          </w:tcPr>
          <w:p>
            <w:pPr>
              <w:jc w:val="left"/>
            </w:pPr>
            <w:r>
              <w:rPr>
                <w:rFonts w:ascii="Aptos" w:hAnsi="Aptos"/>
                <w:sz w:val="18"/>
              </w:rPr>
              <w:t>Students</w:t>
            </w:r>
          </w:p>
        </w:tc>
        <w:tc>
          <w:tcPr>
            <w:tcW w:type="dxa" w:w="5184"/>
            <w:vAlign w:val="center"/>
            <w:tcMar>
              <w:top w:w="75" w:type="dxa"/>
              <w:start w:w="75" w:type="dxa"/>
              <w:bottom w:w="75" w:type="dxa"/>
              <w:end w:w="75" w:type="dxa"/>
            </w:tcMar>
          </w:tcPr>
          <w:p>
            <w:pPr>
              <w:jc w:val="left"/>
            </w:pPr>
            <w:r>
              <w:rPr>
                <w:rFonts w:ascii="Aptos" w:hAnsi="Aptos"/>
                <w:sz w:val="18"/>
              </w:rPr>
              <w:t>140,706</w:t>
            </w:r>
          </w:p>
        </w:tc>
      </w:tr>
      <w:tr>
        <w:trPr>
          <w:cantSplit/>
        </w:trPr>
        <w:tc>
          <w:tcPr>
            <w:tcW w:type="dxa" w:w="3888"/>
            <w:shd w:fill="EEF5FA"/>
            <w:vAlign w:val="center"/>
            <w:tcMar>
              <w:top w:w="75" w:type="dxa"/>
              <w:start w:w="75" w:type="dxa"/>
              <w:bottom w:w="75" w:type="dxa"/>
              <w:end w:w="75" w:type="dxa"/>
            </w:tcMar>
          </w:tcPr>
          <w:p>
            <w:pPr>
              <w:jc w:val="left"/>
            </w:pPr>
            <w:r>
              <w:rPr>
                <w:rFonts w:ascii="Aptos" w:hAnsi="Aptos"/>
                <w:sz w:val="18"/>
              </w:rPr>
              <w:t>Coded school records</w:t>
            </w:r>
          </w:p>
        </w:tc>
        <w:tc>
          <w:tcPr>
            <w:tcW w:type="dxa" w:w="5184"/>
            <w:shd w:fill="EEF5FA"/>
            <w:vAlign w:val="center"/>
            <w:tcMar>
              <w:top w:w="75" w:type="dxa"/>
              <w:start w:w="75" w:type="dxa"/>
              <w:bottom w:w="75" w:type="dxa"/>
              <w:end w:w="75" w:type="dxa"/>
            </w:tcMar>
          </w:tcPr>
          <w:p>
            <w:pPr>
              <w:jc w:val="left"/>
            </w:pPr>
            <w:r>
              <w:rPr>
                <w:rFonts w:ascii="Aptos" w:hAnsi="Aptos"/>
                <w:sz w:val="18"/>
              </w:rPr>
              <w:t>228</w:t>
            </w:r>
          </w:p>
        </w:tc>
      </w:tr>
      <w:tr>
        <w:trPr>
          <w:cantSplit/>
        </w:trPr>
        <w:tc>
          <w:tcPr>
            <w:tcW w:type="dxa" w:w="3888"/>
            <w:vAlign w:val="center"/>
            <w:tcMar>
              <w:top w:w="75" w:type="dxa"/>
              <w:start w:w="75" w:type="dxa"/>
              <w:bottom w:w="75" w:type="dxa"/>
              <w:end w:w="75" w:type="dxa"/>
            </w:tcMar>
          </w:tcPr>
          <w:p>
            <w:pPr>
              <w:jc w:val="left"/>
            </w:pPr>
            <w:r>
              <w:rPr>
                <w:rFonts w:ascii="Aptos" w:hAnsi="Aptos"/>
                <w:sz w:val="18"/>
              </w:rPr>
              <w:t>Vocational/program records without school codes</w:t>
            </w:r>
          </w:p>
        </w:tc>
        <w:tc>
          <w:tcPr>
            <w:tcW w:type="dxa" w:w="5184"/>
            <w:vAlign w:val="center"/>
            <w:tcMar>
              <w:top w:w="75" w:type="dxa"/>
              <w:start w:w="75" w:type="dxa"/>
              <w:bottom w:w="75" w:type="dxa"/>
              <w:end w:w="75" w:type="dxa"/>
            </w:tcMar>
          </w:tcPr>
          <w:p>
            <w:pPr>
              <w:jc w:val="left"/>
            </w:pPr>
            <w:r>
              <w:rPr>
                <w:rFonts w:ascii="Aptos" w:hAnsi="Aptos"/>
                <w:sz w:val="18"/>
              </w:rPr>
              <w:t>5</w:t>
            </w:r>
          </w:p>
        </w:tc>
      </w:tr>
      <w:tr>
        <w:trPr>
          <w:cantSplit/>
        </w:trPr>
        <w:tc>
          <w:tcPr>
            <w:tcW w:type="dxa" w:w="3888"/>
            <w:shd w:fill="EEF5FA"/>
            <w:vAlign w:val="center"/>
            <w:tcMar>
              <w:top w:w="75" w:type="dxa"/>
              <w:start w:w="75" w:type="dxa"/>
              <w:bottom w:w="75" w:type="dxa"/>
              <w:end w:w="75" w:type="dxa"/>
            </w:tcMar>
          </w:tcPr>
          <w:p>
            <w:pPr>
              <w:jc w:val="left"/>
            </w:pPr>
            <w:r>
              <w:rPr>
                <w:rFonts w:ascii="Aptos" w:hAnsi="Aptos"/>
                <w:sz w:val="18"/>
              </w:rPr>
              <w:t>Proposed school calculation units</w:t>
            </w:r>
          </w:p>
        </w:tc>
        <w:tc>
          <w:tcPr>
            <w:tcW w:type="dxa" w:w="5184"/>
            <w:shd w:fill="EEF5FA"/>
            <w:vAlign w:val="center"/>
            <w:tcMar>
              <w:top w:w="75" w:type="dxa"/>
              <w:start w:w="75" w:type="dxa"/>
              <w:bottom w:w="75" w:type="dxa"/>
              <w:end w:w="75" w:type="dxa"/>
            </w:tcMar>
          </w:tcPr>
          <w:p>
            <w:pPr>
              <w:jc w:val="left"/>
            </w:pPr>
            <w:r>
              <w:rPr>
                <w:rFonts w:ascii="Aptos" w:hAnsi="Aptos"/>
                <w:sz w:val="18"/>
              </w:rPr>
              <w:t>252</w:t>
            </w:r>
          </w:p>
        </w:tc>
      </w:tr>
      <w:tr>
        <w:trPr>
          <w:cantSplit/>
        </w:trPr>
        <w:tc>
          <w:tcPr>
            <w:tcW w:type="dxa" w:w="3888"/>
            <w:vAlign w:val="center"/>
            <w:tcMar>
              <w:top w:w="75" w:type="dxa"/>
              <w:start w:w="75" w:type="dxa"/>
              <w:bottom w:w="75" w:type="dxa"/>
              <w:end w:w="75" w:type="dxa"/>
            </w:tcMar>
          </w:tcPr>
          <w:p>
            <w:pPr>
              <w:jc w:val="left"/>
            </w:pPr>
            <w:r>
              <w:rPr>
                <w:rFonts w:ascii="Aptos" w:hAnsi="Aptos"/>
                <w:sz w:val="18"/>
              </w:rPr>
              <w:t>Reporting exclusions</w:t>
            </w:r>
          </w:p>
        </w:tc>
        <w:tc>
          <w:tcPr>
            <w:tcW w:type="dxa" w:w="5184"/>
            <w:vAlign w:val="center"/>
            <w:tcMar>
              <w:top w:w="75" w:type="dxa"/>
              <w:start w:w="75" w:type="dxa"/>
              <w:bottom w:w="75" w:type="dxa"/>
              <w:end w:w="75" w:type="dxa"/>
            </w:tcMar>
          </w:tcPr>
          <w:p>
            <w:pPr>
              <w:jc w:val="left"/>
            </w:pPr>
            <w:r>
              <w:rPr>
                <w:rFonts w:ascii="Aptos" w:hAnsi="Aptos"/>
                <w:sz w:val="18"/>
              </w:rPr>
              <w:t>DAFB and Bryan Allen Stevenson School of Excellence</w:t>
            </w:r>
          </w:p>
        </w:tc>
      </w:tr>
    </w:tbl>
    <w:p>
      <w:pPr>
        <w:spacing w:after="100" w:line="259" w:lineRule="auto"/>
      </w:pPr>
    </w:p>
    <w:p>
      <w:pPr>
        <w:pStyle w:val="Heading2"/>
        <w:keepNext/>
      </w:pPr>
      <w:r>
        <w:t>1.3 Source hierarchy</w:t>
      </w:r>
    </w:p>
    <w:p>
      <w:pPr>
        <w:spacing w:after="100" w:line="259" w:lineRule="auto"/>
      </w:pPr>
      <w:r>
        <w:rPr>
          <w:rFonts w:ascii="Aptos" w:hAnsi="Aptos"/>
          <w:color w:val="000000"/>
          <w:sz w:val="21"/>
        </w:rPr>
        <w:t>The analysis uses a clear source hierarchy to avoid silently blending different versions of the model. Current code and generated outputs define the models as implemented in the pipeline. Maintained inputs and SQL exports define the values that enter the calculations. The supplied PEFC workbook defines the proposed model as presented. Supporting workbooks, presentations, and question lists help explain intent and identify discrepancies, but they do not override implemented code or literal workbook formulas without a documented decision.</w:t>
      </w:r>
    </w:p>
    <w:p>
      <w:pPr>
        <w:spacing w:after="100" w:line="259" w:lineRule="auto"/>
      </w:pPr>
      <w:r>
        <w:rPr>
          <w:rFonts w:ascii="Aptos" w:hAnsi="Aptos"/>
          <w:color w:val="000000"/>
          <w:sz w:val="21"/>
        </w:rPr>
        <w:t>Externally provided implementation guidance is labeled separately. In particular, the calculator supplies the $163.0 million Opportunity pool and $279.0268 million Operational pool. Guidance from Nick Johnson of POLYTECH School District is the basis for treating those amounts as fixed statewide pools and recalculating per-weighted-student rates when the eligible weighted counts or reporting scope change.</w:t>
      </w:r>
    </w:p>
    <w:p>
      <w:pPr>
        <w:pStyle w:val="Heading2"/>
        <w:keepNext/>
      </w:pPr>
      <w:r>
        <w:t>1.4 Reproducible pipeline</w:t>
      </w:r>
    </w:p>
    <w:p>
      <w:pPr>
        <w:spacing w:after="100" w:line="259" w:lineRule="auto"/>
      </w:pPr>
      <w:r>
        <w:rPr>
          <w:rFonts w:ascii="Aptos" w:hAnsi="Aptos"/>
          <w:color w:val="000000"/>
          <w:sz w:val="21"/>
        </w:rPr>
        <w:t>The pipeline separates source preparation, current-model calculations, proposed-model calculations, comparison, exclusions, and reporting. This separation makes it possible to review a quantity before a rate is applied, trace statewide totals to LEA and school outputs, and rerun the report after a source or policy decision changes. Step 11 is a reporting layer. It does not change the model logic established in Steps 01–10.</w:t>
      </w:r>
    </w:p>
    <w:p>
      <w:pPr>
        <w:keepNext/>
        <w:spacing w:before="160" w:after="100" w:line="259" w:lineRule="auto"/>
      </w:pPr>
      <w:r>
        <w:rPr>
          <w:rFonts w:ascii="Aptos" w:hAnsi="Aptos"/>
          <w:b/>
          <w:color w:val="000000"/>
          <w:sz w:val="21"/>
        </w:rPr>
        <w:t>Exhibit 2B. Analysis pipeline through report outputs</w:t>
      </w:r>
    </w:p>
    <w:p>
      <w:pPr>
        <w:spacing w:after="100" w:line="259" w:lineRule="auto"/>
        <w:jc w:val="center"/>
      </w:pPr>
      <w:r>
        <w:rPr>
          <w:rFonts w:ascii="Aptos" w:hAnsi="Aptos"/>
          <w:color w:val="000000"/>
          <w:sz w:val="21"/>
        </w:rPr>
        <w:drawing>
          <wp:inline xmlns:a="http://schemas.openxmlformats.org/drawingml/2006/main" xmlns:pic="http://schemas.openxmlformats.org/drawingml/2006/picture">
            <wp:extent cx="5760720" cy="2843163"/>
            <wp:docPr id="1" name="Picture 1" descr="Flow diagram of the school funding model pipeline from student-count export through Step 11 report outputs."/>
            <wp:cNvGraphicFramePr>
              <a:graphicFrameLocks noChangeAspect="1"/>
            </wp:cNvGraphicFramePr>
            <a:graphic>
              <a:graphicData uri="http://schemas.openxmlformats.org/drawingml/2006/picture">
                <pic:pic>
                  <pic:nvPicPr>
                    <pic:cNvPr id="0" name="pipeline_diagram.png"/>
                    <pic:cNvPicPr/>
                  </pic:nvPicPr>
                  <pic:blipFill>
                    <a:blip r:embed="rId11"/>
                    <a:stretch>
                      <a:fillRect/>
                    </a:stretch>
                  </pic:blipFill>
                  <pic:spPr>
                    <a:xfrm>
                      <a:off x="0" y="0"/>
                      <a:ext cx="5760720" cy="2843163"/>
                    </a:xfrm>
                    <a:prstGeom prst="rect"/>
                  </pic:spPr>
                </pic:pic>
              </a:graphicData>
            </a:graphic>
          </wp:inline>
        </w:drawing>
      </w:r>
    </w:p>
    <w:p>
      <w:pPr>
        <w:spacing w:after="100" w:line="259" w:lineRule="auto"/>
      </w:pPr>
      <w:r>
        <w:rPr>
          <w:rFonts w:ascii="Aptos" w:hAnsi="Aptos"/>
          <w:i/>
          <w:color w:val="000000"/>
          <w:sz w:val="21"/>
        </w:rPr>
        <w:t>Source: Project scripts 00–11 and 11_analysis_version.csv.</w:t>
      </w:r>
    </w:p>
    <w:p>
      <w:pPr>
        <w:pStyle w:val="Heading2"/>
        <w:keepNext/>
      </w:pPr>
      <w:r>
        <w:t>1.5 Rounding and interpretation</w:t>
      </w:r>
    </w:p>
    <w:p>
      <w:pPr>
        <w:spacing w:after="100" w:line="259" w:lineRule="auto"/>
      </w:pPr>
      <w:r>
        <w:rPr>
          <w:rFonts w:ascii="Aptos" w:hAnsi="Aptos"/>
          <w:color w:val="000000"/>
          <w:sz w:val="21"/>
        </w:rPr>
        <w:t>The calculation files retain full precision. Main-report dollars are generally shown to the nearest $0.1 million, positions to two decimals, weighted rates to the nearest cent, and percentages to one decimal. Rounding occurs only for presentation and does not feed back into model calculations.</w:t>
      </w:r>
    </w:p>
    <w:tbl>
      <w:tblPr>
        <w:tblW w:type="auto" w:w="0"/>
        <w:jc w:val="center"/>
        <w:tblLayout w:type="fixed"/>
        <w:tblLook w:firstColumn="1" w:firstRow="1" w:lastColumn="0" w:lastRow="0" w:noHBand="0" w:noVBand="1" w:val="04A0"/>
      </w:tblPr>
      <w:tblGrid>
        <w:gridCol w:w="10166"/>
      </w:tblGrid>
      <w:tr>
        <w:trPr>
          <w:cantSplit/>
          <w:tblHeader/>
        </w:trPr>
        <w:tc>
          <w:tcPr>
            <w:tcW w:type="dxa" w:w="9216"/>
            <w:shd w:fill="FFF2CC"/>
            <w:tcMar>
              <w:top w:w="130" w:type="dxa"/>
              <w:start w:w="160" w:type="dxa"/>
              <w:bottom w:w="130" w:type="dxa"/>
              <w:end w:w="160" w:type="dxa"/>
            </w:tcMar>
          </w:tcPr>
          <w:p>
            <w:pPr>
              <w:spacing w:after="60"/>
            </w:pPr>
            <w:r>
              <w:rPr>
                <w:rFonts w:ascii="Aptos" w:hAnsi="Aptos"/>
                <w:b/>
                <w:color w:val="1F4E78"/>
                <w:sz w:val="21"/>
              </w:rPr>
              <w:t>Interpretation guardrail</w:t>
            </w:r>
          </w:p>
          <w:p>
            <w:pPr>
              <w:spacing w:after="0"/>
            </w:pPr>
            <w:r>
              <w:rPr>
                <w:rFonts w:ascii="Aptos" w:hAnsi="Aptos"/>
                <w:sz w:val="19"/>
              </w:rPr>
              <w:t>“Position-based difference” compares the partial Recreated Current Model with proposed Base plus Central Office Funding. “Gross difference” compares that same partial current baseline with all four proposed funding sections. Neither measure is a confirmed net fiscal impact.</w:t>
            </w:r>
          </w:p>
        </w:tc>
      </w:tr>
    </w:tbl>
    <w:p>
      <w:pPr>
        <w:spacing w:after="100" w:line="259" w:lineRule="auto"/>
      </w:pPr>
    </w:p>
    <w:p>
      <w:pPr>
        <w:pStyle w:val="Heading1"/>
        <w:keepNext/>
        <w:pageBreakBefore/>
      </w:pPr>
      <w:r>
        <w:t>2. The Current Funding Model as Recreated in the Analysis</w:t>
      </w:r>
    </w:p>
    <w:p>
      <w:pPr>
        <w:spacing w:after="100" w:line="259" w:lineRule="auto"/>
      </w:pPr>
      <w:r>
        <w:rPr>
          <w:rFonts w:ascii="Aptos" w:hAnsi="Aptos"/>
          <w:color w:val="000000"/>
          <w:sz w:val="21"/>
        </w:rPr>
        <w:t>The current model is best understood as a collection of separate allocation rules rather than one statewide weighted formula. Teaching units are largely reported through Unit Count. Other positions are generated from school enrollment, Division I units, grade-specific counts, LEA type, and eligibility thresholds. The pipeline recreates most of these quantities, but the resulting funding total remains partial because several operations and food-service inputs or rates are unavailable.</w:t>
      </w:r>
    </w:p>
    <w:p>
      <w:pPr>
        <w:pStyle w:val="Heading2"/>
        <w:keepNext/>
      </w:pPr>
      <w:r>
        <w:t>2.1 How the recreated current model is organized</w:t>
      </w:r>
    </w:p>
    <w:p>
      <w:pPr>
        <w:spacing w:after="100" w:line="259" w:lineRule="auto"/>
      </w:pPr>
      <w:r>
        <w:rPr>
          <w:rFonts w:ascii="Aptos" w:hAnsi="Aptos"/>
          <w:color w:val="000000"/>
          <w:sz w:val="21"/>
        </w:rPr>
        <w:t>For readability, the 32 recreated current components can be grouped into five broad areas:</w:t>
      </w:r>
    </w:p>
    <w:p>
      <w:pPr>
        <w:spacing w:after="100" w:line="259" w:lineRule="auto"/>
        <w:ind w:left="403" w:hanging="317"/>
      </w:pPr>
      <w:r>
        <w:rPr>
          <w:rFonts w:ascii="Aptos" w:hAnsi="Aptos"/>
          <w:color w:val="000000"/>
          <w:sz w:val="21"/>
        </w:rPr>
        <w:t xml:space="preserve">1.  </w:t>
      </w:r>
      <w:r>
        <w:rPr>
          <w:rFonts w:ascii="Aptos" w:hAnsi="Aptos"/>
          <w:color w:val="000000"/>
          <w:sz w:val="21"/>
        </w:rPr>
        <w:t>Division I teaching and vocational positions, including regular education, special education, vocational positions, and the vocational deduction.</w:t>
      </w:r>
    </w:p>
    <w:p>
      <w:pPr>
        <w:spacing w:after="100" w:line="259" w:lineRule="auto"/>
        <w:ind w:left="403" w:hanging="317"/>
      </w:pPr>
      <w:r>
        <w:rPr>
          <w:rFonts w:ascii="Aptos" w:hAnsi="Aptos"/>
          <w:color w:val="000000"/>
          <w:sz w:val="21"/>
        </w:rPr>
        <w:t xml:space="preserve">2.  </w:t>
      </w:r>
      <w:r>
        <w:rPr>
          <w:rFonts w:ascii="Aptos" w:hAnsi="Aptos"/>
          <w:color w:val="000000"/>
          <w:sz w:val="21"/>
        </w:rPr>
        <w:t>School administration and administrative support, including principals, assistant principals, and secretaries.</w:t>
      </w:r>
    </w:p>
    <w:p>
      <w:pPr>
        <w:spacing w:after="100" w:line="259" w:lineRule="auto"/>
        <w:ind w:left="403" w:hanging="317"/>
      </w:pPr>
      <w:r>
        <w:rPr>
          <w:rFonts w:ascii="Aptos" w:hAnsi="Aptos"/>
          <w:color w:val="000000"/>
          <w:sz w:val="21"/>
        </w:rPr>
        <w:t xml:space="preserve">3.  </w:t>
      </w:r>
      <w:r>
        <w:rPr>
          <w:rFonts w:ascii="Aptos" w:hAnsi="Aptos"/>
          <w:color w:val="000000"/>
          <w:sz w:val="21"/>
        </w:rPr>
        <w:t>Instructional, student, and related-service supports, including counselors or social workers, psychologists, nurses, Academic Excellence, driver education, related services, and visiting teachers.</w:t>
      </w:r>
    </w:p>
    <w:p>
      <w:pPr>
        <w:spacing w:after="100" w:line="259" w:lineRule="auto"/>
        <w:ind w:left="403" w:hanging="317"/>
      </w:pPr>
      <w:r>
        <w:rPr>
          <w:rFonts w:ascii="Aptos" w:hAnsi="Aptos"/>
          <w:color w:val="000000"/>
          <w:sz w:val="21"/>
        </w:rPr>
        <w:t xml:space="preserve">4.  </w:t>
      </w:r>
      <w:r>
        <w:rPr>
          <w:rFonts w:ascii="Aptos" w:hAnsi="Aptos"/>
          <w:color w:val="000000"/>
          <w:sz w:val="21"/>
        </w:rPr>
        <w:t>Central administration, including Superintendent, Assistant Superintendent, Director, Administrative Assistant, 11-Month Supervisor, Transportation Supervisor, and Reading Cadre.</w:t>
      </w:r>
    </w:p>
    <w:p>
      <w:pPr>
        <w:spacing w:after="100" w:line="259" w:lineRule="auto"/>
        <w:ind w:left="403" w:hanging="317"/>
      </w:pPr>
      <w:r>
        <w:rPr>
          <w:rFonts w:ascii="Aptos" w:hAnsi="Aptos"/>
          <w:color w:val="000000"/>
          <w:sz w:val="21"/>
        </w:rPr>
        <w:t xml:space="preserve">5.  </w:t>
      </w:r>
      <w:r>
        <w:rPr>
          <w:rFonts w:ascii="Aptos" w:hAnsi="Aptos"/>
          <w:color w:val="000000"/>
          <w:sz w:val="21"/>
        </w:rPr>
        <w:t>Operations and food services, including custodians, Buildings and Grounds Supervisor, Food Services Supervisor, and charter cafeteria positions.</w:t>
      </w:r>
    </w:p>
    <w:p>
      <w:pPr>
        <w:spacing w:after="100" w:line="259" w:lineRule="auto"/>
      </w:pPr>
      <w:r>
        <w:rPr>
          <w:rFonts w:ascii="Aptos" w:hAnsi="Aptos"/>
          <w:color w:val="000000"/>
          <w:sz w:val="21"/>
        </w:rPr>
        <w:t>The proposed model does not preserve a separate line for every current component. Several current support functions are therefore grouped into broader comparison categories later in the report. Those groupings improve comparability but should not be read as a claim that the functions are identical.</w:t>
      </w:r>
    </w:p>
    <w:p>
      <w:pPr>
        <w:pStyle w:val="Heading2"/>
        <w:keepNext/>
      </w:pPr>
      <w:r>
        <w:t>2.2 Inputs and calculation units</w:t>
      </w:r>
    </w:p>
    <w:p>
      <w:pPr>
        <w:spacing w:after="100" w:line="259" w:lineRule="auto"/>
      </w:pPr>
      <w:r>
        <w:rPr>
          <w:rFonts w:ascii="Aptos" w:hAnsi="Aptos"/>
          <w:color w:val="000000"/>
          <w:sz w:val="21"/>
        </w:rPr>
        <w:t>Unit Count is the primary source for reported Division I units. The current model recognizes an officially coded Unit Count school as the school-building calculation unit. Multiple physical sites under one school code are treated as one current calculation unit. In the final reporting scope, that produces 228 coded school records: 205 district schools and 23 charter organization records.</w:t>
      </w:r>
    </w:p>
    <w:p>
      <w:pPr>
        <w:spacing w:after="100" w:line="259" w:lineRule="auto"/>
      </w:pPr>
      <w:r>
        <w:rPr>
          <w:rFonts w:ascii="Aptos" w:hAnsi="Aptos"/>
          <w:color w:val="000000"/>
          <w:sz w:val="21"/>
        </w:rPr>
        <w:t>Five additional vocational or program records do not have school codes. They retain their vocational positions or deductions, but they do not generate principals or other school-based positions. LEA-level formulas use source-reported LEA totals and validated student counts where required.</w:t>
      </w:r>
    </w:p>
    <w:p>
      <w:pPr>
        <w:spacing w:after="100" w:line="259" w:lineRule="auto"/>
      </w:pPr>
      <w:r>
        <w:rPr>
          <w:rFonts w:ascii="Aptos" w:hAnsi="Aptos"/>
          <w:color w:val="000000"/>
          <w:sz w:val="21"/>
        </w:rPr>
        <w:t>The current Pre-K special education quantity is a source limitation. Unit Count supplies the reported Pre-K units but not the corresponding student headcount needed to independently reconstruct the 1:8.4 ratio. The pipeline therefore passes through the reported UnitsPreK value instead of recalculating it.</w:t>
      </w:r>
    </w:p>
    <w:p>
      <w:pPr>
        <w:pStyle w:val="Heading2"/>
        <w:keepNext/>
      </w:pPr>
      <w:r>
        <w:t>2.3 Representative quantity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1F4E78"/>
            <w:tcMar>
              <w:top w:w="75" w:type="dxa"/>
              <w:start w:w="75" w:type="dxa"/>
              <w:bottom w:w="75" w:type="dxa"/>
              <w:end w:w="75" w:type="dxa"/>
            </w:tcMar>
          </w:tcPr>
          <w:p>
            <w:pPr>
              <w:keepNext/>
              <w:jc w:val="center"/>
            </w:pPr>
            <w:r>
              <w:rPr>
                <w:rFonts w:ascii="Aptos" w:hAnsi="Aptos"/>
                <w:b/>
                <w:color w:val="FFFFFF"/>
                <w:sz w:val="17"/>
              </w:rPr>
              <w:t>Representative component</w:t>
            </w:r>
          </w:p>
        </w:tc>
        <w:tc>
          <w:tcPr>
            <w:tcW w:type="dxa" w:w="6192"/>
            <w:vAlign w:val="center"/>
            <w:shd w:fill="1F4E78"/>
            <w:tcMar>
              <w:top w:w="75" w:type="dxa"/>
              <w:start w:w="75" w:type="dxa"/>
              <w:bottom w:w="75" w:type="dxa"/>
              <w:end w:w="75" w:type="dxa"/>
            </w:tcMar>
          </w:tcPr>
          <w:p>
            <w:pPr>
              <w:keepNext/>
              <w:jc w:val="center"/>
            </w:pPr>
            <w:r>
              <w:rPr>
                <w:rFonts w:ascii="Aptos" w:hAnsi="Aptos"/>
                <w:b/>
                <w:color w:val="FFFFFF"/>
                <w:sz w:val="17"/>
              </w:rPr>
              <w:t>Implemented current-model rule</w:t>
            </w:r>
          </w:p>
        </w:tc>
      </w:tr>
      <w:tr>
        <w:trPr>
          <w:cantSplit/>
        </w:trPr>
        <w:tc>
          <w:tcPr>
            <w:tcW w:type="dxa" w:w="2880"/>
            <w:vAlign w:val="center"/>
            <w:tcMar>
              <w:top w:w="75" w:type="dxa"/>
              <w:start w:w="75" w:type="dxa"/>
              <w:bottom w:w="75" w:type="dxa"/>
              <w:end w:w="75" w:type="dxa"/>
            </w:tcMar>
          </w:tcPr>
          <w:p>
            <w:pPr>
              <w:keepNext/>
              <w:jc w:val="left"/>
            </w:pPr>
            <w:r>
              <w:rPr>
                <w:rFonts w:ascii="Aptos" w:hAnsi="Aptos"/>
                <w:sz w:val="17"/>
              </w:rPr>
              <w:t>Division I teachers</w:t>
            </w:r>
          </w:p>
        </w:tc>
        <w:tc>
          <w:tcPr>
            <w:tcW w:type="dxa" w:w="6192"/>
            <w:vAlign w:val="center"/>
            <w:tcMar>
              <w:top w:w="75" w:type="dxa"/>
              <w:start w:w="75" w:type="dxa"/>
              <w:bottom w:w="75" w:type="dxa"/>
              <w:end w:w="75" w:type="dxa"/>
            </w:tcMar>
          </w:tcPr>
          <w:p>
            <w:pPr>
              <w:keepNext/>
              <w:jc w:val="left"/>
            </w:pPr>
            <w:r>
              <w:rPr>
                <w:rFonts w:ascii="Aptos" w:hAnsi="Aptos"/>
                <w:sz w:val="17"/>
              </w:rPr>
              <w:t>Use source-reported Unit Count positions; Pre-K is passed through because headcount is unavailable.</w:t>
            </w:r>
          </w:p>
        </w:tc>
      </w:tr>
      <w:tr>
        <w:trPr>
          <w:cantSplit/>
        </w:trPr>
        <w:tc>
          <w:tcPr>
            <w:tcW w:type="dxa" w:w="2880"/>
            <w:shd w:fill="EEF5FA"/>
            <w:vAlign w:val="center"/>
            <w:tcMar>
              <w:top w:w="75" w:type="dxa"/>
              <w:start w:w="75" w:type="dxa"/>
              <w:bottom w:w="75" w:type="dxa"/>
              <w:end w:w="75" w:type="dxa"/>
            </w:tcMar>
          </w:tcPr>
          <w:p>
            <w:pPr>
              <w:keepNext/>
              <w:jc w:val="left"/>
            </w:pPr>
            <w:r>
              <w:rPr>
                <w:rFonts w:ascii="Aptos" w:hAnsi="Aptos"/>
                <w:sz w:val="17"/>
              </w:rPr>
              <w:t>Principal</w:t>
            </w:r>
          </w:p>
        </w:tc>
        <w:tc>
          <w:tcPr>
            <w:tcW w:type="dxa" w:w="6192"/>
            <w:shd w:fill="EEF5FA"/>
            <w:vAlign w:val="center"/>
            <w:tcMar>
              <w:top w:w="75" w:type="dxa"/>
              <w:start w:w="75" w:type="dxa"/>
              <w:bottom w:w="75" w:type="dxa"/>
              <w:end w:w="75" w:type="dxa"/>
            </w:tcMar>
          </w:tcPr>
          <w:p>
            <w:pPr>
              <w:keepNext/>
              <w:jc w:val="left"/>
            </w:pPr>
            <w:r>
              <w:rPr>
                <w:rFonts w:ascii="Aptos" w:hAnsi="Aptos"/>
                <w:sz w:val="17"/>
              </w:rPr>
              <w:t>One position when total Division I units are at least 15.</w:t>
            </w:r>
          </w:p>
        </w:tc>
      </w:tr>
      <w:tr>
        <w:trPr>
          <w:cantSplit/>
        </w:trPr>
        <w:tc>
          <w:tcPr>
            <w:tcW w:type="dxa" w:w="2880"/>
            <w:vAlign w:val="center"/>
            <w:tcMar>
              <w:top w:w="75" w:type="dxa"/>
              <w:start w:w="75" w:type="dxa"/>
              <w:bottom w:w="75" w:type="dxa"/>
              <w:end w:w="75" w:type="dxa"/>
            </w:tcMar>
          </w:tcPr>
          <w:p>
            <w:pPr>
              <w:keepNext/>
              <w:jc w:val="left"/>
            </w:pPr>
            <w:r>
              <w:rPr>
                <w:rFonts w:ascii="Aptos" w:hAnsi="Aptos"/>
                <w:sz w:val="17"/>
              </w:rPr>
              <w:t>Assistant Principal</w:t>
            </w:r>
          </w:p>
        </w:tc>
        <w:tc>
          <w:tcPr>
            <w:tcW w:type="dxa" w:w="6192"/>
            <w:vAlign w:val="center"/>
            <w:tcMar>
              <w:top w:w="75" w:type="dxa"/>
              <w:start w:w="75" w:type="dxa"/>
              <w:bottom w:w="75" w:type="dxa"/>
              <w:end w:w="75" w:type="dxa"/>
            </w:tcMar>
          </w:tcPr>
          <w:p>
            <w:pPr>
              <w:keepNext/>
              <w:jc w:val="left"/>
            </w:pPr>
            <w:r>
              <w:rPr>
                <w:rFonts w:ascii="Aptos" w:hAnsi="Aptos"/>
                <w:sz w:val="17"/>
              </w:rPr>
              <w:t>Apply thresholds at 25, 30, 50, 55, and each additional 20 units.</w:t>
            </w:r>
          </w:p>
        </w:tc>
      </w:tr>
      <w:tr>
        <w:trPr>
          <w:cantSplit/>
        </w:trPr>
        <w:tc>
          <w:tcPr>
            <w:tcW w:type="dxa" w:w="2880"/>
            <w:shd w:fill="EEF5FA"/>
            <w:vAlign w:val="center"/>
            <w:tcMar>
              <w:top w:w="75" w:type="dxa"/>
              <w:start w:w="75" w:type="dxa"/>
              <w:bottom w:w="75" w:type="dxa"/>
              <w:end w:w="75" w:type="dxa"/>
            </w:tcMar>
          </w:tcPr>
          <w:p>
            <w:pPr>
              <w:keepNext/>
              <w:jc w:val="left"/>
            </w:pPr>
            <w:r>
              <w:rPr>
                <w:rFonts w:ascii="Aptos" w:hAnsi="Aptos"/>
                <w:sz w:val="17"/>
              </w:rPr>
              <w:t>Counselor / Social Worker</w:t>
            </w:r>
          </w:p>
        </w:tc>
        <w:tc>
          <w:tcPr>
            <w:tcW w:type="dxa" w:w="6192"/>
            <w:shd w:fill="EEF5FA"/>
            <w:vAlign w:val="center"/>
            <w:tcMar>
              <w:top w:w="75" w:type="dxa"/>
              <w:start w:w="75" w:type="dxa"/>
              <w:bottom w:w="75" w:type="dxa"/>
              <w:end w:w="75" w:type="dxa"/>
            </w:tcMar>
          </w:tcPr>
          <w:p>
            <w:pPr>
              <w:keepNext/>
              <w:jc w:val="left"/>
            </w:pPr>
            <w:r>
              <w:rPr>
                <w:rFonts w:ascii="Aptos" w:hAnsi="Aptos"/>
                <w:sz w:val="17"/>
              </w:rPr>
              <w:t>K–8 enrollment divided by 250.</w:t>
            </w:r>
          </w:p>
        </w:tc>
      </w:tr>
      <w:tr>
        <w:trPr>
          <w:cantSplit/>
        </w:trPr>
        <w:tc>
          <w:tcPr>
            <w:tcW w:type="dxa" w:w="2880"/>
            <w:vAlign w:val="center"/>
            <w:tcMar>
              <w:top w:w="75" w:type="dxa"/>
              <w:start w:w="75" w:type="dxa"/>
              <w:bottom w:w="75" w:type="dxa"/>
              <w:end w:w="75" w:type="dxa"/>
            </w:tcMar>
          </w:tcPr>
          <w:p>
            <w:pPr>
              <w:keepNext/>
              <w:jc w:val="left"/>
            </w:pPr>
            <w:r>
              <w:rPr>
                <w:rFonts w:ascii="Aptos" w:hAnsi="Aptos"/>
                <w:sz w:val="17"/>
              </w:rPr>
              <w:t>School Psychologist</w:t>
            </w:r>
          </w:p>
        </w:tc>
        <w:tc>
          <w:tcPr>
            <w:tcW w:type="dxa" w:w="6192"/>
            <w:vAlign w:val="center"/>
            <w:tcMar>
              <w:top w:w="75" w:type="dxa"/>
              <w:start w:w="75" w:type="dxa"/>
              <w:bottom w:w="75" w:type="dxa"/>
              <w:end w:w="75" w:type="dxa"/>
            </w:tcMar>
          </w:tcPr>
          <w:p>
            <w:pPr>
              <w:keepNext/>
              <w:jc w:val="left"/>
            </w:pPr>
            <w:r>
              <w:rPr>
                <w:rFonts w:ascii="Aptos" w:hAnsi="Aptos"/>
                <w:sz w:val="17"/>
              </w:rPr>
              <w:t>K–8 enrollment divided by 700.</w:t>
            </w:r>
          </w:p>
        </w:tc>
      </w:tr>
      <w:tr>
        <w:trPr>
          <w:cantSplit/>
        </w:trPr>
        <w:tc>
          <w:tcPr>
            <w:tcW w:type="dxa" w:w="2880"/>
            <w:shd w:fill="EEF5FA"/>
            <w:vAlign w:val="center"/>
            <w:tcMar>
              <w:top w:w="75" w:type="dxa"/>
              <w:start w:w="75" w:type="dxa"/>
              <w:bottom w:w="75" w:type="dxa"/>
              <w:end w:w="75" w:type="dxa"/>
            </w:tcMar>
          </w:tcPr>
          <w:p>
            <w:pPr>
              <w:keepNext/>
              <w:jc w:val="left"/>
            </w:pPr>
            <w:r>
              <w:rPr>
                <w:rFonts w:ascii="Aptos" w:hAnsi="Aptos"/>
                <w:sz w:val="17"/>
              </w:rPr>
              <w:t>Nurse</w:t>
            </w:r>
          </w:p>
        </w:tc>
        <w:tc>
          <w:tcPr>
            <w:tcW w:type="dxa" w:w="6192"/>
            <w:shd w:fill="EEF5FA"/>
            <w:vAlign w:val="center"/>
            <w:tcMar>
              <w:top w:w="75" w:type="dxa"/>
              <w:start w:w="75" w:type="dxa"/>
              <w:bottom w:w="75" w:type="dxa"/>
              <w:end w:w="75" w:type="dxa"/>
            </w:tcMar>
          </w:tcPr>
          <w:p>
            <w:pPr>
              <w:keepNext/>
              <w:jc w:val="left"/>
            </w:pPr>
            <w:r>
              <w:rPr>
                <w:rFonts w:ascii="Aptos" w:hAnsi="Aptos"/>
                <w:sz w:val="17"/>
              </w:rPr>
              <w:t>One per 40 units; the implemented fractional portion is funded at 30% and still needs confirmation.</w:t>
            </w:r>
          </w:p>
        </w:tc>
      </w:tr>
      <w:tr>
        <w:trPr>
          <w:cantSplit/>
        </w:trPr>
        <w:tc>
          <w:tcPr>
            <w:tcW w:type="dxa" w:w="2880"/>
            <w:vAlign w:val="center"/>
            <w:tcMar>
              <w:top w:w="75" w:type="dxa"/>
              <w:start w:w="75" w:type="dxa"/>
              <w:bottom w:w="75" w:type="dxa"/>
              <w:end w:w="75" w:type="dxa"/>
            </w:tcMar>
          </w:tcPr>
          <w:p>
            <w:pPr>
              <w:keepNext/>
              <w:jc w:val="left"/>
            </w:pPr>
            <w:r>
              <w:rPr>
                <w:rFonts w:ascii="Aptos" w:hAnsi="Aptos"/>
                <w:sz w:val="17"/>
              </w:rPr>
              <w:t>Secretary</w:t>
            </w:r>
          </w:p>
        </w:tc>
        <w:tc>
          <w:tcPr>
            <w:tcW w:type="dxa" w:w="6192"/>
            <w:vAlign w:val="center"/>
            <w:tcMar>
              <w:top w:w="75" w:type="dxa"/>
              <w:start w:w="75" w:type="dxa"/>
              <w:bottom w:w="75" w:type="dxa"/>
              <w:end w:w="75" w:type="dxa"/>
            </w:tcMar>
          </w:tcPr>
          <w:p>
            <w:pPr>
              <w:keepNext/>
              <w:jc w:val="left"/>
            </w:pPr>
            <w:r>
              <w:rPr>
                <w:rFonts w:ascii="Aptos" w:hAnsi="Aptos"/>
                <w:sz w:val="17"/>
              </w:rPr>
              <w:t>One per 10 units through 100; one per completed 12 units thereafter.</w:t>
            </w:r>
          </w:p>
        </w:tc>
      </w:tr>
      <w:tr>
        <w:trPr>
          <w:cantSplit/>
        </w:trPr>
        <w:tc>
          <w:tcPr>
            <w:tcW w:type="dxa" w:w="2880"/>
            <w:shd w:fill="EEF5FA"/>
            <w:vAlign w:val="center"/>
            <w:tcMar>
              <w:top w:w="75" w:type="dxa"/>
              <w:start w:w="75" w:type="dxa"/>
              <w:bottom w:w="75" w:type="dxa"/>
              <w:end w:w="75" w:type="dxa"/>
            </w:tcMar>
          </w:tcPr>
          <w:p>
            <w:pPr>
              <w:keepNext/>
              <w:jc w:val="left"/>
            </w:pPr>
            <w:r>
              <w:rPr>
                <w:rFonts w:ascii="Aptos" w:hAnsi="Aptos"/>
                <w:sz w:val="17"/>
              </w:rPr>
              <w:t>Assistant Superintendent</w:t>
            </w:r>
          </w:p>
        </w:tc>
        <w:tc>
          <w:tcPr>
            <w:tcW w:type="dxa" w:w="6192"/>
            <w:shd w:fill="EEF5FA"/>
            <w:vAlign w:val="center"/>
            <w:tcMar>
              <w:top w:w="75" w:type="dxa"/>
              <w:start w:w="75" w:type="dxa"/>
              <w:bottom w:w="75" w:type="dxa"/>
              <w:end w:w="75" w:type="dxa"/>
            </w:tcMar>
          </w:tcPr>
          <w:p>
            <w:pPr>
              <w:keepNext/>
              <w:jc w:val="left"/>
            </w:pPr>
            <w:r>
              <w:rPr>
                <w:rFonts w:ascii="Aptos" w:hAnsi="Aptos"/>
                <w:sz w:val="17"/>
              </w:rPr>
              <w:t>One per completed 300 Division I units, capped at two, for eligible districts.</w:t>
            </w:r>
          </w:p>
        </w:tc>
      </w:tr>
      <w:tr>
        <w:trPr>
          <w:cantSplit/>
        </w:trPr>
        <w:tc>
          <w:tcPr>
            <w:tcW w:type="dxa" w:w="2880"/>
            <w:vAlign w:val="center"/>
            <w:tcMar>
              <w:top w:w="75" w:type="dxa"/>
              <w:start w:w="75" w:type="dxa"/>
              <w:bottom w:w="75" w:type="dxa"/>
              <w:end w:w="75" w:type="dxa"/>
            </w:tcMar>
          </w:tcPr>
          <w:p>
            <w:pPr>
              <w:keepNext/>
              <w:jc w:val="left"/>
            </w:pPr>
            <w:r>
              <w:rPr>
                <w:rFonts w:ascii="Aptos" w:hAnsi="Aptos"/>
                <w:sz w:val="17"/>
              </w:rPr>
              <w:t>Director</w:t>
            </w:r>
          </w:p>
        </w:tc>
        <w:tc>
          <w:tcPr>
            <w:tcW w:type="dxa" w:w="6192"/>
            <w:vAlign w:val="center"/>
            <w:tcMar>
              <w:top w:w="75" w:type="dxa"/>
              <w:start w:w="75" w:type="dxa"/>
              <w:bottom w:w="75" w:type="dxa"/>
              <w:end w:w="75" w:type="dxa"/>
            </w:tcMar>
          </w:tcPr>
          <w:p>
            <w:pPr>
              <w:keepNext/>
              <w:jc w:val="left"/>
            </w:pPr>
            <w:r>
              <w:rPr>
                <w:rFonts w:ascii="Aptos" w:hAnsi="Aptos"/>
                <w:sz w:val="17"/>
              </w:rPr>
              <w:t>One at 200 units plus one per completed additional 100, capped at six.</w:t>
            </w:r>
          </w:p>
        </w:tc>
      </w:tr>
      <w:tr>
        <w:trPr>
          <w:cantSplit/>
        </w:trPr>
        <w:tc>
          <w:tcPr>
            <w:tcW w:type="dxa" w:w="2880"/>
            <w:shd w:fill="EEF5FA"/>
            <w:vAlign w:val="center"/>
            <w:tcMar>
              <w:top w:w="75" w:type="dxa"/>
              <w:start w:w="75" w:type="dxa"/>
              <w:bottom w:w="75" w:type="dxa"/>
              <w:end w:w="75" w:type="dxa"/>
            </w:tcMar>
          </w:tcPr>
          <w:p>
            <w:pPr>
              <w:jc w:val="left"/>
            </w:pPr>
            <w:r>
              <w:rPr>
                <w:rFonts w:ascii="Aptos" w:hAnsi="Aptos"/>
                <w:sz w:val="17"/>
              </w:rPr>
              <w:t>11-Month Supervisor</w:t>
            </w:r>
          </w:p>
        </w:tc>
        <w:tc>
          <w:tcPr>
            <w:tcW w:type="dxa" w:w="6192"/>
            <w:shd w:fill="EEF5FA"/>
            <w:vAlign w:val="center"/>
            <w:tcMar>
              <w:top w:w="75" w:type="dxa"/>
              <w:start w:w="75" w:type="dxa"/>
              <w:bottom w:w="75" w:type="dxa"/>
              <w:end w:w="75" w:type="dxa"/>
            </w:tcMar>
          </w:tcPr>
          <w:p>
            <w:pPr>
              <w:jc w:val="left"/>
            </w:pPr>
            <w:r>
              <w:rPr>
                <w:rFonts w:ascii="Aptos" w:hAnsi="Aptos"/>
                <w:sz w:val="17"/>
              </w:rPr>
              <w:t>Division I units divided by 150; fractions retained.</w:t>
            </w:r>
          </w:p>
        </w:tc>
      </w:tr>
    </w:tbl>
    <w:p>
      <w:pPr>
        <w:spacing w:after="100" w:line="259" w:lineRule="auto"/>
      </w:pPr>
    </w:p>
    <w:p>
      <w:pPr>
        <w:spacing w:after="100" w:line="259" w:lineRule="auto"/>
      </w:pPr>
      <w:r>
        <w:rPr>
          <w:rFonts w:ascii="Aptos" w:hAnsi="Aptos"/>
          <w:i/>
          <w:color w:val="000000"/>
          <w:sz w:val="21"/>
        </w:rPr>
        <w:t>Source: 04_current_model_rules.csv. The full rule inventory will be provided in the companion technical appendices.</w:t>
      </w:r>
    </w:p>
    <w:p>
      <w:pPr>
        <w:pStyle w:val="Heading2"/>
        <w:keepNext/>
      </w:pPr>
      <w:r>
        <w:t>2.4 Rate evidence and modeled funding</w:t>
      </w:r>
    </w:p>
    <w:p>
      <w:pPr>
        <w:spacing w:after="100" w:line="259" w:lineRule="auto"/>
      </w:pPr>
      <w:r>
        <w:rPr>
          <w:rFonts w:ascii="Aptos" w:hAnsi="Aptos"/>
          <w:color w:val="000000"/>
          <w:sz w:val="21"/>
        </w:rPr>
        <w:t>The available project materials do not provide an authoritative current rate for every recreated component. To create a consistent modeled comparison, the pipeline classifies each rate as calculator-supplied, documented crosswalk, analytical assumption, or not available. A calculator-supplied rate is explicitly listed in the proposed calculator. A documented crosswalk links a current component to a broader calculator category. An analytical assumption uses the closest reasonable calculator rate without an explicit crosswalk. Not available means no defensible rate was identified.</w:t>
      </w:r>
    </w:p>
    <w:p>
      <w:pPr>
        <w:spacing w:after="100" w:line="259" w:lineRule="auto"/>
      </w:pPr>
      <w:r>
        <w:rPr>
          <w:rFonts w:ascii="Aptos" w:hAnsi="Aptos"/>
          <w:color w:val="000000"/>
          <w:sz w:val="21"/>
        </w:rPr>
        <w:t>These classifications are evidence labels, not statements of policy authority. They allow the comparison to be reproduced, but they do not establish the complete official cost of the current funding system. Missing rates and missing quantities remain blank rather than being converted to zero.</w:t>
      </w:r>
    </w:p>
    <w:p>
      <w:pPr>
        <w:keepNext/>
        <w:pageBreakBefore/>
        <w:spacing w:before="160" w:after="100" w:line="259" w:lineRule="auto"/>
      </w:pPr>
      <w:r>
        <w:rPr>
          <w:rFonts w:ascii="Aptos" w:hAnsi="Aptos"/>
          <w:b/>
          <w:color w:val="000000"/>
          <w:sz w:val="21"/>
        </w:rPr>
        <w:t>Exhibit 3. Recreated Current Model: major quantities and completeness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096"/>
            <w:vAlign w:val="center"/>
            <w:shd w:fill="1F4E78"/>
            <w:tcMar>
              <w:top w:w="75" w:type="dxa"/>
              <w:start w:w="75" w:type="dxa"/>
              <w:bottom w:w="75" w:type="dxa"/>
              <w:end w:w="75" w:type="dxa"/>
            </w:tcMar>
          </w:tcPr>
          <w:p>
            <w:pPr>
              <w:jc w:val="center"/>
            </w:pPr>
            <w:r>
              <w:rPr>
                <w:rFonts w:ascii="Aptos" w:hAnsi="Aptos"/>
                <w:b/>
                <w:color w:val="FFFFFF"/>
                <w:sz w:val="16"/>
              </w:rPr>
              <w:t>Component or group</w:t>
            </w:r>
          </w:p>
        </w:tc>
        <w:tc>
          <w:tcPr>
            <w:tcW w:type="dxa" w:w="1655"/>
            <w:vAlign w:val="center"/>
            <w:shd w:fill="1F4E78"/>
            <w:tcMar>
              <w:top w:w="75" w:type="dxa"/>
              <w:start w:w="75" w:type="dxa"/>
              <w:bottom w:w="75" w:type="dxa"/>
              <w:end w:w="75" w:type="dxa"/>
            </w:tcMar>
          </w:tcPr>
          <w:p>
            <w:pPr>
              <w:jc w:val="center"/>
            </w:pPr>
            <w:r>
              <w:rPr>
                <w:rFonts w:ascii="Aptos" w:hAnsi="Aptos"/>
                <w:b/>
                <w:color w:val="FFFFFF"/>
                <w:sz w:val="16"/>
              </w:rPr>
              <w:t>Statewide quantity</w:t>
            </w:r>
          </w:p>
        </w:tc>
        <w:tc>
          <w:tcPr>
            <w:tcW w:type="dxa" w:w="1440"/>
            <w:vAlign w:val="center"/>
            <w:shd w:fill="1F4E78"/>
            <w:tcMar>
              <w:top w:w="75" w:type="dxa"/>
              <w:start w:w="75" w:type="dxa"/>
              <w:bottom w:w="75" w:type="dxa"/>
              <w:end w:w="75" w:type="dxa"/>
            </w:tcMar>
          </w:tcPr>
          <w:p>
            <w:pPr>
              <w:jc w:val="center"/>
            </w:pPr>
            <w:r>
              <w:rPr>
                <w:rFonts w:ascii="Aptos" w:hAnsi="Aptos"/>
                <w:b/>
                <w:color w:val="FFFFFF"/>
                <w:sz w:val="16"/>
              </w:rPr>
              <w:t>Completeness</w:t>
            </w:r>
          </w:p>
        </w:tc>
        <w:tc>
          <w:tcPr>
            <w:tcW w:type="dxa" w:w="3024"/>
            <w:vAlign w:val="center"/>
            <w:shd w:fill="1F4E78"/>
            <w:tcMar>
              <w:top w:w="75" w:type="dxa"/>
              <w:start w:w="75" w:type="dxa"/>
              <w:bottom w:w="75" w:type="dxa"/>
              <w:end w:w="75" w:type="dxa"/>
            </w:tcMar>
          </w:tcPr>
          <w:p>
            <w:pPr>
              <w:jc w:val="center"/>
            </w:pPr>
            <w:r>
              <w:rPr>
                <w:rFonts w:ascii="Aptos" w:hAnsi="Aptos"/>
                <w:b/>
                <w:color w:val="FFFFFF"/>
                <w:sz w:val="16"/>
              </w:rPr>
              <w:t>Main note</w:t>
            </w:r>
          </w:p>
        </w:tc>
      </w:tr>
      <w:tr>
        <w:trPr>
          <w:cantSplit/>
        </w:trPr>
        <w:tc>
          <w:tcPr>
            <w:tcW w:type="dxa" w:w="3096"/>
            <w:vAlign w:val="center"/>
            <w:tcMar>
              <w:top w:w="75" w:type="dxa"/>
              <w:start w:w="75" w:type="dxa"/>
              <w:bottom w:w="75" w:type="dxa"/>
              <w:end w:w="75" w:type="dxa"/>
            </w:tcMar>
          </w:tcPr>
          <w:p>
            <w:pPr>
              <w:jc w:val="left"/>
            </w:pPr>
            <w:r>
              <w:rPr>
                <w:rFonts w:ascii="Aptos" w:hAnsi="Aptos"/>
                <w:sz w:val="16"/>
              </w:rPr>
              <w:t>Base Division I and net vocational positions</w:t>
            </w:r>
          </w:p>
        </w:tc>
        <w:tc>
          <w:tcPr>
            <w:tcW w:type="dxa" w:w="1655"/>
            <w:vAlign w:val="center"/>
            <w:tcMar>
              <w:top w:w="75" w:type="dxa"/>
              <w:start w:w="75" w:type="dxa"/>
              <w:bottom w:w="75" w:type="dxa"/>
              <w:end w:w="75" w:type="dxa"/>
            </w:tcMar>
          </w:tcPr>
          <w:p>
            <w:pPr>
              <w:jc w:val="right"/>
            </w:pPr>
            <w:r>
              <w:rPr>
                <w:rFonts w:ascii="Aptos" w:hAnsi="Aptos"/>
                <w:sz w:val="16"/>
              </w:rPr>
              <w:t>11,743.85</w:t>
            </w:r>
          </w:p>
        </w:tc>
        <w:tc>
          <w:tcPr>
            <w:tcW w:type="dxa" w:w="1440"/>
            <w:vAlign w:val="center"/>
            <w:tcMar>
              <w:top w:w="75" w:type="dxa"/>
              <w:start w:w="75" w:type="dxa"/>
              <w:bottom w:w="75" w:type="dxa"/>
              <w:end w:w="75" w:type="dxa"/>
            </w:tcMar>
          </w:tcPr>
          <w:p>
            <w:pPr>
              <w:jc w:val="center"/>
            </w:pPr>
            <w:r>
              <w:rPr>
                <w:rFonts w:ascii="Aptos" w:hAnsi="Aptos"/>
                <w:sz w:val="16"/>
              </w:rPr>
              <w:t>Complete</w:t>
            </w:r>
          </w:p>
        </w:tc>
        <w:tc>
          <w:tcPr>
            <w:tcW w:type="dxa" w:w="3024"/>
            <w:vAlign w:val="center"/>
            <w:tcMar>
              <w:top w:w="75" w:type="dxa"/>
              <w:start w:w="75" w:type="dxa"/>
              <w:bottom w:w="75" w:type="dxa"/>
              <w:end w:w="75" w:type="dxa"/>
            </w:tcMar>
          </w:tcPr>
          <w:p>
            <w:pPr>
              <w:jc w:val="left"/>
            </w:pPr>
            <w:r>
              <w:rPr>
                <w:rFonts w:ascii="Aptos" w:hAnsi="Aptos"/>
                <w:sz w:val="16"/>
              </w:rPr>
              <w:t>Uses source-reported current units.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6"/>
              </w:rPr>
              <w:t>Principal</w:t>
            </w:r>
          </w:p>
        </w:tc>
        <w:tc>
          <w:tcPr>
            <w:tcW w:type="dxa" w:w="1655"/>
            <w:shd w:fill="EEF5FA"/>
            <w:vAlign w:val="center"/>
            <w:tcMar>
              <w:top w:w="75" w:type="dxa"/>
              <w:start w:w="75" w:type="dxa"/>
              <w:bottom w:w="75" w:type="dxa"/>
              <w:end w:w="75" w:type="dxa"/>
            </w:tcMar>
          </w:tcPr>
          <w:p>
            <w:pPr>
              <w:jc w:val="right"/>
            </w:pPr>
            <w:r>
              <w:rPr>
                <w:rFonts w:ascii="Aptos" w:hAnsi="Aptos"/>
                <w:sz w:val="16"/>
              </w:rPr>
              <w:t>223.00</w:t>
            </w:r>
          </w:p>
        </w:tc>
        <w:tc>
          <w:tcPr>
            <w:tcW w:type="dxa" w:w="1440"/>
            <w:shd w:fill="EEF5FA"/>
            <w:vAlign w:val="center"/>
            <w:tcMar>
              <w:top w:w="75" w:type="dxa"/>
              <w:start w:w="75" w:type="dxa"/>
              <w:bottom w:w="75" w:type="dxa"/>
              <w:end w:w="75" w:type="dxa"/>
            </w:tcMar>
          </w:tcPr>
          <w:p>
            <w:pPr>
              <w:jc w:val="center"/>
            </w:pPr>
            <w:r>
              <w:rPr>
                <w:rFonts w:ascii="Aptos" w:hAnsi="Aptos"/>
                <w:sz w:val="16"/>
              </w:rPr>
              <w:t>Complete</w:t>
            </w:r>
          </w:p>
        </w:tc>
        <w:tc>
          <w:tcPr>
            <w:tcW w:type="dxa" w:w="3024"/>
            <w:shd w:fill="EEF5FA"/>
            <w:vAlign w:val="center"/>
            <w:tcMar>
              <w:top w:w="75" w:type="dxa"/>
              <w:start w:w="75" w:type="dxa"/>
              <w:bottom w:w="75" w:type="dxa"/>
              <w:end w:w="75" w:type="dxa"/>
            </w:tcMar>
          </w:tcPr>
          <w:p>
            <w:pPr>
              <w:jc w:val="left"/>
            </w:pPr>
            <w:r>
              <w:rPr>
                <w:rFonts w:ascii="Aptos" w:hAnsi="Aptos"/>
                <w:sz w:val="16"/>
              </w:rPr>
              <w:t>One only when the current unit threshold is met.</w:t>
            </w:r>
          </w:p>
        </w:tc>
      </w:tr>
      <w:tr>
        <w:trPr>
          <w:cantSplit/>
        </w:trPr>
        <w:tc>
          <w:tcPr>
            <w:tcW w:type="dxa" w:w="3096"/>
            <w:vAlign w:val="center"/>
            <w:tcMar>
              <w:top w:w="75" w:type="dxa"/>
              <w:start w:w="75" w:type="dxa"/>
              <w:bottom w:w="75" w:type="dxa"/>
              <w:end w:w="75" w:type="dxa"/>
            </w:tcMar>
          </w:tcPr>
          <w:p>
            <w:pPr>
              <w:jc w:val="left"/>
            </w:pPr>
            <w:r>
              <w:rPr>
                <w:rFonts w:ascii="Aptos" w:hAnsi="Aptos"/>
                <w:sz w:val="16"/>
              </w:rPr>
              <w:t>Assistant Principal</w:t>
            </w:r>
          </w:p>
        </w:tc>
        <w:tc>
          <w:tcPr>
            <w:tcW w:type="dxa" w:w="1655"/>
            <w:vAlign w:val="center"/>
            <w:tcMar>
              <w:top w:w="75" w:type="dxa"/>
              <w:start w:w="75" w:type="dxa"/>
              <w:bottom w:w="75" w:type="dxa"/>
              <w:end w:w="75" w:type="dxa"/>
            </w:tcMar>
          </w:tcPr>
          <w:p>
            <w:pPr>
              <w:jc w:val="right"/>
            </w:pPr>
            <w:r>
              <w:rPr>
                <w:rFonts w:ascii="Aptos" w:hAnsi="Aptos"/>
                <w:sz w:val="16"/>
              </w:rPr>
              <w:t>361.75</w:t>
            </w:r>
          </w:p>
        </w:tc>
        <w:tc>
          <w:tcPr>
            <w:tcW w:type="dxa" w:w="1440"/>
            <w:vAlign w:val="center"/>
            <w:tcMar>
              <w:top w:w="75" w:type="dxa"/>
              <w:start w:w="75" w:type="dxa"/>
              <w:bottom w:w="75" w:type="dxa"/>
              <w:end w:w="75" w:type="dxa"/>
            </w:tcMar>
          </w:tcPr>
          <w:p>
            <w:pPr>
              <w:jc w:val="center"/>
            </w:pPr>
            <w:r>
              <w:rPr>
                <w:rFonts w:ascii="Aptos" w:hAnsi="Aptos"/>
                <w:sz w:val="16"/>
              </w:rPr>
              <w:t>Complete</w:t>
            </w:r>
          </w:p>
        </w:tc>
        <w:tc>
          <w:tcPr>
            <w:tcW w:type="dxa" w:w="3024"/>
            <w:vAlign w:val="center"/>
            <w:tcMar>
              <w:top w:w="75" w:type="dxa"/>
              <w:start w:w="75" w:type="dxa"/>
              <w:bottom w:w="75" w:type="dxa"/>
              <w:end w:w="75" w:type="dxa"/>
            </w:tcMar>
          </w:tcPr>
          <w:p>
            <w:pPr>
              <w:jc w:val="left"/>
            </w:pPr>
            <w:r>
              <w:rPr>
                <w:rFonts w:ascii="Aptos" w:hAnsi="Aptos"/>
                <w:sz w:val="16"/>
              </w:rPr>
              <w:t>Current unit thresholds.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6"/>
              </w:rPr>
              <w:t>Secretary / mapped administrative support</w:t>
            </w:r>
          </w:p>
        </w:tc>
        <w:tc>
          <w:tcPr>
            <w:tcW w:type="dxa" w:w="1655"/>
            <w:shd w:fill="EEF5FA"/>
            <w:vAlign w:val="center"/>
            <w:tcMar>
              <w:top w:w="75" w:type="dxa"/>
              <w:start w:w="75" w:type="dxa"/>
              <w:bottom w:w="75" w:type="dxa"/>
              <w:end w:w="75" w:type="dxa"/>
            </w:tcMar>
          </w:tcPr>
          <w:p>
            <w:pPr>
              <w:jc w:val="right"/>
            </w:pPr>
            <w:r>
              <w:rPr>
                <w:rFonts w:ascii="Aptos" w:hAnsi="Aptos"/>
                <w:sz w:val="16"/>
              </w:rPr>
              <w:t>1,052.00</w:t>
            </w:r>
          </w:p>
        </w:tc>
        <w:tc>
          <w:tcPr>
            <w:tcW w:type="dxa" w:w="1440"/>
            <w:shd w:fill="EEF5FA"/>
            <w:vAlign w:val="center"/>
            <w:tcMar>
              <w:top w:w="75" w:type="dxa"/>
              <w:start w:w="75" w:type="dxa"/>
              <w:bottom w:w="75" w:type="dxa"/>
              <w:end w:w="75" w:type="dxa"/>
            </w:tcMar>
          </w:tcPr>
          <w:p>
            <w:pPr>
              <w:jc w:val="center"/>
            </w:pPr>
            <w:r>
              <w:rPr>
                <w:rFonts w:ascii="Aptos" w:hAnsi="Aptos"/>
                <w:sz w:val="16"/>
              </w:rPr>
              <w:t>Complete</w:t>
            </w:r>
          </w:p>
        </w:tc>
        <w:tc>
          <w:tcPr>
            <w:tcW w:type="dxa" w:w="3024"/>
            <w:shd w:fill="EEF5FA"/>
            <w:vAlign w:val="center"/>
            <w:tcMar>
              <w:top w:w="75" w:type="dxa"/>
              <w:start w:w="75" w:type="dxa"/>
              <w:bottom w:w="75" w:type="dxa"/>
              <w:end w:w="75" w:type="dxa"/>
            </w:tcMar>
          </w:tcPr>
          <w:p>
            <w:pPr>
              <w:jc w:val="left"/>
            </w:pPr>
            <w:r>
              <w:rPr>
                <w:rFonts w:ascii="Aptos" w:hAnsi="Aptos"/>
                <w:sz w:val="16"/>
              </w:rPr>
              <w:t>Current secretary formula.</w:t>
            </w:r>
          </w:p>
        </w:tc>
      </w:tr>
      <w:tr>
        <w:trPr>
          <w:cantSplit/>
        </w:trPr>
        <w:tc>
          <w:tcPr>
            <w:tcW w:type="dxa" w:w="3096"/>
            <w:vAlign w:val="center"/>
            <w:tcMar>
              <w:top w:w="75" w:type="dxa"/>
              <w:start w:w="75" w:type="dxa"/>
              <w:bottom w:w="75" w:type="dxa"/>
              <w:end w:w="75" w:type="dxa"/>
            </w:tcMar>
          </w:tcPr>
          <w:p>
            <w:pPr>
              <w:jc w:val="left"/>
            </w:pPr>
            <w:r>
              <w:rPr>
                <w:rFonts w:ascii="Aptos" w:hAnsi="Aptos"/>
                <w:sz w:val="16"/>
              </w:rPr>
              <w:t>Mapped instructional and student supports</w:t>
            </w:r>
          </w:p>
        </w:tc>
        <w:tc>
          <w:tcPr>
            <w:tcW w:type="dxa" w:w="1655"/>
            <w:vAlign w:val="center"/>
            <w:tcMar>
              <w:top w:w="75" w:type="dxa"/>
              <w:start w:w="75" w:type="dxa"/>
              <w:bottom w:w="75" w:type="dxa"/>
              <w:end w:w="75" w:type="dxa"/>
            </w:tcMar>
          </w:tcPr>
          <w:p>
            <w:pPr>
              <w:jc w:val="right"/>
            </w:pPr>
            <w:r>
              <w:rPr>
                <w:rFonts w:ascii="Aptos" w:hAnsi="Aptos"/>
                <w:sz w:val="16"/>
              </w:rPr>
              <w:t>2,463.68</w:t>
            </w:r>
          </w:p>
        </w:tc>
        <w:tc>
          <w:tcPr>
            <w:tcW w:type="dxa" w:w="1440"/>
            <w:vAlign w:val="center"/>
            <w:tcMar>
              <w:top w:w="75" w:type="dxa"/>
              <w:start w:w="75" w:type="dxa"/>
              <w:bottom w:w="75" w:type="dxa"/>
              <w:end w:w="75" w:type="dxa"/>
            </w:tcMar>
          </w:tcPr>
          <w:p>
            <w:pPr>
              <w:jc w:val="center"/>
            </w:pPr>
            <w:r>
              <w:rPr>
                <w:rFonts w:ascii="Aptos" w:hAnsi="Aptos"/>
                <w:sz w:val="16"/>
              </w:rPr>
              <w:t>Complete</w:t>
            </w:r>
          </w:p>
        </w:tc>
        <w:tc>
          <w:tcPr>
            <w:tcW w:type="dxa" w:w="3024"/>
            <w:vAlign w:val="center"/>
            <w:tcMar>
              <w:top w:w="75" w:type="dxa"/>
              <w:start w:w="75" w:type="dxa"/>
              <w:bottom w:w="75" w:type="dxa"/>
              <w:end w:w="75" w:type="dxa"/>
            </w:tcMar>
          </w:tcPr>
          <w:p>
            <w:pPr>
              <w:jc w:val="left"/>
            </w:pPr>
            <w:r>
              <w:rPr>
                <w:rFonts w:ascii="Aptos" w:hAnsi="Aptos"/>
                <w:sz w:val="16"/>
              </w:rPr>
              <w:t>Combines several separately named current functions for comparison only.</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6"/>
              </w:rPr>
              <w:t>Superintendent</w:t>
            </w:r>
          </w:p>
        </w:tc>
        <w:tc>
          <w:tcPr>
            <w:tcW w:type="dxa" w:w="1655"/>
            <w:shd w:fill="EEF5FA"/>
            <w:vAlign w:val="center"/>
            <w:tcMar>
              <w:top w:w="75" w:type="dxa"/>
              <w:start w:w="75" w:type="dxa"/>
              <w:bottom w:w="75" w:type="dxa"/>
              <w:end w:w="75" w:type="dxa"/>
            </w:tcMar>
          </w:tcPr>
          <w:p>
            <w:pPr>
              <w:jc w:val="right"/>
            </w:pPr>
            <w:r>
              <w:rPr>
                <w:rFonts w:ascii="Aptos" w:hAnsi="Aptos"/>
                <w:sz w:val="16"/>
              </w:rPr>
              <w:t>19.00</w:t>
            </w:r>
          </w:p>
        </w:tc>
        <w:tc>
          <w:tcPr>
            <w:tcW w:type="dxa" w:w="1440"/>
            <w:shd w:fill="EEF5FA"/>
            <w:vAlign w:val="center"/>
            <w:tcMar>
              <w:top w:w="75" w:type="dxa"/>
              <w:start w:w="75" w:type="dxa"/>
              <w:bottom w:w="75" w:type="dxa"/>
              <w:end w:w="75" w:type="dxa"/>
            </w:tcMar>
          </w:tcPr>
          <w:p>
            <w:pPr>
              <w:jc w:val="center"/>
            </w:pPr>
            <w:r>
              <w:rPr>
                <w:rFonts w:ascii="Aptos" w:hAnsi="Aptos"/>
                <w:sz w:val="16"/>
              </w:rPr>
              <w:t>Complete</w:t>
            </w:r>
          </w:p>
        </w:tc>
        <w:tc>
          <w:tcPr>
            <w:tcW w:type="dxa" w:w="3024"/>
            <w:shd w:fill="EEF5FA"/>
            <w:vAlign w:val="center"/>
            <w:tcMar>
              <w:top w:w="75" w:type="dxa"/>
              <w:start w:w="75" w:type="dxa"/>
              <w:bottom w:w="75" w:type="dxa"/>
              <w:end w:w="75" w:type="dxa"/>
            </w:tcMar>
          </w:tcPr>
          <w:p>
            <w:pPr>
              <w:jc w:val="left"/>
            </w:pPr>
            <w:r>
              <w:rPr>
                <w:rFonts w:ascii="Aptos" w:hAnsi="Aptos"/>
                <w:sz w:val="16"/>
              </w:rPr>
              <w:t>District-only in final scope.</w:t>
            </w:r>
          </w:p>
        </w:tc>
      </w:tr>
      <w:tr>
        <w:trPr>
          <w:cantSplit/>
        </w:trPr>
        <w:tc>
          <w:tcPr>
            <w:tcW w:type="dxa" w:w="3096"/>
            <w:vAlign w:val="center"/>
            <w:tcMar>
              <w:top w:w="75" w:type="dxa"/>
              <w:start w:w="75" w:type="dxa"/>
              <w:bottom w:w="75" w:type="dxa"/>
              <w:end w:w="75" w:type="dxa"/>
            </w:tcMar>
          </w:tcPr>
          <w:p>
            <w:pPr>
              <w:jc w:val="left"/>
            </w:pPr>
            <w:r>
              <w:rPr>
                <w:rFonts w:ascii="Aptos" w:hAnsi="Aptos"/>
                <w:sz w:val="16"/>
              </w:rPr>
              <w:t>Assistant Superintendent</w:t>
            </w:r>
          </w:p>
        </w:tc>
        <w:tc>
          <w:tcPr>
            <w:tcW w:type="dxa" w:w="1655"/>
            <w:vAlign w:val="center"/>
            <w:tcMar>
              <w:top w:w="75" w:type="dxa"/>
              <w:start w:w="75" w:type="dxa"/>
              <w:bottom w:w="75" w:type="dxa"/>
              <w:end w:w="75" w:type="dxa"/>
            </w:tcMar>
          </w:tcPr>
          <w:p>
            <w:pPr>
              <w:jc w:val="right"/>
            </w:pPr>
            <w:r>
              <w:rPr>
                <w:rFonts w:ascii="Aptos" w:hAnsi="Aptos"/>
                <w:sz w:val="16"/>
              </w:rPr>
              <w:t>19.00</w:t>
            </w:r>
          </w:p>
        </w:tc>
        <w:tc>
          <w:tcPr>
            <w:tcW w:type="dxa" w:w="1440"/>
            <w:vAlign w:val="center"/>
            <w:tcMar>
              <w:top w:w="75" w:type="dxa"/>
              <w:start w:w="75" w:type="dxa"/>
              <w:bottom w:w="75" w:type="dxa"/>
              <w:end w:w="75" w:type="dxa"/>
            </w:tcMar>
          </w:tcPr>
          <w:p>
            <w:pPr>
              <w:jc w:val="center"/>
            </w:pPr>
            <w:r>
              <w:rPr>
                <w:rFonts w:ascii="Aptos" w:hAnsi="Aptos"/>
                <w:sz w:val="16"/>
              </w:rPr>
              <w:t>Complete</w:t>
            </w:r>
          </w:p>
        </w:tc>
        <w:tc>
          <w:tcPr>
            <w:tcW w:type="dxa" w:w="3024"/>
            <w:vAlign w:val="center"/>
            <w:tcMar>
              <w:top w:w="75" w:type="dxa"/>
              <w:start w:w="75" w:type="dxa"/>
              <w:bottom w:w="75" w:type="dxa"/>
              <w:end w:w="75" w:type="dxa"/>
            </w:tcMar>
          </w:tcPr>
          <w:p>
            <w:pPr>
              <w:jc w:val="left"/>
            </w:pPr>
            <w:r>
              <w:rPr>
                <w:rFonts w:ascii="Aptos" w:hAnsi="Aptos"/>
                <w:sz w:val="16"/>
              </w:rPr>
              <w:t>Completed 300-unit thresholds.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6"/>
              </w:rPr>
              <w:t>Director</w:t>
            </w:r>
          </w:p>
        </w:tc>
        <w:tc>
          <w:tcPr>
            <w:tcW w:type="dxa" w:w="1655"/>
            <w:shd w:fill="EEF5FA"/>
            <w:vAlign w:val="center"/>
            <w:tcMar>
              <w:top w:w="75" w:type="dxa"/>
              <w:start w:w="75" w:type="dxa"/>
              <w:bottom w:w="75" w:type="dxa"/>
              <w:end w:w="75" w:type="dxa"/>
            </w:tcMar>
          </w:tcPr>
          <w:p>
            <w:pPr>
              <w:jc w:val="right"/>
            </w:pPr>
            <w:r>
              <w:rPr>
                <w:rFonts w:ascii="Aptos" w:hAnsi="Aptos"/>
                <w:sz w:val="16"/>
              </w:rPr>
              <w:t>60.00</w:t>
            </w:r>
          </w:p>
        </w:tc>
        <w:tc>
          <w:tcPr>
            <w:tcW w:type="dxa" w:w="1440"/>
            <w:shd w:fill="EEF5FA"/>
            <w:vAlign w:val="center"/>
            <w:tcMar>
              <w:top w:w="75" w:type="dxa"/>
              <w:start w:w="75" w:type="dxa"/>
              <w:bottom w:w="75" w:type="dxa"/>
              <w:end w:w="75" w:type="dxa"/>
            </w:tcMar>
          </w:tcPr>
          <w:p>
            <w:pPr>
              <w:jc w:val="center"/>
            </w:pPr>
            <w:r>
              <w:rPr>
                <w:rFonts w:ascii="Aptos" w:hAnsi="Aptos"/>
                <w:sz w:val="16"/>
              </w:rPr>
              <w:t>Complete</w:t>
            </w:r>
          </w:p>
        </w:tc>
        <w:tc>
          <w:tcPr>
            <w:tcW w:type="dxa" w:w="3024"/>
            <w:shd w:fill="EEF5FA"/>
            <w:vAlign w:val="center"/>
            <w:tcMar>
              <w:top w:w="75" w:type="dxa"/>
              <w:start w:w="75" w:type="dxa"/>
              <w:bottom w:w="75" w:type="dxa"/>
              <w:end w:w="75" w:type="dxa"/>
            </w:tcMar>
          </w:tcPr>
          <w:p>
            <w:pPr>
              <w:jc w:val="left"/>
            </w:pPr>
            <w:r>
              <w:rPr>
                <w:rFonts w:ascii="Aptos" w:hAnsi="Aptos"/>
                <w:sz w:val="16"/>
              </w:rPr>
              <w:t>Current unit thresholds.</w:t>
            </w:r>
          </w:p>
        </w:tc>
      </w:tr>
      <w:tr>
        <w:trPr>
          <w:cantSplit/>
        </w:trPr>
        <w:tc>
          <w:tcPr>
            <w:tcW w:type="dxa" w:w="3096"/>
            <w:vAlign w:val="center"/>
            <w:tcMar>
              <w:top w:w="75" w:type="dxa"/>
              <w:start w:w="75" w:type="dxa"/>
              <w:bottom w:w="75" w:type="dxa"/>
              <w:end w:w="75" w:type="dxa"/>
            </w:tcMar>
          </w:tcPr>
          <w:p>
            <w:pPr>
              <w:jc w:val="left"/>
            </w:pPr>
            <w:r>
              <w:rPr>
                <w:rFonts w:ascii="Aptos" w:hAnsi="Aptos"/>
                <w:sz w:val="16"/>
              </w:rPr>
              <w:t>11-Month Supervisor</w:t>
            </w:r>
          </w:p>
        </w:tc>
        <w:tc>
          <w:tcPr>
            <w:tcW w:type="dxa" w:w="1655"/>
            <w:vAlign w:val="center"/>
            <w:tcMar>
              <w:top w:w="75" w:type="dxa"/>
              <w:start w:w="75" w:type="dxa"/>
              <w:bottom w:w="75" w:type="dxa"/>
              <w:end w:w="75" w:type="dxa"/>
            </w:tcMar>
          </w:tcPr>
          <w:p>
            <w:pPr>
              <w:jc w:val="right"/>
            </w:pPr>
            <w:r>
              <w:rPr>
                <w:rFonts w:ascii="Aptos" w:hAnsi="Aptos"/>
                <w:sz w:val="16"/>
              </w:rPr>
              <w:t>78.29</w:t>
            </w:r>
          </w:p>
        </w:tc>
        <w:tc>
          <w:tcPr>
            <w:tcW w:type="dxa" w:w="1440"/>
            <w:vAlign w:val="center"/>
            <w:tcMar>
              <w:top w:w="75" w:type="dxa"/>
              <w:start w:w="75" w:type="dxa"/>
              <w:bottom w:w="75" w:type="dxa"/>
              <w:end w:w="75" w:type="dxa"/>
            </w:tcMar>
          </w:tcPr>
          <w:p>
            <w:pPr>
              <w:jc w:val="center"/>
            </w:pPr>
            <w:r>
              <w:rPr>
                <w:rFonts w:ascii="Aptos" w:hAnsi="Aptos"/>
                <w:sz w:val="16"/>
              </w:rPr>
              <w:t>Complete</w:t>
            </w:r>
          </w:p>
        </w:tc>
        <w:tc>
          <w:tcPr>
            <w:tcW w:type="dxa" w:w="3024"/>
            <w:vAlign w:val="center"/>
            <w:tcMar>
              <w:top w:w="75" w:type="dxa"/>
              <w:start w:w="75" w:type="dxa"/>
              <w:bottom w:w="75" w:type="dxa"/>
              <w:end w:w="75" w:type="dxa"/>
            </w:tcMar>
          </w:tcPr>
          <w:p>
            <w:pPr>
              <w:jc w:val="left"/>
            </w:pPr>
            <w:r>
              <w:rPr>
                <w:rFonts w:ascii="Aptos" w:hAnsi="Aptos"/>
                <w:sz w:val="16"/>
              </w:rPr>
              <w:t>Current LEA-level Division I units divided by 150.</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6"/>
              </w:rPr>
              <w:t>Buildings and Grounds Supervisor</w:t>
            </w:r>
          </w:p>
        </w:tc>
        <w:tc>
          <w:tcPr>
            <w:tcW w:type="dxa" w:w="1655"/>
            <w:shd w:fill="EEF5FA"/>
            <w:vAlign w:val="center"/>
            <w:tcMar>
              <w:top w:w="75" w:type="dxa"/>
              <w:start w:w="75" w:type="dxa"/>
              <w:bottom w:w="75" w:type="dxa"/>
              <w:end w:w="75" w:type="dxa"/>
            </w:tcMar>
          </w:tcPr>
          <w:p>
            <w:pPr>
              <w:jc w:val="right"/>
            </w:pPr>
            <w:r>
              <w:rPr>
                <w:rFonts w:ascii="Aptos" w:hAnsi="Aptos"/>
                <w:sz w:val="16"/>
              </w:rPr>
              <w:t>—</w:t>
            </w:r>
          </w:p>
        </w:tc>
        <w:tc>
          <w:tcPr>
            <w:tcW w:type="dxa" w:w="1440"/>
            <w:shd w:fill="EEF5FA"/>
            <w:vAlign w:val="center"/>
            <w:tcMar>
              <w:top w:w="75" w:type="dxa"/>
              <w:start w:w="75" w:type="dxa"/>
              <w:bottom w:w="75" w:type="dxa"/>
              <w:end w:w="75" w:type="dxa"/>
            </w:tcMar>
          </w:tcPr>
          <w:p>
            <w:pPr>
              <w:jc w:val="center"/>
            </w:pPr>
            <w:r>
              <w:rPr>
                <w:rFonts w:ascii="Aptos" w:hAnsi="Aptos"/>
                <w:sz w:val="16"/>
              </w:rPr>
              <w:t>Incomplete</w:t>
            </w:r>
          </w:p>
        </w:tc>
        <w:tc>
          <w:tcPr>
            <w:tcW w:type="dxa" w:w="3024"/>
            <w:shd w:fill="EEF5FA"/>
            <w:vAlign w:val="center"/>
            <w:tcMar>
              <w:top w:w="75" w:type="dxa"/>
              <w:start w:w="75" w:type="dxa"/>
              <w:bottom w:w="75" w:type="dxa"/>
              <w:end w:w="75" w:type="dxa"/>
            </w:tcMar>
          </w:tcPr>
          <w:p>
            <w:pPr>
              <w:jc w:val="left"/>
            </w:pPr>
            <w:r>
              <w:rPr>
                <w:rFonts w:ascii="Aptos" w:hAnsi="Aptos"/>
                <w:sz w:val="16"/>
              </w:rPr>
              <w:t>Custodial-unit input is missing.</w:t>
            </w:r>
          </w:p>
        </w:tc>
      </w:tr>
      <w:tr>
        <w:trPr>
          <w:cantSplit/>
        </w:trPr>
        <w:tc>
          <w:tcPr>
            <w:tcW w:type="dxa" w:w="3096"/>
            <w:vAlign w:val="center"/>
            <w:tcMar>
              <w:top w:w="75" w:type="dxa"/>
              <w:start w:w="75" w:type="dxa"/>
              <w:bottom w:w="75" w:type="dxa"/>
              <w:end w:w="75" w:type="dxa"/>
            </w:tcMar>
          </w:tcPr>
          <w:p>
            <w:pPr>
              <w:jc w:val="left"/>
            </w:pPr>
            <w:r>
              <w:rPr>
                <w:rFonts w:ascii="Aptos" w:hAnsi="Aptos"/>
                <w:sz w:val="16"/>
              </w:rPr>
              <w:t>Food Services Supervisor</w:t>
            </w:r>
          </w:p>
        </w:tc>
        <w:tc>
          <w:tcPr>
            <w:tcW w:type="dxa" w:w="1655"/>
            <w:vAlign w:val="center"/>
            <w:tcMar>
              <w:top w:w="75" w:type="dxa"/>
              <w:start w:w="75" w:type="dxa"/>
              <w:bottom w:w="75" w:type="dxa"/>
              <w:end w:w="75" w:type="dxa"/>
            </w:tcMar>
          </w:tcPr>
          <w:p>
            <w:pPr>
              <w:jc w:val="right"/>
            </w:pPr>
            <w:r>
              <w:rPr>
                <w:rFonts w:ascii="Aptos" w:hAnsi="Aptos"/>
                <w:sz w:val="16"/>
              </w:rPr>
              <w:t>9.00 known</w:t>
            </w:r>
          </w:p>
        </w:tc>
        <w:tc>
          <w:tcPr>
            <w:tcW w:type="dxa" w:w="1440"/>
            <w:vAlign w:val="center"/>
            <w:tcMar>
              <w:top w:w="75" w:type="dxa"/>
              <w:start w:w="75" w:type="dxa"/>
              <w:bottom w:w="75" w:type="dxa"/>
              <w:end w:w="75" w:type="dxa"/>
            </w:tcMar>
          </w:tcPr>
          <w:p>
            <w:pPr>
              <w:jc w:val="center"/>
            </w:pPr>
            <w:r>
              <w:rPr>
                <w:rFonts w:ascii="Aptos" w:hAnsi="Aptos"/>
                <w:sz w:val="16"/>
              </w:rPr>
              <w:t>Incomplete</w:t>
            </w:r>
          </w:p>
        </w:tc>
        <w:tc>
          <w:tcPr>
            <w:tcW w:type="dxa" w:w="3024"/>
            <w:vAlign w:val="center"/>
            <w:tcMar>
              <w:top w:w="75" w:type="dxa"/>
              <w:start w:w="75" w:type="dxa"/>
              <w:bottom w:w="75" w:type="dxa"/>
              <w:end w:w="75" w:type="dxa"/>
            </w:tcMar>
          </w:tcPr>
          <w:p>
            <w:pPr>
              <w:jc w:val="left"/>
            </w:pPr>
            <w:r>
              <w:rPr>
                <w:rFonts w:ascii="Aptos" w:hAnsi="Aptos"/>
                <w:sz w:val="16"/>
              </w:rPr>
              <w:t>Required lunch-building inputs are missing for some LEAs.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6"/>
              </w:rPr>
              <w:t>Custodians</w:t>
            </w:r>
          </w:p>
        </w:tc>
        <w:tc>
          <w:tcPr>
            <w:tcW w:type="dxa" w:w="1655"/>
            <w:shd w:fill="EEF5FA"/>
            <w:vAlign w:val="center"/>
            <w:tcMar>
              <w:top w:w="75" w:type="dxa"/>
              <w:start w:w="75" w:type="dxa"/>
              <w:bottom w:w="75" w:type="dxa"/>
              <w:end w:w="75" w:type="dxa"/>
            </w:tcMar>
          </w:tcPr>
          <w:p>
            <w:pPr>
              <w:jc w:val="right"/>
            </w:pPr>
            <w:r>
              <w:rPr>
                <w:rFonts w:ascii="Aptos" w:hAnsi="Aptos"/>
                <w:sz w:val="16"/>
              </w:rPr>
              <w:t>—</w:t>
            </w:r>
          </w:p>
        </w:tc>
        <w:tc>
          <w:tcPr>
            <w:tcW w:type="dxa" w:w="1440"/>
            <w:shd w:fill="EEF5FA"/>
            <w:vAlign w:val="center"/>
            <w:tcMar>
              <w:top w:w="75" w:type="dxa"/>
              <w:start w:w="75" w:type="dxa"/>
              <w:bottom w:w="75" w:type="dxa"/>
              <w:end w:w="75" w:type="dxa"/>
            </w:tcMar>
          </w:tcPr>
          <w:p>
            <w:pPr>
              <w:jc w:val="center"/>
            </w:pPr>
            <w:r>
              <w:rPr>
                <w:rFonts w:ascii="Aptos" w:hAnsi="Aptos"/>
                <w:sz w:val="16"/>
              </w:rPr>
              <w:t>Incomplete</w:t>
            </w:r>
          </w:p>
        </w:tc>
        <w:tc>
          <w:tcPr>
            <w:tcW w:type="dxa" w:w="3024"/>
            <w:shd w:fill="EEF5FA"/>
            <w:vAlign w:val="center"/>
            <w:tcMar>
              <w:top w:w="75" w:type="dxa"/>
              <w:start w:w="75" w:type="dxa"/>
              <w:bottom w:w="75" w:type="dxa"/>
              <w:end w:w="75" w:type="dxa"/>
            </w:tcMar>
          </w:tcPr>
          <w:p>
            <w:pPr>
              <w:jc w:val="left"/>
            </w:pPr>
            <w:r>
              <w:rPr>
                <w:rFonts w:ascii="Aptos" w:hAnsi="Aptos"/>
                <w:sz w:val="16"/>
              </w:rPr>
              <w:t>Site-evaluated positions and rate are unavailable.</w:t>
            </w:r>
          </w:p>
        </w:tc>
      </w:tr>
      <w:tr>
        <w:trPr>
          <w:cantSplit/>
        </w:trPr>
        <w:tc>
          <w:tcPr>
            <w:tcW w:type="dxa" w:w="3096"/>
            <w:vAlign w:val="center"/>
            <w:tcMar>
              <w:top w:w="75" w:type="dxa"/>
              <w:start w:w="75" w:type="dxa"/>
              <w:bottom w:w="75" w:type="dxa"/>
              <w:end w:w="75" w:type="dxa"/>
            </w:tcMar>
          </w:tcPr>
          <w:p>
            <w:pPr>
              <w:jc w:val="left"/>
            </w:pPr>
            <w:r>
              <w:rPr>
                <w:rFonts w:ascii="Aptos" w:hAnsi="Aptos"/>
                <w:sz w:val="16"/>
              </w:rPr>
              <w:t>Charter cafeteria positions</w:t>
            </w:r>
          </w:p>
        </w:tc>
        <w:tc>
          <w:tcPr>
            <w:tcW w:type="dxa" w:w="1655"/>
            <w:vAlign w:val="center"/>
            <w:tcMar>
              <w:top w:w="75" w:type="dxa"/>
              <w:start w:w="75" w:type="dxa"/>
              <w:bottom w:w="75" w:type="dxa"/>
              <w:end w:w="75" w:type="dxa"/>
            </w:tcMar>
          </w:tcPr>
          <w:p>
            <w:pPr>
              <w:jc w:val="right"/>
            </w:pPr>
            <w:r>
              <w:rPr>
                <w:rFonts w:ascii="Aptos" w:hAnsi="Aptos"/>
                <w:sz w:val="16"/>
              </w:rPr>
              <w:t>17.52 managers; 118.10 workers</w:t>
            </w:r>
          </w:p>
        </w:tc>
        <w:tc>
          <w:tcPr>
            <w:tcW w:type="dxa" w:w="1440"/>
            <w:vAlign w:val="center"/>
            <w:tcMar>
              <w:top w:w="75" w:type="dxa"/>
              <w:start w:w="75" w:type="dxa"/>
              <w:bottom w:w="75" w:type="dxa"/>
              <w:end w:w="75" w:type="dxa"/>
            </w:tcMar>
          </w:tcPr>
          <w:p>
            <w:pPr>
              <w:jc w:val="center"/>
            </w:pPr>
            <w:r>
              <w:rPr>
                <w:rFonts w:ascii="Aptos" w:hAnsi="Aptos"/>
                <w:sz w:val="16"/>
              </w:rPr>
              <w:t>Incomplete</w:t>
            </w:r>
          </w:p>
        </w:tc>
        <w:tc>
          <w:tcPr>
            <w:tcW w:type="dxa" w:w="3024"/>
            <w:vAlign w:val="center"/>
            <w:tcMar>
              <w:top w:w="75" w:type="dxa"/>
              <w:start w:w="75" w:type="dxa"/>
              <w:bottom w:w="75" w:type="dxa"/>
              <w:end w:w="75" w:type="dxa"/>
            </w:tcMar>
          </w:tcPr>
          <w:p>
            <w:pPr>
              <w:jc w:val="left"/>
            </w:pPr>
            <w:r>
              <w:rPr>
                <w:rFonts w:ascii="Aptos" w:hAnsi="Aptos"/>
                <w:sz w:val="16"/>
              </w:rPr>
              <w:t>Satellite counts and/or rates are unavailable.</w:t>
            </w:r>
          </w:p>
        </w:tc>
      </w:tr>
    </w:tbl>
    <w:p>
      <w:pPr>
        <w:spacing w:after="100" w:line="259" w:lineRule="auto"/>
      </w:pPr>
    </w:p>
    <w:p>
      <w:pPr>
        <w:spacing w:after="100" w:line="259" w:lineRule="auto"/>
      </w:pPr>
      <w:r>
        <w:rPr>
          <w:rFonts w:ascii="Aptos" w:hAnsi="Aptos"/>
          <w:i/>
          <w:color w:val="000000"/>
          <w:sz w:val="21"/>
        </w:rPr>
        <w:t>Source: 11_current_vs_reproduction_position_crosswalk.csv; 04_current_model_issues.csv; 05_current_model_rate_issues.csv. Final scope excludes DAFB and Bryan Allen Stevenson School of Excellence.</w:t>
      </w:r>
    </w:p>
    <w:p>
      <w:pPr>
        <w:pStyle w:val="Heading2"/>
        <w:keepNext/>
      </w:pPr>
      <w:r>
        <w:t>2.5 Statewide recreated current-model results</w:t>
      </w:r>
    </w:p>
    <w:p>
      <w:pPr>
        <w:spacing w:after="100" w:line="259" w:lineRule="auto"/>
      </w:pPr>
      <w:r>
        <w:rPr>
          <w:rFonts w:ascii="Aptos" w:hAnsi="Aptos"/>
          <w:color w:val="000000"/>
          <w:sz w:val="21"/>
        </w:rPr>
        <w:t>The partial Recreated Current Model totals $1.562 billion in the final reporting scope. Of that amount, $1.5267 billion is grouped as current Base Funding and $35.6 million as current Central Office Funding for comparison purposes. The grouping is analytical: the current system does not formally use the proposed model’s four-section architecture.</w:t>
      </w:r>
    </w:p>
    <w:p>
      <w:pPr>
        <w:spacing w:after="100" w:line="259" w:lineRule="auto"/>
      </w:pPr>
      <w:r>
        <w:rPr>
          <w:rFonts w:ascii="Aptos" w:hAnsi="Aptos"/>
          <w:color w:val="000000"/>
          <w:sz w:val="21"/>
        </w:rPr>
        <w:t>The pipeline identifies four current components with missing inputs and two components with unavailable rates. The missing information affects custodians, Buildings and Grounds supervision, Food Services supervision, and charter cafeteria positions. The separate district cafeteria process is also outside the recreation. As a result, the current total is a reproducible partial baseline rather than a complete current-system cost.</w:t>
      </w:r>
    </w:p>
    <w:p>
      <w:pPr>
        <w:spacing w:after="100" w:line="259" w:lineRule="auto"/>
      </w:pPr>
      <w:r>
        <w:rPr>
          <w:rFonts w:ascii="Aptos" w:hAnsi="Aptos"/>
          <w:b/>
          <w:color w:val="000000"/>
          <w:sz w:val="21"/>
        </w:rPr>
        <w:t xml:space="preserve">What readers should keep in mind: </w:t>
      </w:r>
      <w:r>
        <w:rPr>
          <w:rFonts w:ascii="Aptos" w:hAnsi="Aptos"/>
          <w:color w:val="000000"/>
          <w:sz w:val="21"/>
        </w:rPr>
        <w:t>The current amount should never be described as the full cost of Delaware’s existing funding system. It is the portion that could be recreated from the available inputs, formulas, crosswalks, and rates in this analysis.</w:t>
      </w:r>
    </w:p>
    <w:p>
      <w:pPr>
        <w:pStyle w:val="Heading1"/>
        <w:keepNext/>
      </w:pPr>
      <w:r>
        <w:t>3. The PEFC Proposed Model as Presented</w:t>
      </w:r>
    </w:p>
    <w:p>
      <w:pPr>
        <w:spacing w:after="100" w:line="259" w:lineRule="auto"/>
      </w:pPr>
      <w:r>
        <w:rPr>
          <w:rFonts w:ascii="Aptos" w:hAnsi="Aptos"/>
          <w:color w:val="000000"/>
          <w:sz w:val="21"/>
        </w:rPr>
        <w:t>The PEFC calculator presents a hybrid funding model with four sections: Base Funding, Opportunity Funding, Operational Funding, and Central Office Funding. This section describes the workbook faithfully, using its displayed statewide values and its source scope. Differences identified by the independent review are addressed in the next section rather than being silently corrected here.</w:t>
      </w:r>
    </w:p>
    <w:p>
      <w:pPr>
        <w:pStyle w:val="Heading2"/>
        <w:keepNext/>
      </w:pPr>
      <w:r>
        <w:t>3.1 Four-part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1F4E78"/>
            <w:tcMar>
              <w:top w:w="75" w:type="dxa"/>
              <w:start w:w="75" w:type="dxa"/>
              <w:bottom w:w="75" w:type="dxa"/>
              <w:end w:w="75" w:type="dxa"/>
            </w:tcMar>
          </w:tcPr>
          <w:p>
            <w:pPr>
              <w:jc w:val="center"/>
            </w:pPr>
            <w:r>
              <w:rPr>
                <w:rFonts w:ascii="Aptos" w:hAnsi="Aptos"/>
                <w:b/>
                <w:color w:val="FFFFFF"/>
                <w:sz w:val="17"/>
              </w:rPr>
              <w:t>Section</w:t>
            </w:r>
          </w:p>
        </w:tc>
        <w:tc>
          <w:tcPr>
            <w:tcW w:type="dxa" w:w="4968"/>
            <w:vAlign w:val="center"/>
            <w:shd w:fill="1F4E78"/>
            <w:tcMar>
              <w:top w:w="75" w:type="dxa"/>
              <w:start w:w="75" w:type="dxa"/>
              <w:bottom w:w="75" w:type="dxa"/>
              <w:end w:w="75" w:type="dxa"/>
            </w:tcMar>
          </w:tcPr>
          <w:p>
            <w:pPr>
              <w:jc w:val="center"/>
            </w:pPr>
            <w:r>
              <w:rPr>
                <w:rFonts w:ascii="Aptos" w:hAnsi="Aptos"/>
                <w:b/>
                <w:color w:val="FFFFFF"/>
                <w:sz w:val="17"/>
              </w:rPr>
              <w:t>What it funds</w:t>
            </w:r>
          </w:p>
        </w:tc>
        <w:tc>
          <w:tcPr>
            <w:tcW w:type="dxa" w:w="2160"/>
            <w:vAlign w:val="center"/>
            <w:shd w:fill="1F4E78"/>
            <w:tcMar>
              <w:top w:w="75" w:type="dxa"/>
              <w:start w:w="75" w:type="dxa"/>
              <w:bottom w:w="75" w:type="dxa"/>
              <w:end w:w="75" w:type="dxa"/>
            </w:tcMar>
          </w:tcPr>
          <w:p>
            <w:pPr>
              <w:jc w:val="center"/>
            </w:pPr>
            <w:r>
              <w:rPr>
                <w:rFonts w:ascii="Aptos" w:hAnsi="Aptos"/>
                <w:b/>
                <w:color w:val="FFFFFF"/>
                <w:sz w:val="17"/>
              </w:rPr>
              <w:t>Funding basis</w:t>
            </w:r>
          </w:p>
        </w:tc>
      </w:tr>
      <w:tr>
        <w:trPr>
          <w:cantSplit/>
        </w:trPr>
        <w:tc>
          <w:tcPr>
            <w:tcW w:type="dxa" w:w="1944"/>
            <w:vAlign w:val="center"/>
            <w:tcMar>
              <w:top w:w="75" w:type="dxa"/>
              <w:start w:w="75" w:type="dxa"/>
              <w:bottom w:w="75" w:type="dxa"/>
              <w:end w:w="75" w:type="dxa"/>
            </w:tcMar>
          </w:tcPr>
          <w:p>
            <w:pPr>
              <w:jc w:val="left"/>
            </w:pPr>
            <w:r>
              <w:rPr>
                <w:rFonts w:ascii="Aptos" w:hAnsi="Aptos"/>
                <w:sz w:val="17"/>
              </w:rPr>
              <w:t>Base Funding</w:t>
            </w:r>
          </w:p>
        </w:tc>
        <w:tc>
          <w:tcPr>
            <w:tcW w:type="dxa" w:w="4968"/>
            <w:vAlign w:val="center"/>
            <w:tcMar>
              <w:top w:w="75" w:type="dxa"/>
              <w:start w:w="75" w:type="dxa"/>
              <w:bottom w:w="75" w:type="dxa"/>
              <w:end w:w="75" w:type="dxa"/>
            </w:tcMar>
          </w:tcPr>
          <w:p>
            <w:pPr>
              <w:jc w:val="left"/>
            </w:pPr>
            <w:r>
              <w:rPr>
                <w:rFonts w:ascii="Aptos" w:hAnsi="Aptos"/>
                <w:sz w:val="17"/>
              </w:rPr>
              <w:t>Position-based teaching, school administration, Administrative Support Professionals, and Instructional Supports.</w:t>
            </w:r>
          </w:p>
        </w:tc>
        <w:tc>
          <w:tcPr>
            <w:tcW w:type="dxa" w:w="2160"/>
            <w:vAlign w:val="center"/>
            <w:tcMar>
              <w:top w:w="75" w:type="dxa"/>
              <w:start w:w="75" w:type="dxa"/>
              <w:bottom w:w="75" w:type="dxa"/>
              <w:end w:w="75" w:type="dxa"/>
            </w:tcMar>
          </w:tcPr>
          <w:p>
            <w:pPr>
              <w:jc w:val="left"/>
            </w:pPr>
            <w:r>
              <w:rPr>
                <w:rFonts w:ascii="Aptos" w:hAnsi="Aptos"/>
                <w:sz w:val="17"/>
              </w:rPr>
              <w:t>Positions × calculator-supplied rates</w:t>
            </w:r>
          </w:p>
        </w:tc>
      </w:tr>
      <w:tr>
        <w:trPr>
          <w:cantSplit/>
        </w:trPr>
        <w:tc>
          <w:tcPr>
            <w:tcW w:type="dxa" w:w="1944"/>
            <w:shd w:fill="EEF5FA"/>
            <w:vAlign w:val="center"/>
            <w:tcMar>
              <w:top w:w="75" w:type="dxa"/>
              <w:start w:w="75" w:type="dxa"/>
              <w:bottom w:w="75" w:type="dxa"/>
              <w:end w:w="75" w:type="dxa"/>
            </w:tcMar>
          </w:tcPr>
          <w:p>
            <w:pPr>
              <w:jc w:val="left"/>
            </w:pPr>
            <w:r>
              <w:rPr>
                <w:rFonts w:ascii="Aptos" w:hAnsi="Aptos"/>
                <w:sz w:val="17"/>
              </w:rPr>
              <w:t>Opportunity Funding</w:t>
            </w:r>
          </w:p>
        </w:tc>
        <w:tc>
          <w:tcPr>
            <w:tcW w:type="dxa" w:w="4968"/>
            <w:shd w:fill="EEF5FA"/>
            <w:vAlign w:val="center"/>
            <w:tcMar>
              <w:top w:w="75" w:type="dxa"/>
              <w:start w:w="75" w:type="dxa"/>
              <w:bottom w:w="75" w:type="dxa"/>
              <w:end w:w="75" w:type="dxa"/>
            </w:tcMar>
          </w:tcPr>
          <w:p>
            <w:pPr>
              <w:jc w:val="left"/>
            </w:pPr>
            <w:r>
              <w:rPr>
                <w:rFonts w:ascii="Aptos" w:hAnsi="Aptos"/>
                <w:sz w:val="17"/>
              </w:rPr>
              <w:t>Low-income and active multilingual learner weighted counts.</w:t>
            </w:r>
          </w:p>
        </w:tc>
        <w:tc>
          <w:tcPr>
            <w:tcW w:type="dxa" w:w="2160"/>
            <w:shd w:fill="EEF5FA"/>
            <w:vAlign w:val="center"/>
            <w:tcMar>
              <w:top w:w="75" w:type="dxa"/>
              <w:start w:w="75" w:type="dxa"/>
              <w:bottom w:w="75" w:type="dxa"/>
              <w:end w:w="75" w:type="dxa"/>
            </w:tcMar>
          </w:tcPr>
          <w:p>
            <w:pPr>
              <w:jc w:val="left"/>
            </w:pPr>
            <w:r>
              <w:rPr>
                <w:rFonts w:ascii="Aptos" w:hAnsi="Aptos"/>
                <w:sz w:val="17"/>
              </w:rPr>
              <w:t>Fixed statewide pool of $163.0M</w:t>
            </w:r>
          </w:p>
        </w:tc>
      </w:tr>
      <w:tr>
        <w:trPr>
          <w:cantSplit/>
        </w:trPr>
        <w:tc>
          <w:tcPr>
            <w:tcW w:type="dxa" w:w="1944"/>
            <w:vAlign w:val="center"/>
            <w:tcMar>
              <w:top w:w="75" w:type="dxa"/>
              <w:start w:w="75" w:type="dxa"/>
              <w:bottom w:w="75" w:type="dxa"/>
              <w:end w:w="75" w:type="dxa"/>
            </w:tcMar>
          </w:tcPr>
          <w:p>
            <w:pPr>
              <w:jc w:val="left"/>
            </w:pPr>
            <w:r>
              <w:rPr>
                <w:rFonts w:ascii="Aptos" w:hAnsi="Aptos"/>
                <w:sz w:val="17"/>
              </w:rPr>
              <w:t>Operational Funding</w:t>
            </w:r>
          </w:p>
        </w:tc>
        <w:tc>
          <w:tcPr>
            <w:tcW w:type="dxa" w:w="4968"/>
            <w:vAlign w:val="center"/>
            <w:tcMar>
              <w:top w:w="75" w:type="dxa"/>
              <w:start w:w="75" w:type="dxa"/>
              <w:bottom w:w="75" w:type="dxa"/>
              <w:end w:w="75" w:type="dxa"/>
            </w:tcMar>
          </w:tcPr>
          <w:p>
            <w:pPr>
              <w:jc w:val="left"/>
            </w:pPr>
            <w:r>
              <w:rPr>
                <w:rFonts w:ascii="Aptos" w:hAnsi="Aptos"/>
                <w:sz w:val="17"/>
              </w:rPr>
              <w:t>Enrollment, low income, active MLL, special education, and vocational weighted counts.</w:t>
            </w:r>
          </w:p>
        </w:tc>
        <w:tc>
          <w:tcPr>
            <w:tcW w:type="dxa" w:w="2160"/>
            <w:vAlign w:val="center"/>
            <w:tcMar>
              <w:top w:w="75" w:type="dxa"/>
              <w:start w:w="75" w:type="dxa"/>
              <w:bottom w:w="75" w:type="dxa"/>
              <w:end w:w="75" w:type="dxa"/>
            </w:tcMar>
          </w:tcPr>
          <w:p>
            <w:pPr>
              <w:jc w:val="left"/>
            </w:pPr>
            <w:r>
              <w:rPr>
                <w:rFonts w:ascii="Aptos" w:hAnsi="Aptos"/>
                <w:sz w:val="17"/>
              </w:rPr>
              <w:t>Fixed statewide pool of $279.0268M</w:t>
            </w:r>
          </w:p>
        </w:tc>
      </w:tr>
      <w:tr>
        <w:trPr>
          <w:cantSplit/>
        </w:trPr>
        <w:tc>
          <w:tcPr>
            <w:tcW w:type="dxa" w:w="1944"/>
            <w:shd w:fill="EEF5FA"/>
            <w:vAlign w:val="center"/>
            <w:tcMar>
              <w:top w:w="75" w:type="dxa"/>
              <w:start w:w="75" w:type="dxa"/>
              <w:bottom w:w="75" w:type="dxa"/>
              <w:end w:w="75" w:type="dxa"/>
            </w:tcMar>
          </w:tcPr>
          <w:p>
            <w:pPr>
              <w:jc w:val="left"/>
            </w:pPr>
            <w:r>
              <w:rPr>
                <w:rFonts w:ascii="Aptos" w:hAnsi="Aptos"/>
                <w:sz w:val="17"/>
              </w:rPr>
              <w:t>Central Office Funding</w:t>
            </w:r>
          </w:p>
        </w:tc>
        <w:tc>
          <w:tcPr>
            <w:tcW w:type="dxa" w:w="4968"/>
            <w:shd w:fill="EEF5FA"/>
            <w:vAlign w:val="center"/>
            <w:tcMar>
              <w:top w:w="75" w:type="dxa"/>
              <w:start w:w="75" w:type="dxa"/>
              <w:bottom w:w="75" w:type="dxa"/>
              <w:end w:w="75" w:type="dxa"/>
            </w:tcMar>
          </w:tcPr>
          <w:p>
            <w:pPr>
              <w:jc w:val="left"/>
            </w:pPr>
            <w:r>
              <w:rPr>
                <w:rFonts w:ascii="Aptos" w:hAnsi="Aptos"/>
                <w:sz w:val="17"/>
              </w:rPr>
              <w:t>Nine LEA-level administrative and operational position categories.</w:t>
            </w:r>
          </w:p>
        </w:tc>
        <w:tc>
          <w:tcPr>
            <w:tcW w:type="dxa" w:w="2160"/>
            <w:shd w:fill="EEF5FA"/>
            <w:vAlign w:val="center"/>
            <w:tcMar>
              <w:top w:w="75" w:type="dxa"/>
              <w:start w:w="75" w:type="dxa"/>
              <w:bottom w:w="75" w:type="dxa"/>
              <w:end w:w="75" w:type="dxa"/>
            </w:tcMar>
          </w:tcPr>
          <w:p>
            <w:pPr>
              <w:jc w:val="left"/>
            </w:pPr>
            <w:r>
              <w:rPr>
                <w:rFonts w:ascii="Aptos" w:hAnsi="Aptos"/>
                <w:sz w:val="17"/>
              </w:rPr>
              <w:t>Positions × calculator-supplied rates</w:t>
            </w:r>
          </w:p>
        </w:tc>
      </w:tr>
    </w:tbl>
    <w:p>
      <w:pPr>
        <w:spacing w:after="100" w:line="259" w:lineRule="auto"/>
      </w:pPr>
    </w:p>
    <w:p>
      <w:pPr>
        <w:pStyle w:val="Heading2"/>
        <w:keepNext/>
      </w:pPr>
      <w:r>
        <w:t>3.2 Base Funding</w:t>
      </w:r>
    </w:p>
    <w:p>
      <w:pPr>
        <w:spacing w:after="100" w:line="259" w:lineRule="auto"/>
      </w:pPr>
      <w:r>
        <w:rPr>
          <w:rFonts w:ascii="Aptos" w:hAnsi="Aptos"/>
          <w:color w:val="000000"/>
          <w:sz w:val="21"/>
        </w:rPr>
        <w:t>Base Funding begins with five enrollment-driven teaching categories: regular K–3, regular Grades 4–12, Basic special education Pre-K–12, Intensive special education, and Complex special education. The workbook divides those enrollments by fixed staffing ratios of 16.2, 20, 8.4, 6, and 2.6, respectively. Vocational Division I positions and the vocational deduction are then added to create Base Division I positions.</w:t>
      </w:r>
    </w:p>
    <w:p>
      <w:pPr>
        <w:spacing w:after="100" w:line="259" w:lineRule="auto"/>
      </w:pPr>
      <w:r>
        <w:rPr>
          <w:rFonts w:ascii="Aptos" w:hAnsi="Aptos"/>
          <w:color w:val="000000"/>
          <w:sz w:val="21"/>
        </w:rPr>
        <w:t>Additional Base positions include one principal per school calculation unit, Instructional Supports, Administrative Support Professionals, and Assistant Principals. The calculator defines Instructional Supports as 20% of Base Division I positions. Administrative Support uses a tiered formula, and Assistant Principals use position thresholds. Total Base positions equal Base Division I plus all four additional Base categories.</w:t>
      </w:r>
    </w:p>
    <w:p>
      <w:pPr>
        <w:spacing w:after="100" w:line="259" w:lineRule="auto"/>
      </w:pPr>
      <w:r>
        <w:rPr>
          <w:rFonts w:ascii="Aptos" w:hAnsi="Aptos"/>
          <w:color w:val="000000"/>
          <w:sz w:val="21"/>
        </w:rPr>
        <w:t>The calculator reports 11,791.23 Base Division I positions, 249 principals, 477 assistant principals, 1,294 Administrative Support Professionals, and 2,354.73 Instructional Supports. Its displayed Total Base is 16,165.964 positions, producing $1.5581 billion in Base Funding.</w:t>
      </w:r>
    </w:p>
    <w:p>
      <w:pPr>
        <w:pStyle w:val="Heading2"/>
        <w:keepNext/>
      </w:pPr>
      <w:r>
        <w:t>3.3 Opportunity and Operational Funding</w:t>
      </w:r>
    </w:p>
    <w:p>
      <w:pPr>
        <w:spacing w:after="100" w:line="259" w:lineRule="auto"/>
      </w:pPr>
      <w:r>
        <w:rPr>
          <w:rFonts w:ascii="Aptos" w:hAnsi="Aptos"/>
          <w:color w:val="000000"/>
          <w:sz w:val="21"/>
        </w:rPr>
        <w:t>Opportunity Funding uses two weights: 0.675 for low-income students and 0.47 for active multilingual learners. The calculator reports 32,909.32 Opportunity weighted students and a rate of $4,953.00 per weighted student, producing the fixed $163.0 million pool.</w:t>
      </w:r>
    </w:p>
    <w:p>
      <w:pPr>
        <w:spacing w:after="100" w:line="259" w:lineRule="auto"/>
      </w:pPr>
      <w:r>
        <w:rPr>
          <w:rFonts w:ascii="Aptos" w:hAnsi="Aptos"/>
          <w:color w:val="000000"/>
          <w:sz w:val="21"/>
        </w:rPr>
        <w:t>Operational Funding applies a 0.20 weight to total enrollment, repeats the low-income and multilingual learner weights, and adds weights of 0.48 for Basic special education, 0.67 for Intensive special education, 1.54 for Complex special education, and 0.20 for vocational enrollment. The calculator reports 85,986.89 Operational weighted students and a rate of $3,244.99, producing the fixed $279.0268 million pool.</w:t>
      </w:r>
    </w:p>
    <w:p>
      <w:pPr>
        <w:spacing w:after="100" w:line="259" w:lineRule="auto"/>
      </w:pPr>
      <w:r>
        <w:rPr>
          <w:rFonts w:ascii="Aptos" w:hAnsi="Aptos"/>
          <w:color w:val="000000"/>
          <w:sz w:val="21"/>
        </w:rPr>
        <w:t>The weights determine each LEA’s share of a pool. The rate converts weighted units into dollars. Because the calculator’s displayed pool amounts are fixed, the implied rate depends on the eligible weighted count used in the denominator.</w:t>
      </w:r>
    </w:p>
    <w:p>
      <w:pPr>
        <w:pStyle w:val="Heading2"/>
        <w:keepNext/>
      </w:pPr>
      <w:r>
        <w:t>3.4 Central Office Funding</w:t>
      </w:r>
    </w:p>
    <w:p>
      <w:pPr>
        <w:spacing w:after="100" w:line="259" w:lineRule="auto"/>
      </w:pPr>
      <w:r>
        <w:rPr>
          <w:rFonts w:ascii="Aptos" w:hAnsi="Aptos"/>
          <w:color w:val="000000"/>
          <w:sz w:val="21"/>
        </w:rPr>
        <w:t>The calculator includes nine Central Office categories: Superintendent, Administrative Assistant, Assistant Superintendent, Director, 11-Month Supervisor, Buildings and Grounds Supervisor, Food Services Supervisor, Transportation Supervisor, and Reading Cadre. Unlike the recreated current model, major Central Office formulas generally apply to charter LEAs as well as districts.</w:t>
      </w:r>
    </w:p>
    <w:p>
      <w:pPr>
        <w:spacing w:after="100" w:line="259" w:lineRule="auto"/>
      </w:pPr>
      <w:r>
        <w:rPr>
          <w:rFonts w:ascii="Aptos" w:hAnsi="Aptos"/>
          <w:color w:val="000000"/>
          <w:sz w:val="21"/>
        </w:rPr>
        <w:t>The PEFC calculator reports 43 organizations receiving at least one Central Office position. DAFB is present in the workbook source scope but excluded from those Central Office formulas. The displayed total is 445.585 Central Office positions and $59.4 million in Central Office Funding.</w:t>
      </w:r>
    </w:p>
    <w:p>
      <w:pPr>
        <w:pStyle w:val="Heading2"/>
        <w:keepNext/>
      </w:pPr>
      <w:r>
        <w:t>3.5 Calculation and reporting levels</w:t>
      </w:r>
    </w:p>
    <w:p>
      <w:pPr>
        <w:spacing w:after="100" w:line="259" w:lineRule="auto"/>
      </w:pPr>
      <w:r>
        <w:rPr>
          <w:rFonts w:ascii="Aptos" w:hAnsi="Aptos"/>
          <w:color w:val="000000"/>
          <w:sz w:val="21"/>
        </w:rPr>
        <w:t>Districts are generally represented through school-code rows. Several charter organizations are divided into multiple building rows for school-based Base formulas, while the calculator also reports charter organization totals. This distinction matters because a formula such as one principal per school produces different results depending on whether a charter is treated as one organization or several buildings.</w:t>
      </w:r>
    </w:p>
    <w:p>
      <w:pPr>
        <w:spacing w:after="100" w:line="259" w:lineRule="auto"/>
      </w:pPr>
      <w:r>
        <w:rPr>
          <w:rFonts w:ascii="Aptos" w:hAnsi="Aptos"/>
          <w:color w:val="000000"/>
          <w:sz w:val="21"/>
        </w:rPr>
        <w:t>The workbook displays 44 organization rows and 249 school calculation units or principal positions. The final independent pipeline later reconciles those organization and building structures to validated source totals.</w:t>
      </w:r>
    </w:p>
    <w:p>
      <w:pPr>
        <w:keepNext/>
        <w:spacing w:before="160" w:after="100" w:line="259" w:lineRule="auto"/>
      </w:pPr>
      <w:r>
        <w:rPr>
          <w:rFonts w:ascii="Aptos" w:hAnsi="Aptos"/>
          <w:b/>
          <w:color w:val="000000"/>
          <w:sz w:val="21"/>
        </w:rPr>
        <w:t>Exhibit 4. PEFC Proposed Model as Presented: statewide architecture and estimates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shd w:fill="1F4E78"/>
            <w:tcMar>
              <w:top w:w="75" w:type="dxa"/>
              <w:start w:w="75" w:type="dxa"/>
              <w:bottom w:w="75" w:type="dxa"/>
              <w:end w:w="75" w:type="dxa"/>
            </w:tcMar>
          </w:tcPr>
          <w:p>
            <w:pPr>
              <w:jc w:val="center"/>
            </w:pPr>
            <w:r>
              <w:rPr>
                <w:rFonts w:ascii="Aptos" w:hAnsi="Aptos"/>
                <w:b/>
                <w:color w:val="FFFFFF"/>
                <w:sz w:val="17"/>
              </w:rPr>
              <w:t>PEFC section</w:t>
            </w:r>
          </w:p>
        </w:tc>
        <w:tc>
          <w:tcPr>
            <w:tcW w:type="dxa" w:w="2160"/>
            <w:vAlign w:val="center"/>
            <w:shd w:fill="1F4E78"/>
            <w:tcMar>
              <w:top w:w="75" w:type="dxa"/>
              <w:start w:w="75" w:type="dxa"/>
              <w:bottom w:w="75" w:type="dxa"/>
              <w:end w:w="75" w:type="dxa"/>
            </w:tcMar>
          </w:tcPr>
          <w:p>
            <w:pPr>
              <w:jc w:val="center"/>
            </w:pPr>
            <w:r>
              <w:rPr>
                <w:rFonts w:ascii="Aptos" w:hAnsi="Aptos"/>
                <w:b/>
                <w:color w:val="FFFFFF"/>
                <w:sz w:val="17"/>
              </w:rPr>
              <w:t>Displayed quantity</w:t>
            </w:r>
          </w:p>
        </w:tc>
        <w:tc>
          <w:tcPr>
            <w:tcW w:type="dxa" w:w="1800"/>
            <w:vAlign w:val="center"/>
            <w:shd w:fill="1F4E78"/>
            <w:tcMar>
              <w:top w:w="75" w:type="dxa"/>
              <w:start w:w="75" w:type="dxa"/>
              <w:bottom w:w="75" w:type="dxa"/>
              <w:end w:w="75" w:type="dxa"/>
            </w:tcMar>
          </w:tcPr>
          <w:p>
            <w:pPr>
              <w:jc w:val="center"/>
            </w:pPr>
            <w:r>
              <w:rPr>
                <w:rFonts w:ascii="Aptos" w:hAnsi="Aptos"/>
                <w:b/>
                <w:color w:val="FFFFFF"/>
                <w:sz w:val="17"/>
              </w:rPr>
              <w:t>Displayed funding</w:t>
            </w:r>
          </w:p>
        </w:tc>
        <w:tc>
          <w:tcPr>
            <w:tcW w:type="dxa" w:w="3168"/>
            <w:vAlign w:val="center"/>
            <w:shd w:fill="1F4E78"/>
            <w:tcMar>
              <w:top w:w="75" w:type="dxa"/>
              <w:start w:w="75" w:type="dxa"/>
              <w:bottom w:w="75" w:type="dxa"/>
              <w:end w:w="75" w:type="dxa"/>
            </w:tcMar>
          </w:tcPr>
          <w:p>
            <w:pPr>
              <w:jc w:val="center"/>
            </w:pPr>
            <w:r>
              <w:rPr>
                <w:rFonts w:ascii="Aptos" w:hAnsi="Aptos"/>
                <w:b/>
                <w:color w:val="FFFFFF"/>
                <w:sz w:val="17"/>
              </w:rPr>
              <w:t>Interpretation</w:t>
            </w:r>
          </w:p>
        </w:tc>
      </w:tr>
      <w:tr>
        <w:trPr>
          <w:cantSplit/>
        </w:trPr>
        <w:tc>
          <w:tcPr>
            <w:tcW w:type="dxa" w:w="1944"/>
            <w:vAlign w:val="center"/>
            <w:tcMar>
              <w:top w:w="75" w:type="dxa"/>
              <w:start w:w="75" w:type="dxa"/>
              <w:bottom w:w="75" w:type="dxa"/>
              <w:end w:w="75" w:type="dxa"/>
            </w:tcMar>
          </w:tcPr>
          <w:p>
            <w:pPr>
              <w:jc w:val="left"/>
            </w:pPr>
            <w:r>
              <w:rPr>
                <w:rFonts w:ascii="Aptos" w:hAnsi="Aptos"/>
                <w:sz w:val="17"/>
              </w:rPr>
              <w:t>Base Funding</w:t>
            </w:r>
          </w:p>
        </w:tc>
        <w:tc>
          <w:tcPr>
            <w:tcW w:type="dxa" w:w="2160"/>
            <w:vAlign w:val="center"/>
            <w:tcMar>
              <w:top w:w="75" w:type="dxa"/>
              <w:start w:w="75" w:type="dxa"/>
              <w:bottom w:w="75" w:type="dxa"/>
              <w:end w:w="75" w:type="dxa"/>
            </w:tcMar>
          </w:tcPr>
          <w:p>
            <w:pPr>
              <w:jc w:val="right"/>
            </w:pPr>
            <w:r>
              <w:rPr>
                <w:rFonts w:ascii="Aptos" w:hAnsi="Aptos"/>
                <w:sz w:val="17"/>
              </w:rPr>
              <w:t>16,165.96 positions</w:t>
            </w:r>
          </w:p>
        </w:tc>
        <w:tc>
          <w:tcPr>
            <w:tcW w:type="dxa" w:w="1800"/>
            <w:vAlign w:val="center"/>
            <w:tcMar>
              <w:top w:w="75" w:type="dxa"/>
              <w:start w:w="75" w:type="dxa"/>
              <w:bottom w:w="75" w:type="dxa"/>
              <w:end w:w="75" w:type="dxa"/>
            </w:tcMar>
          </w:tcPr>
          <w:p>
            <w:pPr>
              <w:jc w:val="right"/>
            </w:pPr>
            <w:r>
              <w:rPr>
                <w:rFonts w:ascii="Aptos" w:hAnsi="Aptos"/>
                <w:sz w:val="17"/>
              </w:rPr>
              <w:t>$1,558.1M</w:t>
            </w:r>
          </w:p>
        </w:tc>
        <w:tc>
          <w:tcPr>
            <w:tcW w:type="dxa" w:w="3168"/>
            <w:vAlign w:val="center"/>
            <w:tcMar>
              <w:top w:w="75" w:type="dxa"/>
              <w:start w:w="75" w:type="dxa"/>
              <w:bottom w:w="75" w:type="dxa"/>
              <w:end w:w="75" w:type="dxa"/>
            </w:tcMar>
          </w:tcPr>
          <w:p>
            <w:pPr>
              <w:jc w:val="left"/>
            </w:pPr>
            <w:r>
              <w:rPr>
                <w:rFonts w:ascii="Aptos" w:hAnsi="Aptos"/>
                <w:sz w:val="17"/>
              </w:rPr>
              <w:t>Includes teaching and additional Base positions.</w:t>
            </w:r>
          </w:p>
        </w:tc>
      </w:tr>
      <w:tr>
        <w:trPr>
          <w:cantSplit/>
        </w:trPr>
        <w:tc>
          <w:tcPr>
            <w:tcW w:type="dxa" w:w="1944"/>
            <w:shd w:fill="EEF5FA"/>
            <w:vAlign w:val="center"/>
            <w:tcMar>
              <w:top w:w="75" w:type="dxa"/>
              <w:start w:w="75" w:type="dxa"/>
              <w:bottom w:w="75" w:type="dxa"/>
              <w:end w:w="75" w:type="dxa"/>
            </w:tcMar>
          </w:tcPr>
          <w:p>
            <w:pPr>
              <w:jc w:val="left"/>
            </w:pPr>
            <w:r>
              <w:rPr>
                <w:rFonts w:ascii="Aptos" w:hAnsi="Aptos"/>
                <w:sz w:val="17"/>
              </w:rPr>
              <w:t>Opportunity Funding</w:t>
            </w:r>
          </w:p>
        </w:tc>
        <w:tc>
          <w:tcPr>
            <w:tcW w:type="dxa" w:w="2160"/>
            <w:shd w:fill="EEF5FA"/>
            <w:vAlign w:val="center"/>
            <w:tcMar>
              <w:top w:w="75" w:type="dxa"/>
              <w:start w:w="75" w:type="dxa"/>
              <w:bottom w:w="75" w:type="dxa"/>
              <w:end w:w="75" w:type="dxa"/>
            </w:tcMar>
          </w:tcPr>
          <w:p>
            <w:pPr>
              <w:jc w:val="right"/>
            </w:pPr>
            <w:r>
              <w:rPr>
                <w:rFonts w:ascii="Aptos" w:hAnsi="Aptos"/>
                <w:sz w:val="17"/>
              </w:rPr>
              <w:t>32,909.32 weighted students</w:t>
            </w:r>
          </w:p>
        </w:tc>
        <w:tc>
          <w:tcPr>
            <w:tcW w:type="dxa" w:w="1800"/>
            <w:shd w:fill="EEF5FA"/>
            <w:vAlign w:val="center"/>
            <w:tcMar>
              <w:top w:w="75" w:type="dxa"/>
              <w:start w:w="75" w:type="dxa"/>
              <w:bottom w:w="75" w:type="dxa"/>
              <w:end w:w="75" w:type="dxa"/>
            </w:tcMar>
          </w:tcPr>
          <w:p>
            <w:pPr>
              <w:jc w:val="right"/>
            </w:pPr>
            <w:r>
              <w:rPr>
                <w:rFonts w:ascii="Aptos" w:hAnsi="Aptos"/>
                <w:sz w:val="17"/>
              </w:rPr>
              <w:t>$163.0M</w:t>
            </w:r>
          </w:p>
        </w:tc>
        <w:tc>
          <w:tcPr>
            <w:tcW w:type="dxa" w:w="3168"/>
            <w:shd w:fill="EEF5FA"/>
            <w:vAlign w:val="center"/>
            <w:tcMar>
              <w:top w:w="75" w:type="dxa"/>
              <w:start w:w="75" w:type="dxa"/>
              <w:bottom w:w="75" w:type="dxa"/>
              <w:end w:w="75" w:type="dxa"/>
            </w:tcMar>
          </w:tcPr>
          <w:p>
            <w:pPr>
              <w:jc w:val="left"/>
            </w:pPr>
            <w:r>
              <w:rPr>
                <w:rFonts w:ascii="Aptos" w:hAnsi="Aptos"/>
                <w:sz w:val="17"/>
              </w:rPr>
              <w:t>Low income and active MLL.</w:t>
            </w:r>
          </w:p>
        </w:tc>
      </w:tr>
      <w:tr>
        <w:trPr>
          <w:cantSplit/>
        </w:trPr>
        <w:tc>
          <w:tcPr>
            <w:tcW w:type="dxa" w:w="1944"/>
            <w:vAlign w:val="center"/>
            <w:tcMar>
              <w:top w:w="75" w:type="dxa"/>
              <w:start w:w="75" w:type="dxa"/>
              <w:bottom w:w="75" w:type="dxa"/>
              <w:end w:w="75" w:type="dxa"/>
            </w:tcMar>
          </w:tcPr>
          <w:p>
            <w:pPr>
              <w:jc w:val="left"/>
            </w:pPr>
            <w:r>
              <w:rPr>
                <w:rFonts w:ascii="Aptos" w:hAnsi="Aptos"/>
                <w:sz w:val="17"/>
              </w:rPr>
              <w:t>Operational Funding</w:t>
            </w:r>
          </w:p>
        </w:tc>
        <w:tc>
          <w:tcPr>
            <w:tcW w:type="dxa" w:w="2160"/>
            <w:vAlign w:val="center"/>
            <w:tcMar>
              <w:top w:w="75" w:type="dxa"/>
              <w:start w:w="75" w:type="dxa"/>
              <w:bottom w:w="75" w:type="dxa"/>
              <w:end w:w="75" w:type="dxa"/>
            </w:tcMar>
          </w:tcPr>
          <w:p>
            <w:pPr>
              <w:jc w:val="right"/>
            </w:pPr>
            <w:r>
              <w:rPr>
                <w:rFonts w:ascii="Aptos" w:hAnsi="Aptos"/>
                <w:sz w:val="17"/>
              </w:rPr>
              <w:t>85,986.89 weighted students</w:t>
            </w:r>
          </w:p>
        </w:tc>
        <w:tc>
          <w:tcPr>
            <w:tcW w:type="dxa" w:w="1800"/>
            <w:vAlign w:val="center"/>
            <w:tcMar>
              <w:top w:w="75" w:type="dxa"/>
              <w:start w:w="75" w:type="dxa"/>
              <w:bottom w:w="75" w:type="dxa"/>
              <w:end w:w="75" w:type="dxa"/>
            </w:tcMar>
          </w:tcPr>
          <w:p>
            <w:pPr>
              <w:jc w:val="right"/>
            </w:pPr>
            <w:r>
              <w:rPr>
                <w:rFonts w:ascii="Aptos" w:hAnsi="Aptos"/>
                <w:sz w:val="17"/>
              </w:rPr>
              <w:t>$279.0M</w:t>
            </w:r>
          </w:p>
        </w:tc>
        <w:tc>
          <w:tcPr>
            <w:tcW w:type="dxa" w:w="3168"/>
            <w:vAlign w:val="center"/>
            <w:tcMar>
              <w:top w:w="75" w:type="dxa"/>
              <w:start w:w="75" w:type="dxa"/>
              <w:bottom w:w="75" w:type="dxa"/>
              <w:end w:w="75" w:type="dxa"/>
            </w:tcMar>
          </w:tcPr>
          <w:p>
            <w:pPr>
              <w:jc w:val="left"/>
            </w:pPr>
            <w:r>
              <w:rPr>
                <w:rFonts w:ascii="Aptos" w:hAnsi="Aptos"/>
                <w:sz w:val="17"/>
              </w:rPr>
              <w:t>Enrollment, LI, MLL, special education, and vocational.</w:t>
            </w:r>
          </w:p>
        </w:tc>
      </w:tr>
      <w:tr>
        <w:trPr>
          <w:cantSplit/>
        </w:trPr>
        <w:tc>
          <w:tcPr>
            <w:tcW w:type="dxa" w:w="1944"/>
            <w:shd w:fill="EEF5FA"/>
            <w:vAlign w:val="center"/>
            <w:tcMar>
              <w:top w:w="75" w:type="dxa"/>
              <w:start w:w="75" w:type="dxa"/>
              <w:bottom w:w="75" w:type="dxa"/>
              <w:end w:w="75" w:type="dxa"/>
            </w:tcMar>
          </w:tcPr>
          <w:p>
            <w:pPr>
              <w:jc w:val="left"/>
            </w:pPr>
            <w:r>
              <w:rPr>
                <w:rFonts w:ascii="Aptos" w:hAnsi="Aptos"/>
                <w:sz w:val="17"/>
              </w:rPr>
              <w:t>Central Office Funding</w:t>
            </w:r>
          </w:p>
        </w:tc>
        <w:tc>
          <w:tcPr>
            <w:tcW w:type="dxa" w:w="2160"/>
            <w:shd w:fill="EEF5FA"/>
            <w:vAlign w:val="center"/>
            <w:tcMar>
              <w:top w:w="75" w:type="dxa"/>
              <w:start w:w="75" w:type="dxa"/>
              <w:bottom w:w="75" w:type="dxa"/>
              <w:end w:w="75" w:type="dxa"/>
            </w:tcMar>
          </w:tcPr>
          <w:p>
            <w:pPr>
              <w:jc w:val="right"/>
            </w:pPr>
            <w:r>
              <w:rPr>
                <w:rFonts w:ascii="Aptos" w:hAnsi="Aptos"/>
                <w:sz w:val="17"/>
              </w:rPr>
              <w:t>445.58 positions</w:t>
            </w:r>
          </w:p>
        </w:tc>
        <w:tc>
          <w:tcPr>
            <w:tcW w:type="dxa" w:w="1800"/>
            <w:shd w:fill="EEF5FA"/>
            <w:vAlign w:val="center"/>
            <w:tcMar>
              <w:top w:w="75" w:type="dxa"/>
              <w:start w:w="75" w:type="dxa"/>
              <w:bottom w:w="75" w:type="dxa"/>
              <w:end w:w="75" w:type="dxa"/>
            </w:tcMar>
          </w:tcPr>
          <w:p>
            <w:pPr>
              <w:jc w:val="right"/>
            </w:pPr>
            <w:r>
              <w:rPr>
                <w:rFonts w:ascii="Aptos" w:hAnsi="Aptos"/>
                <w:sz w:val="17"/>
              </w:rPr>
              <w:t>$59.4M</w:t>
            </w:r>
          </w:p>
        </w:tc>
        <w:tc>
          <w:tcPr>
            <w:tcW w:type="dxa" w:w="3168"/>
            <w:shd w:fill="EEF5FA"/>
            <w:vAlign w:val="center"/>
            <w:tcMar>
              <w:top w:w="75" w:type="dxa"/>
              <w:start w:w="75" w:type="dxa"/>
              <w:bottom w:w="75" w:type="dxa"/>
              <w:end w:w="75" w:type="dxa"/>
            </w:tcMar>
          </w:tcPr>
          <w:p>
            <w:pPr>
              <w:jc w:val="left"/>
            </w:pPr>
            <w:r>
              <w:rPr>
                <w:rFonts w:ascii="Aptos" w:hAnsi="Aptos"/>
                <w:sz w:val="17"/>
              </w:rPr>
              <w:t>Nine LEA-level position categories.</w:t>
            </w:r>
          </w:p>
        </w:tc>
      </w:tr>
      <w:tr>
        <w:trPr>
          <w:cantSplit/>
        </w:trPr>
        <w:tc>
          <w:tcPr>
            <w:tcW w:type="dxa" w:w="1944"/>
            <w:vAlign w:val="center"/>
            <w:tcMar>
              <w:top w:w="75" w:type="dxa"/>
              <w:start w:w="75" w:type="dxa"/>
              <w:bottom w:w="75" w:type="dxa"/>
              <w:end w:w="75" w:type="dxa"/>
            </w:tcMar>
          </w:tcPr>
          <w:p>
            <w:pPr>
              <w:jc w:val="left"/>
            </w:pPr>
            <w:r>
              <w:rPr>
                <w:rFonts w:ascii="Aptos" w:hAnsi="Aptos"/>
                <w:sz w:val="17"/>
              </w:rPr>
              <w:t>Total modeled funding</w:t>
            </w:r>
          </w:p>
        </w:tc>
        <w:tc>
          <w:tcPr>
            <w:tcW w:type="dxa" w:w="2160"/>
            <w:vAlign w:val="center"/>
            <w:tcMar>
              <w:top w:w="75" w:type="dxa"/>
              <w:start w:w="75" w:type="dxa"/>
              <w:bottom w:w="75" w:type="dxa"/>
              <w:end w:w="75" w:type="dxa"/>
            </w:tcMar>
          </w:tcPr>
          <w:p>
            <w:pPr>
              <w:jc w:val="right"/>
            </w:pPr>
            <w:r>
              <w:rPr>
                <w:rFonts w:ascii="Aptos" w:hAnsi="Aptos"/>
                <w:sz w:val="17"/>
              </w:rPr>
              <w:t>16,611.55 position-based positions</w:t>
            </w:r>
          </w:p>
        </w:tc>
        <w:tc>
          <w:tcPr>
            <w:tcW w:type="dxa" w:w="1800"/>
            <w:vAlign w:val="center"/>
            <w:tcMar>
              <w:top w:w="75" w:type="dxa"/>
              <w:start w:w="75" w:type="dxa"/>
              <w:bottom w:w="75" w:type="dxa"/>
              <w:end w:w="75" w:type="dxa"/>
            </w:tcMar>
          </w:tcPr>
          <w:p>
            <w:pPr>
              <w:jc w:val="right"/>
            </w:pPr>
            <w:r>
              <w:rPr>
                <w:rFonts w:ascii="Aptos" w:hAnsi="Aptos"/>
                <w:sz w:val="17"/>
              </w:rPr>
              <w:t>$2,059.6M</w:t>
            </w:r>
          </w:p>
        </w:tc>
        <w:tc>
          <w:tcPr>
            <w:tcW w:type="dxa" w:w="3168"/>
            <w:vAlign w:val="center"/>
            <w:tcMar>
              <w:top w:w="75" w:type="dxa"/>
              <w:start w:w="75" w:type="dxa"/>
              <w:bottom w:w="75" w:type="dxa"/>
              <w:end w:w="75" w:type="dxa"/>
            </w:tcMar>
          </w:tcPr>
          <w:p>
            <w:pPr>
              <w:jc w:val="left"/>
            </w:pPr>
            <w:r>
              <w:rPr>
                <w:rFonts w:ascii="Aptos" w:hAnsi="Aptos"/>
                <w:sz w:val="17"/>
              </w:rPr>
              <w:t>Workbook displayed statewide total.</w:t>
            </w:r>
          </w:p>
        </w:tc>
      </w:tr>
    </w:tbl>
    <w:p>
      <w:pPr>
        <w:spacing w:after="100" w:line="259" w:lineRule="auto"/>
      </w:pPr>
    </w:p>
    <w:p>
      <w:pPr>
        <w:spacing w:after="100" w:line="259" w:lineRule="auto"/>
      </w:pPr>
      <w:r>
        <w:rPr>
          <w:rFonts w:ascii="Aptos" w:hAnsi="Aptos"/>
          <w:i/>
          <w:color w:val="000000"/>
          <w:sz w:val="21"/>
        </w:rPr>
        <w:t>Source: 11_pefc_statewide_as_presented.csv. Scope is the PEFC calculator as presented.</w:t>
      </w:r>
    </w:p>
    <w:p>
      <w:pPr>
        <w:pStyle w:val="Heading2"/>
        <w:keepNext/>
      </w:pPr>
      <w:r>
        <w:t>3.6 Internal workbook reconciliation</w:t>
      </w:r>
    </w:p>
    <w:p>
      <w:pPr>
        <w:spacing w:after="100" w:line="259" w:lineRule="auto"/>
      </w:pPr>
      <w:r>
        <w:rPr>
          <w:rFonts w:ascii="Aptos" w:hAnsi="Aptos"/>
          <w:color w:val="000000"/>
          <w:sz w:val="21"/>
        </w:rPr>
        <w:t>The workbook’s displayed statewide values do not exactly match the sum of its Summary LEA rows for five measures. The differences are small relative to the statewide totals: Base Funding differs by $24,039, Central Office Funding by $43,788, total modeled funding by $19,749, Total Base positions by 0.25, and Total Central Office positions by 0.381. The PEFC-as-presented results retain the displayed statewide values and preserve the differences for technical review.</w:t>
      </w:r>
    </w:p>
    <w:p>
      <w:pPr>
        <w:spacing w:after="100" w:line="259" w:lineRule="auto"/>
      </w:pPr>
      <w:r>
        <w:rPr>
          <w:rFonts w:ascii="Aptos" w:hAnsi="Aptos"/>
          <w:color w:val="000000"/>
          <w:sz w:val="21"/>
        </w:rPr>
        <w:t>These reconciliation items should be confirmed, but they do not by themselves imply that the full calculator is unusable. They are treated as visible workbook discrepancies rather than silently adjusted values.</w:t>
      </w:r>
    </w:p>
    <w:p>
      <w:pPr>
        <w:pStyle w:val="Heading1"/>
        <w:keepNext/>
      </w:pPr>
      <w:r>
        <w:t>4. Independent Technical Review and Reproduction of the Proposed Model</w:t>
      </w:r>
    </w:p>
    <w:p>
      <w:pPr>
        <w:spacing w:after="100" w:line="259" w:lineRule="auto"/>
      </w:pPr>
      <w:r>
        <w:rPr>
          <w:rFonts w:ascii="Aptos" w:hAnsi="Aptos"/>
          <w:color w:val="000000"/>
          <w:sz w:val="21"/>
        </w:rPr>
        <w:t>The independent review tested whether the proposed model could be reproduced from reconciled source data and explicit calculation rules. The answer is yes, but the exercise required several decisions that are easy to miss in a spreadsheet-only review. The pipeline keeps those decisions visible so that they can be revised if a source owner or policy decision changes.</w:t>
      </w:r>
    </w:p>
    <w:p>
      <w:pPr>
        <w:pStyle w:val="Heading2"/>
        <w:keepNext/>
      </w:pPr>
      <w:r>
        <w:t>4.1 What was reviewed</w:t>
      </w:r>
    </w:p>
    <w:p>
      <w:pPr>
        <w:spacing w:after="100" w:line="259" w:lineRule="auto"/>
      </w:pPr>
      <w:r>
        <w:rPr>
          <w:rFonts w:ascii="Aptos" w:hAnsi="Aptos"/>
          <w:color w:val="000000"/>
          <w:sz w:val="21"/>
        </w:rPr>
        <w:t>The review covered input totals and entity crosswalks, school and charter calculation units, workbook formulas and written notes, staffing ratios, position bases, eligibility rules, rates and fixed pools, reporting exclusions, output reconciliation, and file integrity. It also tested whether school-level, LEA-level, and statewide totals agreed after each stage.</w:t>
      </w:r>
    </w:p>
    <w:p>
      <w:pPr>
        <w:spacing w:after="100" w:line="259" w:lineRule="auto"/>
      </w:pPr>
      <w:r>
        <w:rPr>
          <w:rFonts w:ascii="Aptos" w:hAnsi="Aptos"/>
          <w:color w:val="000000"/>
          <w:sz w:val="21"/>
        </w:rPr>
        <w:t>The reporting layer extracted 29 PEFC components and 44 PEFC organization rows, aligned 42 PEFC rows to the final pipeline scope, verified the component crosswalk, and reconciled Base, Central Office, weighted, and total funding. All 18 Step 11 checks passed, and no upstream Step 10 QC failures remained.</w:t>
      </w:r>
    </w:p>
    <w:p>
      <w:pPr>
        <w:pStyle w:val="Heading2"/>
        <w:keepNext/>
      </w:pPr>
      <w:r>
        <w:t>4.2 Input reconciliation</w:t>
      </w:r>
    </w:p>
    <w:p>
      <w:pPr>
        <w:spacing w:after="100" w:line="259" w:lineRule="auto"/>
      </w:pPr>
      <w:r>
        <w:rPr>
          <w:rFonts w:ascii="Aptos" w:hAnsi="Aptos"/>
          <w:color w:val="000000"/>
          <w:sz w:val="21"/>
        </w:rPr>
        <w:t>The independent reproduction uses the validated shared pipeline input as its source of student counts and reported current units. That choice keeps the current and independent models on one common input base. The PEFC workbook is retained as the source of proposed structure, charter building patterns, weights, position rates, vocational enrollment, and fixed pool amounts.</w:t>
      </w:r>
    </w:p>
    <w:p>
      <w:pPr>
        <w:spacing w:after="100" w:line="259" w:lineRule="auto"/>
      </w:pPr>
      <w:r>
        <w:rPr>
          <w:rFonts w:ascii="Aptos" w:hAnsi="Aptos"/>
          <w:color w:val="000000"/>
          <w:sz w:val="21"/>
        </w:rPr>
        <w:t>The largest visible source discrepancy is ASPIRA. The PEFC calculator and source PDF show 815 students in Grades 4–12 and 1,476 total students, while unit_count.xlsx and the SQL student count show 814 and 1,475. The pipeline uses 814 and 1,475. For the three ASPIRA building rows, the 814 Grades 4–12 students are allocated as 178, 345, and 291, preserving the shared total while keeping the calculator’s building pattern as closely as possible.</w:t>
      </w:r>
    </w:p>
    <w:p>
      <w:pPr>
        <w:pStyle w:val="Heading2"/>
        <w:keepNext/>
      </w:pPr>
      <w:r>
        <w:t>4.3 Charter building allocation</w:t>
      </w:r>
    </w:p>
    <w:p>
      <w:pPr>
        <w:spacing w:after="100" w:line="259" w:lineRule="auto"/>
      </w:pPr>
      <w:r>
        <w:rPr>
          <w:rFonts w:ascii="Aptos" w:hAnsi="Aptos"/>
          <w:color w:val="000000"/>
          <w:sz w:val="21"/>
        </w:rPr>
        <w:t>Official charter organization totals remain authoritative in the independent reproduction. Calculator building rows are used only to distribute those totals for school-based Base formulas. For whole-student categories, the pipeline first applies the calculator shares, takes the integer floor, and assigns remaining students to the largest remainders. Ties are resolved by calculation-unit sequence. Vocational positions and deductions retain full precision.</w:t>
      </w:r>
    </w:p>
    <w:p>
      <w:pPr>
        <w:spacing w:after="100" w:line="259" w:lineRule="auto"/>
      </w:pPr>
      <w:r>
        <w:rPr>
          <w:rFonts w:ascii="Aptos" w:hAnsi="Aptos"/>
          <w:color w:val="000000"/>
          <w:sz w:val="21"/>
        </w:rPr>
        <w:t>This design serves two purposes. It preserves the source-reported charter total, and it avoids counting weighted inputs more than once. Low income, active multilingual learners, total enrollment, special education, and vocational weighted inputs are counted once at the charter-organization level, even when a charter has several building rows for Base calculations.</w:t>
      </w:r>
    </w:p>
    <w:p>
      <w:pPr>
        <w:spacing w:after="100" w:line="259" w:lineRule="auto"/>
      </w:pPr>
      <w:r>
        <w:rPr>
          <w:rFonts w:ascii="Aptos" w:hAnsi="Aptos"/>
          <w:b/>
          <w:color w:val="000000"/>
          <w:sz w:val="21"/>
        </w:rPr>
        <w:t xml:space="preserve">Plain-language example: </w:t>
      </w:r>
      <w:r>
        <w:rPr>
          <w:rFonts w:ascii="Aptos" w:hAnsi="Aptos"/>
          <w:color w:val="000000"/>
          <w:sz w:val="21"/>
        </w:rPr>
        <w:t>A charter may receive more than one principal because its Base formulas are applied to multiple calculator buildings. The same charter’s students are still counted once for Opportunity and Operational funding at the organization level.</w:t>
      </w:r>
    </w:p>
    <w:p>
      <w:pPr>
        <w:pStyle w:val="Heading2"/>
        <w:keepNext/>
      </w:pPr>
      <w:r>
        <w:t>4.4 Formula interpretation decisions</w:t>
      </w:r>
    </w:p>
    <w:p>
      <w:pPr>
        <w:spacing w:after="100" w:line="259" w:lineRule="auto"/>
      </w:pPr>
      <w:r>
        <w:rPr>
          <w:rFonts w:ascii="Aptos" w:hAnsi="Aptos"/>
          <w:color w:val="000000"/>
          <w:sz w:val="21"/>
        </w:rPr>
        <w:t>Most proposed rules can be implemented directly from the calculator. A smaller set required an explicit interpretation. The most consequential decisions are summarized below.</w:t>
      </w:r>
    </w:p>
    <w:p>
      <w:pPr>
        <w:keepNext/>
        <w:spacing w:before="160" w:after="100" w:line="259" w:lineRule="auto"/>
      </w:pPr>
      <w:r>
        <w:rPr>
          <w:rFonts w:ascii="Aptos" w:hAnsi="Aptos"/>
          <w:b/>
          <w:color w:val="000000"/>
          <w:sz w:val="21"/>
        </w:rPr>
        <w:t>Exhibit 5. Key review findings and implemented treatments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1F4E78"/>
            <w:tcMar>
              <w:top w:w="75" w:type="dxa"/>
              <w:start w:w="75" w:type="dxa"/>
              <w:bottom w:w="75" w:type="dxa"/>
              <w:end w:w="75" w:type="dxa"/>
            </w:tcMar>
          </w:tcPr>
          <w:p>
            <w:pPr>
              <w:jc w:val="center"/>
            </w:pPr>
            <w:r>
              <w:rPr>
                <w:rFonts w:ascii="Aptos" w:hAnsi="Aptos"/>
                <w:b/>
                <w:color w:val="FFFFFF"/>
                <w:sz w:val="16"/>
              </w:rPr>
              <w:t>Issue</w:t>
            </w:r>
          </w:p>
        </w:tc>
        <w:tc>
          <w:tcPr>
            <w:tcW w:type="dxa" w:w="3960"/>
            <w:vAlign w:val="center"/>
            <w:shd w:fill="1F4E78"/>
            <w:tcMar>
              <w:top w:w="75" w:type="dxa"/>
              <w:start w:w="75" w:type="dxa"/>
              <w:bottom w:w="75" w:type="dxa"/>
              <w:end w:w="75" w:type="dxa"/>
            </w:tcMar>
          </w:tcPr>
          <w:p>
            <w:pPr>
              <w:jc w:val="center"/>
            </w:pPr>
            <w:r>
              <w:rPr>
                <w:rFonts w:ascii="Aptos" w:hAnsi="Aptos"/>
                <w:b/>
                <w:color w:val="FFFFFF"/>
                <w:sz w:val="16"/>
              </w:rPr>
              <w:t>Independent treatment</w:t>
            </w:r>
          </w:p>
        </w:tc>
        <w:tc>
          <w:tcPr>
            <w:tcW w:type="dxa" w:w="2880"/>
            <w:vAlign w:val="center"/>
            <w:shd w:fill="1F4E78"/>
            <w:tcMar>
              <w:top w:w="75" w:type="dxa"/>
              <w:start w:w="75" w:type="dxa"/>
              <w:bottom w:w="75" w:type="dxa"/>
              <w:end w:w="75" w:type="dxa"/>
            </w:tcMar>
          </w:tcPr>
          <w:p>
            <w:pPr>
              <w:jc w:val="center"/>
            </w:pPr>
            <w:r>
              <w:rPr>
                <w:rFonts w:ascii="Aptos" w:hAnsi="Aptos"/>
                <w:b/>
                <w:color w:val="FFFFFF"/>
                <w:sz w:val="16"/>
              </w:rPr>
              <w:t>Why it matters</w:t>
            </w:r>
          </w:p>
        </w:tc>
      </w:tr>
      <w:tr>
        <w:trPr>
          <w:cantSplit/>
        </w:trPr>
        <w:tc>
          <w:tcPr>
            <w:tcW w:type="dxa" w:w="2232"/>
            <w:vAlign w:val="center"/>
            <w:tcMar>
              <w:top w:w="75" w:type="dxa"/>
              <w:start w:w="75" w:type="dxa"/>
              <w:bottom w:w="75" w:type="dxa"/>
              <w:end w:w="75" w:type="dxa"/>
            </w:tcMar>
          </w:tcPr>
          <w:p>
            <w:pPr>
              <w:jc w:val="left"/>
            </w:pPr>
            <w:r>
              <w:rPr>
                <w:rFonts w:ascii="Aptos" w:hAnsi="Aptos"/>
                <w:sz w:val="16"/>
              </w:rPr>
              <w:t>Charter calculation units</w:t>
            </w:r>
          </w:p>
        </w:tc>
        <w:tc>
          <w:tcPr>
            <w:tcW w:type="dxa" w:w="3960"/>
            <w:vAlign w:val="center"/>
            <w:tcMar>
              <w:top w:w="75" w:type="dxa"/>
              <w:start w:w="75" w:type="dxa"/>
              <w:bottom w:w="75" w:type="dxa"/>
              <w:end w:w="75" w:type="dxa"/>
            </w:tcMar>
          </w:tcPr>
          <w:p>
            <w:pPr>
              <w:jc w:val="left"/>
            </w:pPr>
            <w:r>
              <w:rPr>
                <w:rFonts w:ascii="Aptos" w:hAnsi="Aptos"/>
                <w:sz w:val="16"/>
              </w:rPr>
              <w:t>District school codes; charter calculator building rows.</w:t>
            </w:r>
          </w:p>
        </w:tc>
        <w:tc>
          <w:tcPr>
            <w:tcW w:type="dxa" w:w="2880"/>
            <w:vAlign w:val="center"/>
            <w:tcMar>
              <w:top w:w="75" w:type="dxa"/>
              <w:start w:w="75" w:type="dxa"/>
              <w:bottom w:w="75" w:type="dxa"/>
              <w:end w:w="75" w:type="dxa"/>
            </w:tcMar>
          </w:tcPr>
          <w:p>
            <w:pPr>
              <w:jc w:val="left"/>
            </w:pPr>
            <w:r>
              <w:rPr>
                <w:rFonts w:ascii="Aptos" w:hAnsi="Aptos"/>
                <w:sz w:val="16"/>
              </w:rPr>
              <w:t>Changes principals and other school-based thresholds without duplicating weighted enrollment.</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Instructional Supports</w:t>
            </w:r>
          </w:p>
        </w:tc>
        <w:tc>
          <w:tcPr>
            <w:tcW w:type="dxa" w:w="3960"/>
            <w:shd w:fill="EEF5FA"/>
            <w:vAlign w:val="center"/>
            <w:tcMar>
              <w:top w:w="75" w:type="dxa"/>
              <w:start w:w="75" w:type="dxa"/>
              <w:bottom w:w="75" w:type="dxa"/>
              <w:end w:w="75" w:type="dxa"/>
            </w:tcMar>
          </w:tcPr>
          <w:p>
            <w:pPr>
              <w:jc w:val="left"/>
            </w:pPr>
            <w:r>
              <w:rPr>
                <w:rFonts w:ascii="Aptos" w:hAnsi="Aptos"/>
                <w:sz w:val="16"/>
              </w:rPr>
              <w:t>20% of all Base Division I positions, including vocational/program adjustment rows.</w:t>
            </w:r>
          </w:p>
        </w:tc>
        <w:tc>
          <w:tcPr>
            <w:tcW w:type="dxa" w:w="2880"/>
            <w:shd w:fill="EEF5FA"/>
            <w:vAlign w:val="center"/>
            <w:tcMar>
              <w:top w:w="75" w:type="dxa"/>
              <w:start w:w="75" w:type="dxa"/>
              <w:bottom w:w="75" w:type="dxa"/>
              <w:end w:w="75" w:type="dxa"/>
            </w:tcMar>
          </w:tcPr>
          <w:p>
            <w:pPr>
              <w:jc w:val="left"/>
            </w:pPr>
            <w:r>
              <w:rPr>
                <w:rFonts w:ascii="Aptos" w:hAnsi="Aptos"/>
                <w:sz w:val="16"/>
              </w:rPr>
              <w:t>Produces 2,348.82 positions in the final scope.</w:t>
            </w:r>
          </w:p>
        </w:tc>
      </w:tr>
      <w:tr>
        <w:trPr>
          <w:cantSplit/>
        </w:trPr>
        <w:tc>
          <w:tcPr>
            <w:tcW w:type="dxa" w:w="2232"/>
            <w:vAlign w:val="center"/>
            <w:tcMar>
              <w:top w:w="75" w:type="dxa"/>
              <w:start w:w="75" w:type="dxa"/>
              <w:bottom w:w="75" w:type="dxa"/>
              <w:end w:w="75" w:type="dxa"/>
            </w:tcMar>
          </w:tcPr>
          <w:p>
            <w:pPr>
              <w:jc w:val="left"/>
            </w:pPr>
            <w:r>
              <w:rPr>
                <w:rFonts w:ascii="Aptos" w:hAnsi="Aptos"/>
                <w:sz w:val="16"/>
              </w:rPr>
              <w:t>Administrative Support base</w:t>
            </w:r>
          </w:p>
        </w:tc>
        <w:tc>
          <w:tcPr>
            <w:tcW w:type="dxa" w:w="3960"/>
            <w:vAlign w:val="center"/>
            <w:tcMar>
              <w:top w:w="75" w:type="dxa"/>
              <w:start w:w="75" w:type="dxa"/>
              <w:bottom w:w="75" w:type="dxa"/>
              <w:end w:w="75" w:type="dxa"/>
            </w:tcMar>
          </w:tcPr>
          <w:p>
            <w:pPr>
              <w:jc w:val="left"/>
            </w:pPr>
            <w:r>
              <w:rPr>
                <w:rFonts w:ascii="Aptos" w:hAnsi="Aptos"/>
                <w:sz w:val="16"/>
              </w:rPr>
              <w:t>Base Division I + Principal + Instructional Supports.</w:t>
            </w:r>
          </w:p>
        </w:tc>
        <w:tc>
          <w:tcPr>
            <w:tcW w:type="dxa" w:w="2880"/>
            <w:vAlign w:val="center"/>
            <w:tcMar>
              <w:top w:w="75" w:type="dxa"/>
              <w:start w:w="75" w:type="dxa"/>
              <w:bottom w:w="75" w:type="dxa"/>
              <w:end w:w="75" w:type="dxa"/>
            </w:tcMar>
          </w:tcPr>
          <w:p>
            <w:pPr>
              <w:jc w:val="left"/>
            </w:pPr>
            <w:r>
              <w:rPr>
                <w:rFonts w:ascii="Aptos" w:hAnsi="Aptos"/>
                <w:sz w:val="16"/>
              </w:rPr>
              <w:t>Uses a broader constructed base than the current secretary formula.</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Assistant Principal base</w:t>
            </w:r>
          </w:p>
        </w:tc>
        <w:tc>
          <w:tcPr>
            <w:tcW w:type="dxa" w:w="3960"/>
            <w:shd w:fill="EEF5FA"/>
            <w:vAlign w:val="center"/>
            <w:tcMar>
              <w:top w:w="75" w:type="dxa"/>
              <w:start w:w="75" w:type="dxa"/>
              <w:bottom w:w="75" w:type="dxa"/>
              <w:end w:w="75" w:type="dxa"/>
            </w:tcMar>
          </w:tcPr>
          <w:p>
            <w:pPr>
              <w:jc w:val="left"/>
            </w:pPr>
            <w:r>
              <w:rPr>
                <w:rFonts w:ascii="Aptos" w:hAnsi="Aptos"/>
                <w:sz w:val="16"/>
              </w:rPr>
              <w:t>Base Division I + Administrative Support + Instructional Supports; principals excluded.</w:t>
            </w:r>
          </w:p>
        </w:tc>
        <w:tc>
          <w:tcPr>
            <w:tcW w:type="dxa" w:w="2880"/>
            <w:shd w:fill="EEF5FA"/>
            <w:vAlign w:val="center"/>
            <w:tcMar>
              <w:top w:w="75" w:type="dxa"/>
              <w:start w:w="75" w:type="dxa"/>
              <w:bottom w:w="75" w:type="dxa"/>
              <w:end w:w="75" w:type="dxa"/>
            </w:tcMar>
          </w:tcPr>
          <w:p>
            <w:pPr>
              <w:jc w:val="left"/>
            </w:pPr>
            <w:r>
              <w:rPr>
                <w:rFonts w:ascii="Aptos" w:hAnsi="Aptos"/>
                <w:sz w:val="16"/>
              </w:rPr>
              <w:t>Written 0.65 and 1.65 awards are retained even though the literal workbook formula rounds them down.</w:t>
            </w:r>
          </w:p>
        </w:tc>
      </w:tr>
      <w:tr>
        <w:trPr>
          <w:cantSplit/>
        </w:trPr>
        <w:tc>
          <w:tcPr>
            <w:tcW w:type="dxa" w:w="2232"/>
            <w:vAlign w:val="center"/>
            <w:tcMar>
              <w:top w:w="75" w:type="dxa"/>
              <w:start w:w="75" w:type="dxa"/>
              <w:bottom w:w="75" w:type="dxa"/>
              <w:end w:w="75" w:type="dxa"/>
            </w:tcMar>
          </w:tcPr>
          <w:p>
            <w:pPr>
              <w:jc w:val="left"/>
            </w:pPr>
            <w:r>
              <w:rPr>
                <w:rFonts w:ascii="Aptos" w:hAnsi="Aptos"/>
                <w:sz w:val="16"/>
              </w:rPr>
              <w:t>Selected Central Office base</w:t>
            </w:r>
          </w:p>
        </w:tc>
        <w:tc>
          <w:tcPr>
            <w:tcW w:type="dxa" w:w="3960"/>
            <w:vAlign w:val="center"/>
            <w:tcMar>
              <w:top w:w="75" w:type="dxa"/>
              <w:start w:w="75" w:type="dxa"/>
              <w:bottom w:w="75" w:type="dxa"/>
              <w:end w:w="75" w:type="dxa"/>
            </w:tcMar>
          </w:tcPr>
          <w:p>
            <w:pPr>
              <w:jc w:val="left"/>
            </w:pPr>
            <w:r>
              <w:rPr>
                <w:rFonts w:ascii="Aptos" w:hAnsi="Aptos"/>
                <w:sz w:val="16"/>
              </w:rPr>
              <w:t>Assistant Superintendent, Director, and 11-Month Supervisor use Total Base positions.</w:t>
            </w:r>
          </w:p>
        </w:tc>
        <w:tc>
          <w:tcPr>
            <w:tcW w:type="dxa" w:w="2880"/>
            <w:vAlign w:val="center"/>
            <w:tcMar>
              <w:top w:w="75" w:type="dxa"/>
              <w:start w:w="75" w:type="dxa"/>
              <w:bottom w:w="75" w:type="dxa"/>
              <w:end w:w="75" w:type="dxa"/>
            </w:tcMar>
          </w:tcPr>
          <w:p>
            <w:pPr>
              <w:jc w:val="left"/>
            </w:pPr>
            <w:r>
              <w:rPr>
                <w:rFonts w:ascii="Aptos" w:hAnsi="Aptos"/>
                <w:sz w:val="16"/>
              </w:rPr>
              <w:t>Makes school-level support positions part of the selected LEA thresholds or ratios.</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Assistant Superintendent fractions</w:t>
            </w:r>
          </w:p>
        </w:tc>
        <w:tc>
          <w:tcPr>
            <w:tcW w:type="dxa" w:w="3960"/>
            <w:shd w:fill="EEF5FA"/>
            <w:vAlign w:val="center"/>
            <w:tcMar>
              <w:top w:w="75" w:type="dxa"/>
              <w:start w:w="75" w:type="dxa"/>
              <w:bottom w:w="75" w:type="dxa"/>
              <w:end w:w="75" w:type="dxa"/>
            </w:tcMar>
          </w:tcPr>
          <w:p>
            <w:pPr>
              <w:jc w:val="left"/>
            </w:pPr>
            <w:r>
              <w:rPr>
                <w:rFonts w:ascii="Aptos" w:hAnsi="Aptos"/>
                <w:sz w:val="16"/>
              </w:rPr>
              <w:t>Completed 300-position thresholds, capped at two.</w:t>
            </w:r>
          </w:p>
        </w:tc>
        <w:tc>
          <w:tcPr>
            <w:tcW w:type="dxa" w:w="2880"/>
            <w:shd w:fill="EEF5FA"/>
            <w:vAlign w:val="center"/>
            <w:tcMar>
              <w:top w:w="75" w:type="dxa"/>
              <w:start w:w="75" w:type="dxa"/>
              <w:bottom w:w="75" w:type="dxa"/>
              <w:end w:w="75" w:type="dxa"/>
            </w:tcMar>
          </w:tcPr>
          <w:p>
            <w:pPr>
              <w:jc w:val="left"/>
            </w:pPr>
            <w:r>
              <w:rPr>
                <w:rFonts w:ascii="Aptos" w:hAnsi="Aptos"/>
                <w:sz w:val="16"/>
              </w:rPr>
              <w:t>Retains the current whole-position default because proposed materials do not clearly authorize fractions.</w:t>
            </w:r>
          </w:p>
        </w:tc>
      </w:tr>
      <w:tr>
        <w:trPr>
          <w:cantSplit/>
        </w:trPr>
        <w:tc>
          <w:tcPr>
            <w:tcW w:type="dxa" w:w="2232"/>
            <w:vAlign w:val="center"/>
            <w:tcMar>
              <w:top w:w="75" w:type="dxa"/>
              <w:start w:w="75" w:type="dxa"/>
              <w:bottom w:w="75" w:type="dxa"/>
              <w:end w:w="75" w:type="dxa"/>
            </w:tcMar>
          </w:tcPr>
          <w:p>
            <w:pPr>
              <w:jc w:val="left"/>
            </w:pPr>
            <w:r>
              <w:rPr>
                <w:rFonts w:ascii="Aptos" w:hAnsi="Aptos"/>
                <w:sz w:val="16"/>
              </w:rPr>
              <w:t>Food Services Supervisor base</w:t>
            </w:r>
          </w:p>
        </w:tc>
        <w:tc>
          <w:tcPr>
            <w:tcW w:type="dxa" w:w="3960"/>
            <w:vAlign w:val="center"/>
            <w:tcMar>
              <w:top w:w="75" w:type="dxa"/>
              <w:start w:w="75" w:type="dxa"/>
              <w:bottom w:w="75" w:type="dxa"/>
              <w:end w:w="75" w:type="dxa"/>
            </w:tcMar>
          </w:tcPr>
          <w:p>
            <w:pPr>
              <w:jc w:val="left"/>
            </w:pPr>
            <w:r>
              <w:rPr>
                <w:rFonts w:ascii="Aptos" w:hAnsi="Aptos"/>
                <w:sz w:val="16"/>
              </w:rPr>
              <w:t>Base Division I positions.</w:t>
            </w:r>
          </w:p>
        </w:tc>
        <w:tc>
          <w:tcPr>
            <w:tcW w:type="dxa" w:w="2880"/>
            <w:vAlign w:val="center"/>
            <w:tcMar>
              <w:top w:w="75" w:type="dxa"/>
              <w:start w:w="75" w:type="dxa"/>
              <w:bottom w:w="75" w:type="dxa"/>
              <w:end w:w="75" w:type="dxa"/>
            </w:tcMar>
          </w:tcPr>
          <w:p>
            <w:pPr>
              <w:jc w:val="left"/>
            </w:pPr>
            <w:r>
              <w:rPr>
                <w:rFonts w:ascii="Aptos" w:hAnsi="Aptos"/>
                <w:sz w:val="16"/>
              </w:rPr>
              <w:t>Uses the narrower subtotal specified by the calculator.</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Additional State Funding</w:t>
            </w:r>
          </w:p>
        </w:tc>
        <w:tc>
          <w:tcPr>
            <w:tcW w:type="dxa" w:w="3960"/>
            <w:shd w:fill="EEF5FA"/>
            <w:vAlign w:val="center"/>
            <w:tcMar>
              <w:top w:w="75" w:type="dxa"/>
              <w:start w:w="75" w:type="dxa"/>
              <w:bottom w:w="75" w:type="dxa"/>
              <w:end w:w="75" w:type="dxa"/>
            </w:tcMar>
          </w:tcPr>
          <w:p>
            <w:pPr>
              <w:jc w:val="left"/>
            </w:pPr>
            <w:r>
              <w:rPr>
                <w:rFonts w:ascii="Aptos" w:hAnsi="Aptos"/>
                <w:sz w:val="16"/>
              </w:rPr>
              <w:t>Excluded.</w:t>
            </w:r>
          </w:p>
        </w:tc>
        <w:tc>
          <w:tcPr>
            <w:tcW w:type="dxa" w:w="2880"/>
            <w:shd w:fill="EEF5FA"/>
            <w:vAlign w:val="center"/>
            <w:tcMar>
              <w:top w:w="75" w:type="dxa"/>
              <w:start w:w="75" w:type="dxa"/>
              <w:bottom w:w="75" w:type="dxa"/>
              <w:end w:w="75" w:type="dxa"/>
            </w:tcMar>
          </w:tcPr>
          <w:p>
            <w:pPr>
              <w:jc w:val="left"/>
            </w:pPr>
            <w:r>
              <w:rPr>
                <w:rFonts w:ascii="Aptos" w:hAnsi="Aptos"/>
                <w:sz w:val="16"/>
              </w:rPr>
              <w:t>The optional calculator mechanism lacks a supporting written rule.</w:t>
            </w:r>
          </w:p>
        </w:tc>
      </w:tr>
    </w:tbl>
    <w:p>
      <w:pPr>
        <w:spacing w:after="100" w:line="259" w:lineRule="auto"/>
      </w:pPr>
    </w:p>
    <w:p>
      <w:pPr>
        <w:spacing w:after="100" w:line="259" w:lineRule="auto"/>
      </w:pPr>
      <w:r>
        <w:rPr>
          <w:rFonts w:ascii="Aptos" w:hAnsi="Aptos"/>
          <w:i/>
          <w:color w:val="000000"/>
          <w:sz w:val="21"/>
        </w:rPr>
        <w:t>Source: 11_decision_discrepancy_log.csv and 07_proposed_model_rules.csv. The full decision log will be included in the companion technical appendices.</w:t>
      </w:r>
    </w:p>
    <w:p>
      <w:pPr>
        <w:pStyle w:val="Heading2"/>
        <w:keepNext/>
      </w:pPr>
      <w:r>
        <w:t>4.5 Weighted-rate method</w:t>
      </w:r>
    </w:p>
    <w:p>
      <w:pPr>
        <w:spacing w:after="100" w:line="259" w:lineRule="auto"/>
      </w:pPr>
      <w:r>
        <w:rPr>
          <w:rFonts w:ascii="Aptos" w:hAnsi="Aptos"/>
          <w:color w:val="000000"/>
          <w:sz w:val="21"/>
        </w:rPr>
        <w:t>The calculator is the source of the two fixed pool amounts. Based on implementation guidance from Nick Johnson of POLYTECH School District, the pipeline divides each pool by the eligible weighted units in the applicable scope. The Step 08 rates use the full pipeline universe. Step 10 then recalculates the rates after final exclusions while retaining the full pools.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5"/>
            <w:vAlign w:val="center"/>
            <w:shd w:fill="1F4E78"/>
            <w:tcMar>
              <w:top w:w="75" w:type="dxa"/>
              <w:start w:w="75" w:type="dxa"/>
              <w:bottom w:w="75" w:type="dxa"/>
              <w:end w:w="75" w:type="dxa"/>
            </w:tcMar>
          </w:tcPr>
          <w:p>
            <w:pPr>
              <w:jc w:val="center"/>
            </w:pPr>
            <w:r>
              <w:rPr>
                <w:rFonts w:ascii="Aptos" w:hAnsi="Aptos"/>
                <w:b/>
                <w:color w:val="FFFFFF"/>
                <w:sz w:val="17"/>
              </w:rPr>
              <w:t>Section</w:t>
            </w:r>
          </w:p>
        </w:tc>
        <w:tc>
          <w:tcPr>
            <w:tcW w:type="dxa" w:w="2015"/>
            <w:vAlign w:val="center"/>
            <w:shd w:fill="1F4E78"/>
            <w:tcMar>
              <w:top w:w="75" w:type="dxa"/>
              <w:start w:w="75" w:type="dxa"/>
              <w:bottom w:w="75" w:type="dxa"/>
              <w:end w:w="75" w:type="dxa"/>
            </w:tcMar>
          </w:tcPr>
          <w:p>
            <w:pPr>
              <w:jc w:val="center"/>
            </w:pPr>
            <w:r>
              <w:rPr>
                <w:rFonts w:ascii="Aptos" w:hAnsi="Aptos"/>
                <w:b/>
                <w:color w:val="FFFFFF"/>
                <w:sz w:val="17"/>
              </w:rPr>
              <w:t>PEFC calculator rate</w:t>
            </w:r>
          </w:p>
        </w:tc>
        <w:tc>
          <w:tcPr>
            <w:tcW w:type="dxa" w:w="1728"/>
            <w:vAlign w:val="center"/>
            <w:shd w:fill="1F4E78"/>
            <w:tcMar>
              <w:top w:w="75" w:type="dxa"/>
              <w:start w:w="75" w:type="dxa"/>
              <w:bottom w:w="75" w:type="dxa"/>
              <w:end w:w="75" w:type="dxa"/>
            </w:tcMar>
          </w:tcPr>
          <w:p>
            <w:pPr>
              <w:jc w:val="center"/>
            </w:pPr>
            <w:r>
              <w:rPr>
                <w:rFonts w:ascii="Aptos" w:hAnsi="Aptos"/>
                <w:b/>
                <w:color w:val="FFFFFF"/>
                <w:sz w:val="17"/>
              </w:rPr>
              <w:t>Step 08 rate</w:t>
            </w:r>
          </w:p>
        </w:tc>
        <w:tc>
          <w:tcPr>
            <w:tcW w:type="dxa" w:w="1944"/>
            <w:vAlign w:val="center"/>
            <w:shd w:fill="1F4E78"/>
            <w:tcMar>
              <w:top w:w="75" w:type="dxa"/>
              <w:start w:w="75" w:type="dxa"/>
              <w:bottom w:w="75" w:type="dxa"/>
              <w:end w:w="75" w:type="dxa"/>
            </w:tcMar>
          </w:tcPr>
          <w:p>
            <w:pPr>
              <w:jc w:val="center"/>
            </w:pPr>
            <w:r>
              <w:rPr>
                <w:rFonts w:ascii="Aptos" w:hAnsi="Aptos"/>
                <w:b/>
                <w:color w:val="FFFFFF"/>
                <w:sz w:val="17"/>
              </w:rPr>
              <w:t>Final Step 10 rate</w:t>
            </w:r>
          </w:p>
        </w:tc>
        <w:tc>
          <w:tcPr>
            <w:tcW w:type="dxa" w:w="1655"/>
            <w:vAlign w:val="center"/>
            <w:shd w:fill="1F4E78"/>
            <w:tcMar>
              <w:top w:w="75" w:type="dxa"/>
              <w:start w:w="75" w:type="dxa"/>
              <w:bottom w:w="75" w:type="dxa"/>
              <w:end w:w="75" w:type="dxa"/>
            </w:tcMar>
          </w:tcPr>
          <w:p>
            <w:pPr>
              <w:jc w:val="center"/>
            </w:pPr>
            <w:r>
              <w:rPr>
                <w:rFonts w:ascii="Aptos" w:hAnsi="Aptos"/>
                <w:b/>
                <w:color w:val="FFFFFF"/>
                <w:sz w:val="17"/>
              </w:rPr>
              <w:t>Fixed pool</w:t>
            </w:r>
          </w:p>
        </w:tc>
      </w:tr>
      <w:tr>
        <w:trPr>
          <w:cantSplit/>
        </w:trPr>
        <w:tc>
          <w:tcPr>
            <w:tcW w:type="dxa" w:w="1655"/>
            <w:vAlign w:val="center"/>
            <w:tcMar>
              <w:top w:w="75" w:type="dxa"/>
              <w:start w:w="75" w:type="dxa"/>
              <w:bottom w:w="75" w:type="dxa"/>
              <w:end w:w="75" w:type="dxa"/>
            </w:tcMar>
          </w:tcPr>
          <w:p>
            <w:pPr>
              <w:jc w:val="left"/>
            </w:pPr>
            <w:r>
              <w:rPr>
                <w:rFonts w:ascii="Aptos" w:hAnsi="Aptos"/>
                <w:sz w:val="17"/>
              </w:rPr>
              <w:t>Opportunity</w:t>
            </w:r>
          </w:p>
        </w:tc>
        <w:tc>
          <w:tcPr>
            <w:tcW w:type="dxa" w:w="2015"/>
            <w:vAlign w:val="center"/>
            <w:tcMar>
              <w:top w:w="75" w:type="dxa"/>
              <w:start w:w="75" w:type="dxa"/>
              <w:bottom w:w="75" w:type="dxa"/>
              <w:end w:w="75" w:type="dxa"/>
            </w:tcMar>
          </w:tcPr>
          <w:p>
            <w:pPr>
              <w:jc w:val="right"/>
            </w:pPr>
            <w:r>
              <w:rPr>
                <w:rFonts w:ascii="Aptos" w:hAnsi="Aptos"/>
                <w:sz w:val="17"/>
              </w:rPr>
              <w:t>$4,953.004947</w:t>
            </w:r>
          </w:p>
        </w:tc>
        <w:tc>
          <w:tcPr>
            <w:tcW w:type="dxa" w:w="1728"/>
            <w:vAlign w:val="center"/>
            <w:tcMar>
              <w:top w:w="75" w:type="dxa"/>
              <w:start w:w="75" w:type="dxa"/>
              <w:bottom w:w="75" w:type="dxa"/>
              <w:end w:w="75" w:type="dxa"/>
            </w:tcMar>
          </w:tcPr>
          <w:p>
            <w:pPr>
              <w:jc w:val="right"/>
            </w:pPr>
            <w:r>
              <w:rPr>
                <w:rFonts w:ascii="Aptos" w:hAnsi="Aptos"/>
                <w:sz w:val="17"/>
              </w:rPr>
              <w:t>$4,948.460869</w:t>
            </w:r>
          </w:p>
        </w:tc>
        <w:tc>
          <w:tcPr>
            <w:tcW w:type="dxa" w:w="1944"/>
            <w:vAlign w:val="center"/>
            <w:tcMar>
              <w:top w:w="75" w:type="dxa"/>
              <w:start w:w="75" w:type="dxa"/>
              <w:bottom w:w="75" w:type="dxa"/>
              <w:end w:w="75" w:type="dxa"/>
            </w:tcMar>
          </w:tcPr>
          <w:p>
            <w:pPr>
              <w:jc w:val="right"/>
            </w:pPr>
            <w:r>
              <w:rPr>
                <w:rFonts w:ascii="Aptos" w:hAnsi="Aptos"/>
                <w:sz w:val="17"/>
              </w:rPr>
              <w:t>$4,952.732549</w:t>
            </w:r>
          </w:p>
        </w:tc>
        <w:tc>
          <w:tcPr>
            <w:tcW w:type="dxa" w:w="1655"/>
            <w:vAlign w:val="center"/>
            <w:tcMar>
              <w:top w:w="75" w:type="dxa"/>
              <w:start w:w="75" w:type="dxa"/>
              <w:bottom w:w="75" w:type="dxa"/>
              <w:end w:w="75" w:type="dxa"/>
            </w:tcMar>
          </w:tcPr>
          <w:p>
            <w:pPr>
              <w:jc w:val="right"/>
            </w:pPr>
            <w:r>
              <w:rPr>
                <w:rFonts w:ascii="Aptos" w:hAnsi="Aptos"/>
                <w:sz w:val="17"/>
              </w:rPr>
              <w:t>$163.0M</w:t>
            </w:r>
          </w:p>
        </w:tc>
      </w:tr>
      <w:tr>
        <w:trPr>
          <w:cantSplit/>
        </w:trPr>
        <w:tc>
          <w:tcPr>
            <w:tcW w:type="dxa" w:w="1655"/>
            <w:shd w:fill="EEF5FA"/>
            <w:vAlign w:val="center"/>
            <w:tcMar>
              <w:top w:w="75" w:type="dxa"/>
              <w:start w:w="75" w:type="dxa"/>
              <w:bottom w:w="75" w:type="dxa"/>
              <w:end w:w="75" w:type="dxa"/>
            </w:tcMar>
          </w:tcPr>
          <w:p>
            <w:pPr>
              <w:jc w:val="left"/>
            </w:pPr>
            <w:r>
              <w:rPr>
                <w:rFonts w:ascii="Aptos" w:hAnsi="Aptos"/>
                <w:sz w:val="17"/>
              </w:rPr>
              <w:t>Operational</w:t>
            </w:r>
          </w:p>
        </w:tc>
        <w:tc>
          <w:tcPr>
            <w:tcW w:type="dxa" w:w="2015"/>
            <w:shd w:fill="EEF5FA"/>
            <w:vAlign w:val="center"/>
            <w:tcMar>
              <w:top w:w="75" w:type="dxa"/>
              <w:start w:w="75" w:type="dxa"/>
              <w:bottom w:w="75" w:type="dxa"/>
              <w:end w:w="75" w:type="dxa"/>
            </w:tcMar>
          </w:tcPr>
          <w:p>
            <w:pPr>
              <w:jc w:val="right"/>
            </w:pPr>
            <w:r>
              <w:rPr>
                <w:rFonts w:ascii="Aptos" w:hAnsi="Aptos"/>
                <w:sz w:val="17"/>
              </w:rPr>
              <w:t>$3,244.992536</w:t>
            </w:r>
          </w:p>
        </w:tc>
        <w:tc>
          <w:tcPr>
            <w:tcW w:type="dxa" w:w="1728"/>
            <w:shd w:fill="EEF5FA"/>
            <w:vAlign w:val="center"/>
            <w:tcMar>
              <w:top w:w="75" w:type="dxa"/>
              <w:start w:w="75" w:type="dxa"/>
              <w:bottom w:w="75" w:type="dxa"/>
              <w:end w:w="75" w:type="dxa"/>
            </w:tcMar>
          </w:tcPr>
          <w:p>
            <w:pPr>
              <w:jc w:val="right"/>
            </w:pPr>
            <w:r>
              <w:rPr>
                <w:rFonts w:ascii="Aptos" w:hAnsi="Aptos"/>
                <w:sz w:val="17"/>
              </w:rPr>
              <w:t>$3,249.752259</w:t>
            </w:r>
          </w:p>
        </w:tc>
        <w:tc>
          <w:tcPr>
            <w:tcW w:type="dxa" w:w="1944"/>
            <w:shd w:fill="EEF5FA"/>
            <w:vAlign w:val="center"/>
            <w:tcMar>
              <w:top w:w="75" w:type="dxa"/>
              <w:start w:w="75" w:type="dxa"/>
              <w:bottom w:w="75" w:type="dxa"/>
              <w:end w:w="75" w:type="dxa"/>
            </w:tcMar>
          </w:tcPr>
          <w:p>
            <w:pPr>
              <w:jc w:val="right"/>
            </w:pPr>
            <w:r>
              <w:rPr>
                <w:rFonts w:ascii="Aptos" w:hAnsi="Aptos"/>
                <w:sz w:val="17"/>
              </w:rPr>
              <w:t>$3,252.723851</w:t>
            </w:r>
          </w:p>
        </w:tc>
        <w:tc>
          <w:tcPr>
            <w:tcW w:type="dxa" w:w="1655"/>
            <w:shd w:fill="EEF5FA"/>
            <w:vAlign w:val="center"/>
            <w:tcMar>
              <w:top w:w="75" w:type="dxa"/>
              <w:start w:w="75" w:type="dxa"/>
              <w:bottom w:w="75" w:type="dxa"/>
              <w:end w:w="75" w:type="dxa"/>
            </w:tcMar>
          </w:tcPr>
          <w:p>
            <w:pPr>
              <w:jc w:val="right"/>
            </w:pPr>
            <w:r>
              <w:rPr>
                <w:rFonts w:ascii="Aptos" w:hAnsi="Aptos"/>
                <w:sz w:val="17"/>
              </w:rPr>
              <w:t>$279.0268M</w:t>
            </w:r>
          </w:p>
        </w:tc>
      </w:tr>
    </w:tbl>
    <w:p>
      <w:pPr>
        <w:spacing w:after="100" w:line="259" w:lineRule="auto"/>
      </w:pPr>
    </w:p>
    <w:p>
      <w:pPr>
        <w:spacing w:after="100" w:line="259" w:lineRule="auto"/>
      </w:pPr>
      <w:r>
        <w:rPr>
          <w:rFonts w:ascii="Aptos" w:hAnsi="Aptos"/>
          <w:i/>
          <w:color w:val="000000"/>
          <w:sz w:val="21"/>
        </w:rPr>
        <w:t>Source: 11_three_way_rate_comparison.csv and 10_adjusted_weighted_rate_summary.csv.</w:t>
      </w:r>
    </w:p>
    <w:p>
      <w:pPr>
        <w:pStyle w:val="Heading2"/>
        <w:keepNext/>
      </w:pPr>
      <w:r>
        <w:t>4.6 Final independent results</w:t>
      </w:r>
    </w:p>
    <w:p>
      <w:pPr>
        <w:spacing w:after="100" w:line="259" w:lineRule="auto"/>
      </w:pPr>
      <w:r>
        <w:rPr>
          <w:rFonts w:ascii="Aptos" w:hAnsi="Aptos"/>
          <w:color w:val="000000"/>
          <w:sz w:val="21"/>
        </w:rPr>
        <w:t>The independent reproduction contains 11,744.12 Base Division I positions. It adds 252 principals, 494.60 assistant principals, 1,291 Administrative Support Professionals, and 2,348.82 Instructional Supports, producing 16,130.54 Total Base positions. Central Office formulas produce 438.30 positions.</w:t>
      </w:r>
    </w:p>
    <w:p>
      <w:pPr>
        <w:spacing w:after="100" w:line="259" w:lineRule="auto"/>
      </w:pPr>
      <w:r>
        <w:rPr>
          <w:rFonts w:ascii="Aptos" w:hAnsi="Aptos"/>
          <w:color w:val="000000"/>
          <w:sz w:val="21"/>
        </w:rPr>
        <w:t>The resulting funding is $1.5556 billion in Base Funding and $58.4 million in Central Office Funding, or $1.6140 billion position based. Opportunity Funding remains $163.0 million and Operational Funding remains $279.0268 million. Total modeled funding is $2.0561 billion.</w:t>
      </w:r>
    </w:p>
    <w:p>
      <w:pPr>
        <w:spacing w:after="100" w:line="259" w:lineRule="auto"/>
      </w:pPr>
      <w:r>
        <w:rPr>
          <w:rFonts w:ascii="Aptos" w:hAnsi="Aptos"/>
          <w:color w:val="000000"/>
          <w:sz w:val="21"/>
        </w:rPr>
        <w:t>The final weighted counts are 32,911.125 Opportunity weighted students and 85,782.505 Operational weighted students. Because the full pools are retained after the exclusions, the final weighted rates redistribute the dollars across the eligible final-scope units.</w:t>
      </w:r>
    </w:p>
    <w:tbl>
      <w:tblPr>
        <w:tblW w:type="auto" w:w="0"/>
        <w:jc w:val="center"/>
        <w:tblLayout w:type="fixed"/>
        <w:tblLook w:firstColumn="1" w:firstRow="1" w:lastColumn="0" w:lastRow="0" w:noHBand="0" w:noVBand="1" w:val="04A0"/>
      </w:tblPr>
      <w:tblGrid>
        <w:gridCol w:w="10166"/>
      </w:tblGrid>
      <w:tr>
        <w:trPr>
          <w:cantSplit/>
          <w:tblHeader/>
        </w:trPr>
        <w:tc>
          <w:tcPr>
            <w:tcW w:type="dxa" w:w="9216"/>
            <w:shd w:fill="E2F0D9"/>
            <w:tcMar>
              <w:top w:w="130" w:type="dxa"/>
              <w:start w:w="160" w:type="dxa"/>
              <w:bottom w:w="130" w:type="dxa"/>
              <w:end w:w="160" w:type="dxa"/>
            </w:tcMar>
          </w:tcPr>
          <w:p>
            <w:pPr>
              <w:spacing w:after="60"/>
            </w:pPr>
            <w:r>
              <w:rPr>
                <w:rFonts w:ascii="Aptos" w:hAnsi="Aptos"/>
                <w:b/>
                <w:color w:val="1F4E78"/>
                <w:sz w:val="21"/>
              </w:rPr>
              <w:t>Validation result</w:t>
            </w:r>
          </w:p>
          <w:p>
            <w:pPr>
              <w:spacing w:after="0"/>
            </w:pPr>
            <w:r>
              <w:rPr>
                <w:rFonts w:ascii="Aptos" w:hAnsi="Aptos"/>
                <w:sz w:val="19"/>
              </w:rPr>
              <w:t>All 18 Step 11 checks passed. Base plus Central Office reconciles to position-based funding; the weighted sections reconcile exactly to the fixed pools; full modeled funding reconciles; and all current and proposed components are covered by the maintained report crosswalk.</w:t>
            </w:r>
          </w:p>
        </w:tc>
      </w:tr>
    </w:tbl>
    <w:p>
      <w:pPr>
        <w:spacing w:after="100" w:line="259" w:lineRule="auto"/>
      </w:pPr>
    </w:p>
    <w:p>
      <w:pPr>
        <w:pStyle w:val="Heading1"/>
        <w:keepNext/>
      </w:pPr>
      <w:r>
        <w:t>5. Three-Way Model Comparison</w:t>
      </w:r>
    </w:p>
    <w:p>
      <w:pPr>
        <w:spacing w:after="100" w:line="259" w:lineRule="auto"/>
      </w:pPr>
      <w:r>
        <w:rPr>
          <w:rFonts w:ascii="Aptos" w:hAnsi="Aptos"/>
          <w:color w:val="000000"/>
          <w:sz w:val="21"/>
        </w:rPr>
        <w:t>The three model versions differ in more than their rates. Their results also reflect different source scopes, school or building calculation units, component definitions, staffing bases, eligibility rules, formula interpretations, and treatment of weighted funding. A useful comparison therefore has to separate structure, statewide quantities, scope, and fiscal interpretation.</w:t>
      </w:r>
    </w:p>
    <w:p>
      <w:pPr>
        <w:pStyle w:val="Heading2"/>
        <w:keepNext/>
      </w:pPr>
      <w:r>
        <w:t>5.1 Structural comparison</w:t>
      </w:r>
    </w:p>
    <w:p>
      <w:pPr>
        <w:keepNext/>
        <w:spacing w:before="160" w:after="100" w:line="259" w:lineRule="auto"/>
      </w:pPr>
      <w:r>
        <w:rPr>
          <w:rFonts w:ascii="Aptos" w:hAnsi="Aptos"/>
          <w:b/>
          <w:color w:val="000000"/>
          <w:sz w:val="21"/>
        </w:rPr>
        <w:t>Exhibit 6. Three-way structural comparison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1F4E78"/>
            <w:tcMar>
              <w:top w:w="75" w:type="dxa"/>
              <w:start w:w="75" w:type="dxa"/>
              <w:bottom w:w="75" w:type="dxa"/>
              <w:end w:w="75" w:type="dxa"/>
            </w:tcMar>
          </w:tcPr>
          <w:p>
            <w:pPr>
              <w:jc w:val="center"/>
            </w:pPr>
            <w:r>
              <w:rPr>
                <w:rFonts w:ascii="Aptos" w:hAnsi="Aptos"/>
                <w:b/>
                <w:color w:val="FFFFFF"/>
                <w:sz w:val="15"/>
              </w:rPr>
              <w:t>Topic</w:t>
            </w:r>
          </w:p>
        </w:tc>
        <w:tc>
          <w:tcPr>
            <w:tcW w:type="dxa" w:w="2448"/>
            <w:vAlign w:val="center"/>
            <w:shd w:fill="1F4E78"/>
            <w:tcMar>
              <w:top w:w="75" w:type="dxa"/>
              <w:start w:w="75" w:type="dxa"/>
              <w:bottom w:w="75" w:type="dxa"/>
              <w:end w:w="75" w:type="dxa"/>
            </w:tcMar>
          </w:tcPr>
          <w:p>
            <w:pPr>
              <w:jc w:val="center"/>
            </w:pPr>
            <w:r>
              <w:rPr>
                <w:rFonts w:ascii="Aptos" w:hAnsi="Aptos"/>
                <w:b/>
                <w:color w:val="FFFFFF"/>
                <w:sz w:val="15"/>
              </w:rPr>
              <w:t>Recreated Current Model</w:t>
            </w:r>
          </w:p>
        </w:tc>
        <w:tc>
          <w:tcPr>
            <w:tcW w:type="dxa" w:w="2448"/>
            <w:vAlign w:val="center"/>
            <w:shd w:fill="1F4E78"/>
            <w:tcMar>
              <w:top w:w="75" w:type="dxa"/>
              <w:start w:w="75" w:type="dxa"/>
              <w:bottom w:w="75" w:type="dxa"/>
              <w:end w:w="75" w:type="dxa"/>
            </w:tcMar>
          </w:tcPr>
          <w:p>
            <w:pPr>
              <w:jc w:val="center"/>
            </w:pPr>
            <w:r>
              <w:rPr>
                <w:rFonts w:ascii="Aptos" w:hAnsi="Aptos"/>
                <w:b/>
                <w:color w:val="FFFFFF"/>
                <w:sz w:val="15"/>
              </w:rPr>
              <w:t>PEFC as presented</w:t>
            </w:r>
          </w:p>
        </w:tc>
        <w:tc>
          <w:tcPr>
            <w:tcW w:type="dxa" w:w="2448"/>
            <w:vAlign w:val="center"/>
            <w:shd w:fill="1F4E78"/>
            <w:tcMar>
              <w:top w:w="75" w:type="dxa"/>
              <w:start w:w="75" w:type="dxa"/>
              <w:bottom w:w="75" w:type="dxa"/>
              <w:end w:w="75" w:type="dxa"/>
            </w:tcMar>
          </w:tcPr>
          <w:p>
            <w:pPr>
              <w:jc w:val="center"/>
            </w:pPr>
            <w:r>
              <w:rPr>
                <w:rFonts w:ascii="Aptos" w:hAnsi="Aptos"/>
                <w:b/>
                <w:color w:val="FFFFFF"/>
                <w:sz w:val="15"/>
              </w:rPr>
              <w:t>Independent reproduction</w:t>
            </w:r>
          </w:p>
        </w:tc>
      </w:tr>
      <w:tr>
        <w:trPr>
          <w:cantSplit/>
        </w:trPr>
        <w:tc>
          <w:tcPr>
            <w:tcW w:type="dxa" w:w="1800"/>
            <w:vAlign w:val="center"/>
            <w:tcMar>
              <w:top w:w="75" w:type="dxa"/>
              <w:start w:w="75" w:type="dxa"/>
              <w:bottom w:w="75" w:type="dxa"/>
              <w:end w:w="75" w:type="dxa"/>
            </w:tcMar>
          </w:tcPr>
          <w:p>
            <w:pPr>
              <w:jc w:val="left"/>
            </w:pPr>
            <w:r>
              <w:rPr>
                <w:rFonts w:ascii="Aptos" w:hAnsi="Aptos"/>
                <w:sz w:val="15"/>
              </w:rPr>
              <w:t>Overall architecture</w:t>
            </w:r>
          </w:p>
        </w:tc>
        <w:tc>
          <w:tcPr>
            <w:tcW w:type="dxa" w:w="2448"/>
            <w:vAlign w:val="center"/>
            <w:tcMar>
              <w:top w:w="75" w:type="dxa"/>
              <w:start w:w="75" w:type="dxa"/>
              <w:bottom w:w="75" w:type="dxa"/>
              <w:end w:w="75" w:type="dxa"/>
            </w:tcMar>
          </w:tcPr>
          <w:p>
            <w:pPr>
              <w:jc w:val="left"/>
            </w:pPr>
            <w:r>
              <w:rPr>
                <w:rFonts w:ascii="Aptos" w:hAnsi="Aptos"/>
                <w:sz w:val="15"/>
              </w:rPr>
              <w:t>Separate unit and staffing rules.</w:t>
            </w:r>
          </w:p>
        </w:tc>
        <w:tc>
          <w:tcPr>
            <w:tcW w:type="dxa" w:w="2448"/>
            <w:vAlign w:val="center"/>
            <w:tcMar>
              <w:top w:w="75" w:type="dxa"/>
              <w:start w:w="75" w:type="dxa"/>
              <w:bottom w:w="75" w:type="dxa"/>
              <w:end w:w="75" w:type="dxa"/>
            </w:tcMar>
          </w:tcPr>
          <w:p>
            <w:pPr>
              <w:jc w:val="left"/>
            </w:pPr>
            <w:r>
              <w:rPr>
                <w:rFonts w:ascii="Aptos" w:hAnsi="Aptos"/>
                <w:sz w:val="15"/>
              </w:rPr>
              <w:t>Base, Opportunity, Operational, and Central Office.</w:t>
            </w:r>
          </w:p>
        </w:tc>
        <w:tc>
          <w:tcPr>
            <w:tcW w:type="dxa" w:w="2448"/>
            <w:vAlign w:val="center"/>
            <w:tcMar>
              <w:top w:w="75" w:type="dxa"/>
              <w:start w:w="75" w:type="dxa"/>
              <w:bottom w:w="75" w:type="dxa"/>
              <w:end w:w="75" w:type="dxa"/>
            </w:tcMar>
          </w:tcPr>
          <w:p>
            <w:pPr>
              <w:jc w:val="left"/>
            </w:pPr>
            <w:r>
              <w:rPr>
                <w:rFonts w:ascii="Aptos" w:hAnsi="Aptos"/>
                <w:sz w:val="15"/>
              </w:rPr>
              <w:t>Same four proposed sections, reproduced through the pipeline.</w:t>
            </w:r>
          </w:p>
        </w:tc>
      </w:tr>
      <w:tr>
        <w:trPr>
          <w:cantSplit/>
        </w:trPr>
        <w:tc>
          <w:tcPr>
            <w:tcW w:type="dxa" w:w="1800"/>
            <w:shd w:fill="EEF5FA"/>
            <w:vAlign w:val="center"/>
            <w:tcMar>
              <w:top w:w="75" w:type="dxa"/>
              <w:start w:w="75" w:type="dxa"/>
              <w:bottom w:w="75" w:type="dxa"/>
              <w:end w:w="75" w:type="dxa"/>
            </w:tcMar>
          </w:tcPr>
          <w:p>
            <w:pPr>
              <w:jc w:val="left"/>
            </w:pPr>
            <w:r>
              <w:rPr>
                <w:rFonts w:ascii="Aptos" w:hAnsi="Aptos"/>
                <w:sz w:val="15"/>
              </w:rPr>
              <w:t>Teaching quantities</w:t>
            </w:r>
          </w:p>
        </w:tc>
        <w:tc>
          <w:tcPr>
            <w:tcW w:type="dxa" w:w="2448"/>
            <w:shd w:fill="EEF5FA"/>
            <w:vAlign w:val="center"/>
            <w:tcMar>
              <w:top w:w="75" w:type="dxa"/>
              <w:start w:w="75" w:type="dxa"/>
              <w:bottom w:w="75" w:type="dxa"/>
              <w:end w:w="75" w:type="dxa"/>
            </w:tcMar>
          </w:tcPr>
          <w:p>
            <w:pPr>
              <w:jc w:val="left"/>
            </w:pPr>
            <w:r>
              <w:rPr>
                <w:rFonts w:ascii="Aptos" w:hAnsi="Aptos"/>
                <w:sz w:val="15"/>
              </w:rPr>
              <w:t>Mostly source-reported Division I units.</w:t>
            </w:r>
          </w:p>
        </w:tc>
        <w:tc>
          <w:tcPr>
            <w:tcW w:type="dxa" w:w="2448"/>
            <w:shd w:fill="EEF5FA"/>
            <w:vAlign w:val="center"/>
            <w:tcMar>
              <w:top w:w="75" w:type="dxa"/>
              <w:start w:w="75" w:type="dxa"/>
              <w:bottom w:w="75" w:type="dxa"/>
              <w:end w:w="75" w:type="dxa"/>
            </w:tcMar>
          </w:tcPr>
          <w:p>
            <w:pPr>
              <w:jc w:val="left"/>
            </w:pPr>
            <w:r>
              <w:rPr>
                <w:rFonts w:ascii="Aptos" w:hAnsi="Aptos"/>
                <w:sz w:val="15"/>
              </w:rPr>
              <w:t>Formula-driven from calculator inputs.</w:t>
            </w:r>
          </w:p>
        </w:tc>
        <w:tc>
          <w:tcPr>
            <w:tcW w:type="dxa" w:w="2448"/>
            <w:shd w:fill="EEF5FA"/>
            <w:vAlign w:val="center"/>
            <w:tcMar>
              <w:top w:w="75" w:type="dxa"/>
              <w:start w:w="75" w:type="dxa"/>
              <w:bottom w:w="75" w:type="dxa"/>
              <w:end w:w="75" w:type="dxa"/>
            </w:tcMar>
          </w:tcPr>
          <w:p>
            <w:pPr>
              <w:jc w:val="left"/>
            </w:pPr>
            <w:r>
              <w:rPr>
                <w:rFonts w:ascii="Aptos" w:hAnsi="Aptos"/>
                <w:sz w:val="15"/>
              </w:rPr>
              <w:t>Formula-driven from validated shared inputs.</w:t>
            </w:r>
          </w:p>
        </w:tc>
      </w:tr>
      <w:tr>
        <w:trPr>
          <w:cantSplit/>
        </w:trPr>
        <w:tc>
          <w:tcPr>
            <w:tcW w:type="dxa" w:w="1800"/>
            <w:vAlign w:val="center"/>
            <w:tcMar>
              <w:top w:w="75" w:type="dxa"/>
              <w:start w:w="75" w:type="dxa"/>
              <w:bottom w:w="75" w:type="dxa"/>
              <w:end w:w="75" w:type="dxa"/>
            </w:tcMar>
          </w:tcPr>
          <w:p>
            <w:pPr>
              <w:jc w:val="left"/>
            </w:pPr>
            <w:r>
              <w:rPr>
                <w:rFonts w:ascii="Aptos" w:hAnsi="Aptos"/>
                <w:sz w:val="15"/>
              </w:rPr>
              <w:t>School calculation unit</w:t>
            </w:r>
          </w:p>
        </w:tc>
        <w:tc>
          <w:tcPr>
            <w:tcW w:type="dxa" w:w="2448"/>
            <w:vAlign w:val="center"/>
            <w:tcMar>
              <w:top w:w="75" w:type="dxa"/>
              <w:start w:w="75" w:type="dxa"/>
              <w:bottom w:w="75" w:type="dxa"/>
              <w:end w:w="75" w:type="dxa"/>
            </w:tcMar>
          </w:tcPr>
          <w:p>
            <w:pPr>
              <w:jc w:val="left"/>
            </w:pPr>
            <w:r>
              <w:rPr>
                <w:rFonts w:ascii="Aptos" w:hAnsi="Aptos"/>
                <w:sz w:val="15"/>
              </w:rPr>
              <w:t>Official coded school; one charter organization record.</w:t>
            </w:r>
          </w:p>
        </w:tc>
        <w:tc>
          <w:tcPr>
            <w:tcW w:type="dxa" w:w="2448"/>
            <w:vAlign w:val="center"/>
            <w:tcMar>
              <w:top w:w="75" w:type="dxa"/>
              <w:start w:w="75" w:type="dxa"/>
              <w:bottom w:w="75" w:type="dxa"/>
              <w:end w:w="75" w:type="dxa"/>
            </w:tcMar>
          </w:tcPr>
          <w:p>
            <w:pPr>
              <w:jc w:val="left"/>
            </w:pPr>
            <w:r>
              <w:rPr>
                <w:rFonts w:ascii="Aptos" w:hAnsi="Aptos"/>
                <w:sz w:val="15"/>
              </w:rPr>
              <w:t>District school rows and charter building rows.</w:t>
            </w:r>
          </w:p>
        </w:tc>
        <w:tc>
          <w:tcPr>
            <w:tcW w:type="dxa" w:w="2448"/>
            <w:vAlign w:val="center"/>
            <w:tcMar>
              <w:top w:w="75" w:type="dxa"/>
              <w:start w:w="75" w:type="dxa"/>
              <w:bottom w:w="75" w:type="dxa"/>
              <w:end w:w="75" w:type="dxa"/>
            </w:tcMar>
          </w:tcPr>
          <w:p>
            <w:pPr>
              <w:jc w:val="left"/>
            </w:pPr>
            <w:r>
              <w:rPr>
                <w:rFonts w:ascii="Aptos" w:hAnsi="Aptos"/>
                <w:sz w:val="15"/>
              </w:rPr>
              <w:t>205 district school codes and 47 charter building units.</w:t>
            </w:r>
          </w:p>
        </w:tc>
      </w:tr>
      <w:tr>
        <w:trPr>
          <w:cantSplit/>
        </w:trPr>
        <w:tc>
          <w:tcPr>
            <w:tcW w:type="dxa" w:w="1800"/>
            <w:shd w:fill="EEF5FA"/>
            <w:vAlign w:val="center"/>
            <w:tcMar>
              <w:top w:w="75" w:type="dxa"/>
              <w:start w:w="75" w:type="dxa"/>
              <w:bottom w:w="75" w:type="dxa"/>
              <w:end w:w="75" w:type="dxa"/>
            </w:tcMar>
          </w:tcPr>
          <w:p>
            <w:pPr>
              <w:jc w:val="left"/>
            </w:pPr>
            <w:r>
              <w:rPr>
                <w:rFonts w:ascii="Aptos" w:hAnsi="Aptos"/>
                <w:sz w:val="15"/>
              </w:rPr>
              <w:t>Principal</w:t>
            </w:r>
          </w:p>
        </w:tc>
        <w:tc>
          <w:tcPr>
            <w:tcW w:type="dxa" w:w="2448"/>
            <w:shd w:fill="EEF5FA"/>
            <w:vAlign w:val="center"/>
            <w:tcMar>
              <w:top w:w="75" w:type="dxa"/>
              <w:start w:w="75" w:type="dxa"/>
              <w:bottom w:w="75" w:type="dxa"/>
              <w:end w:w="75" w:type="dxa"/>
            </w:tcMar>
          </w:tcPr>
          <w:p>
            <w:pPr>
              <w:jc w:val="left"/>
            </w:pPr>
            <w:r>
              <w:rPr>
                <w:rFonts w:ascii="Aptos" w:hAnsi="Aptos"/>
                <w:sz w:val="15"/>
              </w:rPr>
              <w:t>One only when current units reach 15.</w:t>
            </w:r>
          </w:p>
        </w:tc>
        <w:tc>
          <w:tcPr>
            <w:tcW w:type="dxa" w:w="2448"/>
            <w:shd w:fill="EEF5FA"/>
            <w:vAlign w:val="center"/>
            <w:tcMar>
              <w:top w:w="75" w:type="dxa"/>
              <w:start w:w="75" w:type="dxa"/>
              <w:bottom w:w="75" w:type="dxa"/>
              <w:end w:w="75" w:type="dxa"/>
            </w:tcMar>
          </w:tcPr>
          <w:p>
            <w:pPr>
              <w:jc w:val="left"/>
            </w:pPr>
            <w:r>
              <w:rPr>
                <w:rFonts w:ascii="Aptos" w:hAnsi="Aptos"/>
                <w:sz w:val="15"/>
              </w:rPr>
              <w:t>One per PEFC calculation unit.</w:t>
            </w:r>
          </w:p>
        </w:tc>
        <w:tc>
          <w:tcPr>
            <w:tcW w:type="dxa" w:w="2448"/>
            <w:shd w:fill="EEF5FA"/>
            <w:vAlign w:val="center"/>
            <w:tcMar>
              <w:top w:w="75" w:type="dxa"/>
              <w:start w:w="75" w:type="dxa"/>
              <w:bottom w:w="75" w:type="dxa"/>
              <w:end w:w="75" w:type="dxa"/>
            </w:tcMar>
          </w:tcPr>
          <w:p>
            <w:pPr>
              <w:jc w:val="left"/>
            </w:pPr>
            <w:r>
              <w:rPr>
                <w:rFonts w:ascii="Aptos" w:hAnsi="Aptos"/>
                <w:sz w:val="15"/>
              </w:rPr>
              <w:t>One per independent calculation unit.</w:t>
            </w:r>
          </w:p>
        </w:tc>
      </w:tr>
      <w:tr>
        <w:trPr>
          <w:cantSplit/>
        </w:trPr>
        <w:tc>
          <w:tcPr>
            <w:tcW w:type="dxa" w:w="1800"/>
            <w:vAlign w:val="center"/>
            <w:tcMar>
              <w:top w:w="75" w:type="dxa"/>
              <w:start w:w="75" w:type="dxa"/>
              <w:bottom w:w="75" w:type="dxa"/>
              <w:end w:w="75" w:type="dxa"/>
            </w:tcMar>
          </w:tcPr>
          <w:p>
            <w:pPr>
              <w:jc w:val="left"/>
            </w:pPr>
            <w:r>
              <w:rPr>
                <w:rFonts w:ascii="Aptos" w:hAnsi="Aptos"/>
                <w:sz w:val="15"/>
              </w:rPr>
              <w:t>Assistant Principal / admin support</w:t>
            </w:r>
          </w:p>
        </w:tc>
        <w:tc>
          <w:tcPr>
            <w:tcW w:type="dxa" w:w="2448"/>
            <w:vAlign w:val="center"/>
            <w:tcMar>
              <w:top w:w="75" w:type="dxa"/>
              <w:start w:w="75" w:type="dxa"/>
              <w:bottom w:w="75" w:type="dxa"/>
              <w:end w:w="75" w:type="dxa"/>
            </w:tcMar>
          </w:tcPr>
          <w:p>
            <w:pPr>
              <w:jc w:val="left"/>
            </w:pPr>
            <w:r>
              <w:rPr>
                <w:rFonts w:ascii="Aptos" w:hAnsi="Aptos"/>
                <w:sz w:val="15"/>
              </w:rPr>
              <w:t>Current unit thresholds and secretary formula.</w:t>
            </w:r>
          </w:p>
        </w:tc>
        <w:tc>
          <w:tcPr>
            <w:tcW w:type="dxa" w:w="2448"/>
            <w:vAlign w:val="center"/>
            <w:tcMar>
              <w:top w:w="75" w:type="dxa"/>
              <w:start w:w="75" w:type="dxa"/>
              <w:bottom w:w="75" w:type="dxa"/>
              <w:end w:w="75" w:type="dxa"/>
            </w:tcMar>
          </w:tcPr>
          <w:p>
            <w:pPr>
              <w:jc w:val="left"/>
            </w:pPr>
            <w:r>
              <w:rPr>
                <w:rFonts w:ascii="Aptos" w:hAnsi="Aptos"/>
                <w:sz w:val="15"/>
              </w:rPr>
              <w:t>Constructed proposed position bases.</w:t>
            </w:r>
          </w:p>
        </w:tc>
        <w:tc>
          <w:tcPr>
            <w:tcW w:type="dxa" w:w="2448"/>
            <w:vAlign w:val="center"/>
            <w:tcMar>
              <w:top w:w="75" w:type="dxa"/>
              <w:start w:w="75" w:type="dxa"/>
              <w:bottom w:w="75" w:type="dxa"/>
              <w:end w:w="75" w:type="dxa"/>
            </w:tcMar>
          </w:tcPr>
          <w:p>
            <w:pPr>
              <w:jc w:val="left"/>
            </w:pPr>
            <w:r>
              <w:rPr>
                <w:rFonts w:ascii="Aptos" w:hAnsi="Aptos"/>
                <w:sz w:val="15"/>
              </w:rPr>
              <w:t>Constructed bases with explicit written fractional AP awards.</w:t>
            </w:r>
          </w:p>
        </w:tc>
      </w:tr>
      <w:tr>
        <w:trPr>
          <w:cantSplit/>
        </w:trPr>
        <w:tc>
          <w:tcPr>
            <w:tcW w:type="dxa" w:w="1800"/>
            <w:shd w:fill="EEF5FA"/>
            <w:vAlign w:val="center"/>
            <w:tcMar>
              <w:top w:w="75" w:type="dxa"/>
              <w:start w:w="75" w:type="dxa"/>
              <w:bottom w:w="75" w:type="dxa"/>
              <w:end w:w="75" w:type="dxa"/>
            </w:tcMar>
          </w:tcPr>
          <w:p>
            <w:pPr>
              <w:jc w:val="left"/>
            </w:pPr>
            <w:r>
              <w:rPr>
                <w:rFonts w:ascii="Aptos" w:hAnsi="Aptos"/>
                <w:sz w:val="15"/>
              </w:rPr>
              <w:t>Instructional and student supports</w:t>
            </w:r>
          </w:p>
        </w:tc>
        <w:tc>
          <w:tcPr>
            <w:tcW w:type="dxa" w:w="2448"/>
            <w:shd w:fill="EEF5FA"/>
            <w:vAlign w:val="center"/>
            <w:tcMar>
              <w:top w:w="75" w:type="dxa"/>
              <w:start w:w="75" w:type="dxa"/>
              <w:bottom w:w="75" w:type="dxa"/>
              <w:end w:w="75" w:type="dxa"/>
            </w:tcMar>
          </w:tcPr>
          <w:p>
            <w:pPr>
              <w:jc w:val="left"/>
            </w:pPr>
            <w:r>
              <w:rPr>
                <w:rFonts w:ascii="Aptos" w:hAnsi="Aptos"/>
                <w:sz w:val="15"/>
              </w:rPr>
              <w:t>Several separately named functions.</w:t>
            </w:r>
          </w:p>
        </w:tc>
        <w:tc>
          <w:tcPr>
            <w:tcW w:type="dxa" w:w="2448"/>
            <w:shd w:fill="EEF5FA"/>
            <w:vAlign w:val="center"/>
            <w:tcMar>
              <w:top w:w="75" w:type="dxa"/>
              <w:start w:w="75" w:type="dxa"/>
              <w:bottom w:w="75" w:type="dxa"/>
              <w:end w:w="75" w:type="dxa"/>
            </w:tcMar>
          </w:tcPr>
          <w:p>
            <w:pPr>
              <w:jc w:val="left"/>
            </w:pPr>
            <w:r>
              <w:rPr>
                <w:rFonts w:ascii="Aptos" w:hAnsi="Aptos"/>
                <w:sz w:val="15"/>
              </w:rPr>
              <w:t>One Instructional Supports line at 20% of Base Division I.</w:t>
            </w:r>
          </w:p>
        </w:tc>
        <w:tc>
          <w:tcPr>
            <w:tcW w:type="dxa" w:w="2448"/>
            <w:shd w:fill="EEF5FA"/>
            <w:vAlign w:val="center"/>
            <w:tcMar>
              <w:top w:w="75" w:type="dxa"/>
              <w:start w:w="75" w:type="dxa"/>
              <w:bottom w:w="75" w:type="dxa"/>
              <w:end w:w="75" w:type="dxa"/>
            </w:tcMar>
          </w:tcPr>
          <w:p>
            <w:pPr>
              <w:jc w:val="left"/>
            </w:pPr>
            <w:r>
              <w:rPr>
                <w:rFonts w:ascii="Aptos" w:hAnsi="Aptos"/>
                <w:sz w:val="15"/>
              </w:rPr>
              <w:t>Same 20% rule, including vocational/program adjustments.</w:t>
            </w:r>
          </w:p>
        </w:tc>
      </w:tr>
      <w:tr>
        <w:trPr>
          <w:cantSplit/>
        </w:trPr>
        <w:tc>
          <w:tcPr>
            <w:tcW w:type="dxa" w:w="1800"/>
            <w:vAlign w:val="center"/>
            <w:tcMar>
              <w:top w:w="75" w:type="dxa"/>
              <w:start w:w="75" w:type="dxa"/>
              <w:bottom w:w="75" w:type="dxa"/>
              <w:end w:w="75" w:type="dxa"/>
            </w:tcMar>
          </w:tcPr>
          <w:p>
            <w:pPr>
              <w:jc w:val="left"/>
            </w:pPr>
            <w:r>
              <w:rPr>
                <w:rFonts w:ascii="Aptos" w:hAnsi="Aptos"/>
                <w:sz w:val="15"/>
              </w:rPr>
              <w:t>Central Office</w:t>
            </w:r>
          </w:p>
        </w:tc>
        <w:tc>
          <w:tcPr>
            <w:tcW w:type="dxa" w:w="2448"/>
            <w:vAlign w:val="center"/>
            <w:tcMar>
              <w:top w:w="75" w:type="dxa"/>
              <w:start w:w="75" w:type="dxa"/>
              <w:bottom w:w="75" w:type="dxa"/>
              <w:end w:w="75" w:type="dxa"/>
            </w:tcMar>
          </w:tcPr>
          <w:p>
            <w:pPr>
              <w:jc w:val="left"/>
            </w:pPr>
            <w:r>
              <w:rPr>
                <w:rFonts w:ascii="Aptos" w:hAnsi="Aptos"/>
                <w:sz w:val="15"/>
              </w:rPr>
              <w:t>Some district-only positions; current Division I bases.</w:t>
            </w:r>
          </w:p>
        </w:tc>
        <w:tc>
          <w:tcPr>
            <w:tcW w:type="dxa" w:w="2448"/>
            <w:vAlign w:val="center"/>
            <w:tcMar>
              <w:top w:w="75" w:type="dxa"/>
              <w:start w:w="75" w:type="dxa"/>
              <w:bottom w:w="75" w:type="dxa"/>
              <w:end w:w="75" w:type="dxa"/>
            </w:tcMar>
          </w:tcPr>
          <w:p>
            <w:pPr>
              <w:jc w:val="left"/>
            </w:pPr>
            <w:r>
              <w:rPr>
                <w:rFonts w:ascii="Aptos" w:hAnsi="Aptos"/>
                <w:sz w:val="15"/>
              </w:rPr>
              <w:t>Broader charter eligibility; workbook formulas.</w:t>
            </w:r>
          </w:p>
        </w:tc>
        <w:tc>
          <w:tcPr>
            <w:tcW w:type="dxa" w:w="2448"/>
            <w:vAlign w:val="center"/>
            <w:tcMar>
              <w:top w:w="75" w:type="dxa"/>
              <w:start w:w="75" w:type="dxa"/>
              <w:bottom w:w="75" w:type="dxa"/>
              <w:end w:w="75" w:type="dxa"/>
            </w:tcMar>
          </w:tcPr>
          <w:p>
            <w:pPr>
              <w:jc w:val="left"/>
            </w:pPr>
            <w:r>
              <w:rPr>
                <w:rFonts w:ascii="Aptos" w:hAnsi="Aptos"/>
                <w:sz w:val="15"/>
              </w:rPr>
              <w:t>Broader eligibility; selected formulas use Total Base positions.</w:t>
            </w:r>
          </w:p>
        </w:tc>
      </w:tr>
      <w:tr>
        <w:trPr>
          <w:cantSplit/>
        </w:trPr>
        <w:tc>
          <w:tcPr>
            <w:tcW w:type="dxa" w:w="1800"/>
            <w:shd w:fill="EEF5FA"/>
            <w:vAlign w:val="center"/>
            <w:tcMar>
              <w:top w:w="75" w:type="dxa"/>
              <w:start w:w="75" w:type="dxa"/>
              <w:bottom w:w="75" w:type="dxa"/>
              <w:end w:w="75" w:type="dxa"/>
            </w:tcMar>
          </w:tcPr>
          <w:p>
            <w:pPr>
              <w:jc w:val="left"/>
            </w:pPr>
            <w:r>
              <w:rPr>
                <w:rFonts w:ascii="Aptos" w:hAnsi="Aptos"/>
                <w:sz w:val="15"/>
              </w:rPr>
              <w:t>Weighted funding</w:t>
            </w:r>
          </w:p>
        </w:tc>
        <w:tc>
          <w:tcPr>
            <w:tcW w:type="dxa" w:w="2448"/>
            <w:shd w:fill="EEF5FA"/>
            <w:vAlign w:val="center"/>
            <w:tcMar>
              <w:top w:w="75" w:type="dxa"/>
              <w:start w:w="75" w:type="dxa"/>
              <w:bottom w:w="75" w:type="dxa"/>
              <w:end w:w="75" w:type="dxa"/>
            </w:tcMar>
          </w:tcPr>
          <w:p>
            <w:pPr>
              <w:jc w:val="left"/>
            </w:pPr>
            <w:r>
              <w:rPr>
                <w:rFonts w:ascii="Aptos" w:hAnsi="Aptos"/>
                <w:sz w:val="15"/>
              </w:rPr>
              <w:t>No directly comparable sections recreated.</w:t>
            </w:r>
          </w:p>
        </w:tc>
        <w:tc>
          <w:tcPr>
            <w:tcW w:type="dxa" w:w="2448"/>
            <w:shd w:fill="EEF5FA"/>
            <w:vAlign w:val="center"/>
            <w:tcMar>
              <w:top w:w="75" w:type="dxa"/>
              <w:start w:w="75" w:type="dxa"/>
              <w:bottom w:w="75" w:type="dxa"/>
              <w:end w:w="75" w:type="dxa"/>
            </w:tcMar>
          </w:tcPr>
          <w:p>
            <w:pPr>
              <w:jc w:val="left"/>
            </w:pPr>
            <w:r>
              <w:rPr>
                <w:rFonts w:ascii="Aptos" w:hAnsi="Aptos"/>
                <w:sz w:val="15"/>
              </w:rPr>
              <w:t>Fixed Opportunity and Operational pools with calculator rates.</w:t>
            </w:r>
          </w:p>
        </w:tc>
        <w:tc>
          <w:tcPr>
            <w:tcW w:type="dxa" w:w="2448"/>
            <w:shd w:fill="EEF5FA"/>
            <w:vAlign w:val="center"/>
            <w:tcMar>
              <w:top w:w="75" w:type="dxa"/>
              <w:start w:w="75" w:type="dxa"/>
              <w:bottom w:w="75" w:type="dxa"/>
              <w:end w:w="75" w:type="dxa"/>
            </w:tcMar>
          </w:tcPr>
          <w:p>
            <w:pPr>
              <w:jc w:val="left"/>
            </w:pPr>
            <w:r>
              <w:rPr>
                <w:rFonts w:ascii="Aptos" w:hAnsi="Aptos"/>
                <w:sz w:val="15"/>
              </w:rPr>
              <w:t>Fixed pools; rates recalculated for eligible weighted units and final scope.</w:t>
            </w:r>
          </w:p>
        </w:tc>
      </w:tr>
    </w:tbl>
    <w:p>
      <w:pPr>
        <w:spacing w:after="100" w:line="259" w:lineRule="auto"/>
      </w:pPr>
    </w:p>
    <w:p>
      <w:pPr>
        <w:spacing w:after="100" w:line="259" w:lineRule="auto"/>
      </w:pPr>
      <w:r>
        <w:rPr>
          <w:rFonts w:ascii="Aptos" w:hAnsi="Aptos"/>
          <w:i/>
          <w:color w:val="000000"/>
          <w:sz w:val="21"/>
        </w:rPr>
        <w:t>Source: 11_model_version_definitions.csv; 11_three_way_input_comparison.csv; current and proposed rule outputs; maintained component crosswalk.</w:t>
      </w:r>
    </w:p>
    <w:p>
      <w:pPr>
        <w:pStyle w:val="Heading2"/>
        <w:keepNext/>
      </w:pPr>
      <w:r>
        <w:t>5.2 Statewide position quantities</w:t>
      </w:r>
    </w:p>
    <w:p>
      <w:pPr>
        <w:spacing w:after="100" w:line="259" w:lineRule="auto"/>
      </w:pPr>
      <w:r>
        <w:rPr>
          <w:rFonts w:ascii="Aptos" w:hAnsi="Aptos"/>
          <w:color w:val="000000"/>
          <w:sz w:val="21"/>
        </w:rPr>
        <w:t>Teaching totals are relatively close once the independent reproduction uses the same final inputs and scope as the current model. Base Division I positions are 11,743.85 in the current reconstruction and 11,744.12 in the independent reproduction. The larger position changes occur in school administration, administrative support, and selected Central Office categories.</w:t>
      </w:r>
    </w:p>
    <w:p>
      <w:pPr>
        <w:keepNext/>
        <w:spacing w:before="160" w:after="100" w:line="259" w:lineRule="auto"/>
      </w:pPr>
      <w:r>
        <w:rPr>
          <w:rFonts w:ascii="Aptos" w:hAnsi="Aptos"/>
          <w:b/>
          <w:color w:val="000000"/>
          <w:sz w:val="21"/>
        </w:rPr>
        <w:t>Exhibit 7A. Selected statewide position quantities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880"/>
            <w:vAlign w:val="center"/>
            <w:shd w:fill="1F4E78"/>
            <w:tcMar>
              <w:top w:w="75" w:type="dxa"/>
              <w:start w:w="75" w:type="dxa"/>
              <w:bottom w:w="75" w:type="dxa"/>
              <w:end w:w="75" w:type="dxa"/>
            </w:tcMar>
          </w:tcPr>
          <w:p>
            <w:pPr>
              <w:jc w:val="center"/>
            </w:pPr>
            <w:r>
              <w:rPr>
                <w:rFonts w:ascii="Aptos" w:hAnsi="Aptos"/>
                <w:b/>
                <w:color w:val="FFFFFF"/>
                <w:sz w:val="16"/>
              </w:rPr>
              <w:t>Component</w:t>
            </w:r>
          </w:p>
        </w:tc>
        <w:tc>
          <w:tcPr>
            <w:tcW w:type="dxa" w:w="1440"/>
            <w:vAlign w:val="center"/>
            <w:shd w:fill="1F4E78"/>
            <w:tcMar>
              <w:top w:w="75" w:type="dxa"/>
              <w:start w:w="75" w:type="dxa"/>
              <w:bottom w:w="75" w:type="dxa"/>
              <w:end w:w="75" w:type="dxa"/>
            </w:tcMar>
          </w:tcPr>
          <w:p>
            <w:pPr>
              <w:jc w:val="center"/>
            </w:pPr>
            <w:r>
              <w:rPr>
                <w:rFonts w:ascii="Aptos" w:hAnsi="Aptos"/>
                <w:b/>
                <w:color w:val="FFFFFF"/>
                <w:sz w:val="16"/>
              </w:rPr>
              <w:t>Recreated current</w:t>
            </w:r>
          </w:p>
        </w:tc>
        <w:tc>
          <w:tcPr>
            <w:tcW w:type="dxa" w:w="1440"/>
            <w:vAlign w:val="center"/>
            <w:shd w:fill="1F4E78"/>
            <w:tcMar>
              <w:top w:w="75" w:type="dxa"/>
              <w:start w:w="75" w:type="dxa"/>
              <w:bottom w:w="75" w:type="dxa"/>
              <w:end w:w="75" w:type="dxa"/>
            </w:tcMar>
          </w:tcPr>
          <w:p>
            <w:pPr>
              <w:jc w:val="center"/>
            </w:pPr>
            <w:r>
              <w:rPr>
                <w:rFonts w:ascii="Aptos" w:hAnsi="Aptos"/>
                <w:b/>
                <w:color w:val="FFFFFF"/>
                <w:sz w:val="16"/>
              </w:rPr>
              <w:t>PEFC as presented</w:t>
            </w:r>
          </w:p>
        </w:tc>
        <w:tc>
          <w:tcPr>
            <w:tcW w:type="dxa" w:w="1512"/>
            <w:vAlign w:val="center"/>
            <w:shd w:fill="1F4E78"/>
            <w:tcMar>
              <w:top w:w="75" w:type="dxa"/>
              <w:start w:w="75" w:type="dxa"/>
              <w:bottom w:w="75" w:type="dxa"/>
              <w:end w:w="75" w:type="dxa"/>
            </w:tcMar>
          </w:tcPr>
          <w:p>
            <w:pPr>
              <w:jc w:val="center"/>
            </w:pPr>
            <w:r>
              <w:rPr>
                <w:rFonts w:ascii="Aptos" w:hAnsi="Aptos"/>
                <w:b/>
                <w:color w:val="FFFFFF"/>
                <w:sz w:val="16"/>
              </w:rPr>
              <w:t>Independent reproduction</w:t>
            </w:r>
          </w:p>
        </w:tc>
        <w:tc>
          <w:tcPr>
            <w:tcW w:type="dxa" w:w="1800"/>
            <w:vAlign w:val="center"/>
            <w:shd w:fill="1F4E78"/>
            <w:tcMar>
              <w:top w:w="75" w:type="dxa"/>
              <w:start w:w="75" w:type="dxa"/>
              <w:bottom w:w="75" w:type="dxa"/>
              <w:end w:w="75" w:type="dxa"/>
            </w:tcMar>
          </w:tcPr>
          <w:p>
            <w:pPr>
              <w:jc w:val="center"/>
            </w:pPr>
            <w:r>
              <w:rPr>
                <w:rFonts w:ascii="Aptos" w:hAnsi="Aptos"/>
                <w:b/>
                <w:color w:val="FFFFFF"/>
                <w:sz w:val="16"/>
              </w:rPr>
              <w:t>Comparability</w:t>
            </w:r>
          </w:p>
        </w:tc>
      </w:tr>
      <w:tr>
        <w:trPr>
          <w:cantSplit/>
        </w:trPr>
        <w:tc>
          <w:tcPr>
            <w:tcW w:type="dxa" w:w="2880"/>
            <w:vAlign w:val="center"/>
            <w:tcMar>
              <w:top w:w="75" w:type="dxa"/>
              <w:start w:w="75" w:type="dxa"/>
              <w:bottom w:w="75" w:type="dxa"/>
              <w:end w:w="75" w:type="dxa"/>
            </w:tcMar>
          </w:tcPr>
          <w:p>
            <w:pPr>
              <w:jc w:val="left"/>
            </w:pPr>
            <w:r>
              <w:rPr>
                <w:rFonts w:ascii="Aptos" w:hAnsi="Aptos"/>
                <w:sz w:val="16"/>
              </w:rPr>
              <w:t>Base Division I positions</w:t>
            </w:r>
          </w:p>
        </w:tc>
        <w:tc>
          <w:tcPr>
            <w:tcW w:type="dxa" w:w="1440"/>
            <w:vAlign w:val="center"/>
            <w:tcMar>
              <w:top w:w="75" w:type="dxa"/>
              <w:start w:w="75" w:type="dxa"/>
              <w:bottom w:w="75" w:type="dxa"/>
              <w:end w:w="75" w:type="dxa"/>
            </w:tcMar>
          </w:tcPr>
          <w:p>
            <w:pPr>
              <w:jc w:val="right"/>
            </w:pPr>
            <w:r>
              <w:rPr>
                <w:rFonts w:ascii="Aptos" w:hAnsi="Aptos"/>
                <w:sz w:val="16"/>
              </w:rPr>
              <w:t>11,743.85</w:t>
            </w:r>
          </w:p>
        </w:tc>
        <w:tc>
          <w:tcPr>
            <w:tcW w:type="dxa" w:w="1440"/>
            <w:vAlign w:val="center"/>
            <w:tcMar>
              <w:top w:w="75" w:type="dxa"/>
              <w:start w:w="75" w:type="dxa"/>
              <w:bottom w:w="75" w:type="dxa"/>
              <w:end w:w="75" w:type="dxa"/>
            </w:tcMar>
          </w:tcPr>
          <w:p>
            <w:pPr>
              <w:jc w:val="right"/>
            </w:pPr>
            <w:r>
              <w:rPr>
                <w:rFonts w:ascii="Aptos" w:hAnsi="Aptos"/>
                <w:sz w:val="16"/>
              </w:rPr>
              <w:t>11,791.23</w:t>
            </w:r>
          </w:p>
        </w:tc>
        <w:tc>
          <w:tcPr>
            <w:tcW w:type="dxa" w:w="1512"/>
            <w:vAlign w:val="center"/>
            <w:tcMar>
              <w:top w:w="75" w:type="dxa"/>
              <w:start w:w="75" w:type="dxa"/>
              <w:bottom w:w="75" w:type="dxa"/>
              <w:end w:w="75" w:type="dxa"/>
            </w:tcMar>
          </w:tcPr>
          <w:p>
            <w:pPr>
              <w:jc w:val="right"/>
            </w:pPr>
            <w:r>
              <w:rPr>
                <w:rFonts w:ascii="Aptos" w:hAnsi="Aptos"/>
                <w:sz w:val="16"/>
              </w:rPr>
              <w:t>11,744.12</w:t>
            </w:r>
          </w:p>
        </w:tc>
        <w:tc>
          <w:tcPr>
            <w:tcW w:type="dxa" w:w="1800"/>
            <w:vAlign w:val="center"/>
            <w:tcMar>
              <w:top w:w="75" w:type="dxa"/>
              <w:start w:w="75" w:type="dxa"/>
              <w:bottom w:w="75" w:type="dxa"/>
              <w:end w:w="75" w:type="dxa"/>
            </w:tcMar>
          </w:tcPr>
          <w:p>
            <w:pPr>
              <w:jc w:val="left"/>
            </w:pPr>
            <w:r>
              <w:rPr>
                <w:rFonts w:ascii="Aptos" w:hAnsi="Aptos"/>
                <w:sz w:val="16"/>
              </w:rPr>
              <w:t>Direct with scope differences</w:t>
            </w:r>
          </w:p>
        </w:tc>
      </w:tr>
      <w:tr>
        <w:trPr>
          <w:cantSplit/>
        </w:trPr>
        <w:tc>
          <w:tcPr>
            <w:tcW w:type="dxa" w:w="2880"/>
            <w:shd w:fill="EEF5FA"/>
            <w:vAlign w:val="center"/>
            <w:tcMar>
              <w:top w:w="75" w:type="dxa"/>
              <w:start w:w="75" w:type="dxa"/>
              <w:bottom w:w="75" w:type="dxa"/>
              <w:end w:w="75" w:type="dxa"/>
            </w:tcMar>
          </w:tcPr>
          <w:p>
            <w:pPr>
              <w:jc w:val="left"/>
            </w:pPr>
            <w:r>
              <w:rPr>
                <w:rFonts w:ascii="Aptos" w:hAnsi="Aptos"/>
                <w:sz w:val="16"/>
              </w:rPr>
              <w:t>Principal</w:t>
            </w:r>
          </w:p>
        </w:tc>
        <w:tc>
          <w:tcPr>
            <w:tcW w:type="dxa" w:w="1440"/>
            <w:shd w:fill="EEF5FA"/>
            <w:vAlign w:val="center"/>
            <w:tcMar>
              <w:top w:w="75" w:type="dxa"/>
              <w:start w:w="75" w:type="dxa"/>
              <w:bottom w:w="75" w:type="dxa"/>
              <w:end w:w="75" w:type="dxa"/>
            </w:tcMar>
          </w:tcPr>
          <w:p>
            <w:pPr>
              <w:jc w:val="right"/>
            </w:pPr>
            <w:r>
              <w:rPr>
                <w:rFonts w:ascii="Aptos" w:hAnsi="Aptos"/>
                <w:sz w:val="16"/>
              </w:rPr>
              <w:t>223.00</w:t>
            </w:r>
          </w:p>
        </w:tc>
        <w:tc>
          <w:tcPr>
            <w:tcW w:type="dxa" w:w="1440"/>
            <w:shd w:fill="EEF5FA"/>
            <w:vAlign w:val="center"/>
            <w:tcMar>
              <w:top w:w="75" w:type="dxa"/>
              <w:start w:w="75" w:type="dxa"/>
              <w:bottom w:w="75" w:type="dxa"/>
              <w:end w:w="75" w:type="dxa"/>
            </w:tcMar>
          </w:tcPr>
          <w:p>
            <w:pPr>
              <w:jc w:val="right"/>
            </w:pPr>
            <w:r>
              <w:rPr>
                <w:rFonts w:ascii="Aptos" w:hAnsi="Aptos"/>
                <w:sz w:val="16"/>
              </w:rPr>
              <w:t>249.00</w:t>
            </w:r>
          </w:p>
        </w:tc>
        <w:tc>
          <w:tcPr>
            <w:tcW w:type="dxa" w:w="1512"/>
            <w:shd w:fill="EEF5FA"/>
            <w:vAlign w:val="center"/>
            <w:tcMar>
              <w:top w:w="75" w:type="dxa"/>
              <w:start w:w="75" w:type="dxa"/>
              <w:bottom w:w="75" w:type="dxa"/>
              <w:end w:w="75" w:type="dxa"/>
            </w:tcMar>
          </w:tcPr>
          <w:p>
            <w:pPr>
              <w:jc w:val="right"/>
            </w:pPr>
            <w:r>
              <w:rPr>
                <w:rFonts w:ascii="Aptos" w:hAnsi="Aptos"/>
                <w:sz w:val="16"/>
              </w:rPr>
              <w:t>252.00</w:t>
            </w:r>
          </w:p>
        </w:tc>
        <w:tc>
          <w:tcPr>
            <w:tcW w:type="dxa" w:w="1800"/>
            <w:shd w:fill="EEF5FA"/>
            <w:vAlign w:val="center"/>
            <w:tcMar>
              <w:top w:w="75" w:type="dxa"/>
              <w:start w:w="75" w:type="dxa"/>
              <w:bottom w:w="75" w:type="dxa"/>
              <w:end w:w="75" w:type="dxa"/>
            </w:tcMar>
          </w:tcPr>
          <w:p>
            <w:pPr>
              <w:jc w:val="left"/>
            </w:pPr>
            <w:r>
              <w:rPr>
                <w:rFonts w:ascii="Aptos" w:hAnsi="Aptos"/>
                <w:sz w:val="16"/>
              </w:rPr>
              <w:t>Direct</w:t>
            </w:r>
          </w:p>
        </w:tc>
      </w:tr>
      <w:tr>
        <w:trPr>
          <w:cantSplit/>
        </w:trPr>
        <w:tc>
          <w:tcPr>
            <w:tcW w:type="dxa" w:w="2880"/>
            <w:vAlign w:val="center"/>
            <w:tcMar>
              <w:top w:w="75" w:type="dxa"/>
              <w:start w:w="75" w:type="dxa"/>
              <w:bottom w:w="75" w:type="dxa"/>
              <w:end w:w="75" w:type="dxa"/>
            </w:tcMar>
          </w:tcPr>
          <w:p>
            <w:pPr>
              <w:jc w:val="left"/>
            </w:pPr>
            <w:r>
              <w:rPr>
                <w:rFonts w:ascii="Aptos" w:hAnsi="Aptos"/>
                <w:sz w:val="16"/>
              </w:rPr>
              <w:t>Assistant Principal</w:t>
            </w:r>
          </w:p>
        </w:tc>
        <w:tc>
          <w:tcPr>
            <w:tcW w:type="dxa" w:w="1440"/>
            <w:vAlign w:val="center"/>
            <w:tcMar>
              <w:top w:w="75" w:type="dxa"/>
              <w:start w:w="75" w:type="dxa"/>
              <w:bottom w:w="75" w:type="dxa"/>
              <w:end w:w="75" w:type="dxa"/>
            </w:tcMar>
          </w:tcPr>
          <w:p>
            <w:pPr>
              <w:jc w:val="right"/>
            </w:pPr>
            <w:r>
              <w:rPr>
                <w:rFonts w:ascii="Aptos" w:hAnsi="Aptos"/>
                <w:sz w:val="16"/>
              </w:rPr>
              <w:t>361.75</w:t>
            </w:r>
          </w:p>
        </w:tc>
        <w:tc>
          <w:tcPr>
            <w:tcW w:type="dxa" w:w="1440"/>
            <w:vAlign w:val="center"/>
            <w:tcMar>
              <w:top w:w="75" w:type="dxa"/>
              <w:start w:w="75" w:type="dxa"/>
              <w:bottom w:w="75" w:type="dxa"/>
              <w:end w:w="75" w:type="dxa"/>
            </w:tcMar>
          </w:tcPr>
          <w:p>
            <w:pPr>
              <w:jc w:val="right"/>
            </w:pPr>
            <w:r>
              <w:rPr>
                <w:rFonts w:ascii="Aptos" w:hAnsi="Aptos"/>
                <w:sz w:val="16"/>
              </w:rPr>
              <w:t>477.00</w:t>
            </w:r>
          </w:p>
        </w:tc>
        <w:tc>
          <w:tcPr>
            <w:tcW w:type="dxa" w:w="1512"/>
            <w:vAlign w:val="center"/>
            <w:tcMar>
              <w:top w:w="75" w:type="dxa"/>
              <w:start w:w="75" w:type="dxa"/>
              <w:bottom w:w="75" w:type="dxa"/>
              <w:end w:w="75" w:type="dxa"/>
            </w:tcMar>
          </w:tcPr>
          <w:p>
            <w:pPr>
              <w:jc w:val="right"/>
            </w:pPr>
            <w:r>
              <w:rPr>
                <w:rFonts w:ascii="Aptos" w:hAnsi="Aptos"/>
                <w:sz w:val="16"/>
              </w:rPr>
              <w:t>494.60</w:t>
            </w:r>
          </w:p>
        </w:tc>
        <w:tc>
          <w:tcPr>
            <w:tcW w:type="dxa" w:w="1800"/>
            <w:vAlign w:val="center"/>
            <w:tcMar>
              <w:top w:w="75" w:type="dxa"/>
              <w:start w:w="75" w:type="dxa"/>
              <w:bottom w:w="75" w:type="dxa"/>
              <w:end w:w="75" w:type="dxa"/>
            </w:tcMar>
          </w:tcPr>
          <w:p>
            <w:pPr>
              <w:jc w:val="left"/>
            </w:pPr>
            <w:r>
              <w:rPr>
                <w:rFonts w:ascii="Aptos" w:hAnsi="Aptos"/>
                <w:sz w:val="16"/>
              </w:rPr>
              <w:t>Direct</w:t>
            </w:r>
          </w:p>
        </w:tc>
      </w:tr>
      <w:tr>
        <w:trPr>
          <w:cantSplit/>
        </w:trPr>
        <w:tc>
          <w:tcPr>
            <w:tcW w:type="dxa" w:w="2880"/>
            <w:shd w:fill="EEF5FA"/>
            <w:vAlign w:val="center"/>
            <w:tcMar>
              <w:top w:w="75" w:type="dxa"/>
              <w:start w:w="75" w:type="dxa"/>
              <w:bottom w:w="75" w:type="dxa"/>
              <w:end w:w="75" w:type="dxa"/>
            </w:tcMar>
          </w:tcPr>
          <w:p>
            <w:pPr>
              <w:jc w:val="left"/>
            </w:pPr>
            <w:r>
              <w:rPr>
                <w:rFonts w:ascii="Aptos" w:hAnsi="Aptos"/>
                <w:sz w:val="16"/>
              </w:rPr>
              <w:t>Administrative Support Professionals</w:t>
            </w:r>
          </w:p>
        </w:tc>
        <w:tc>
          <w:tcPr>
            <w:tcW w:type="dxa" w:w="1440"/>
            <w:shd w:fill="EEF5FA"/>
            <w:vAlign w:val="center"/>
            <w:tcMar>
              <w:top w:w="75" w:type="dxa"/>
              <w:start w:w="75" w:type="dxa"/>
              <w:bottom w:w="75" w:type="dxa"/>
              <w:end w:w="75" w:type="dxa"/>
            </w:tcMar>
          </w:tcPr>
          <w:p>
            <w:pPr>
              <w:jc w:val="right"/>
            </w:pPr>
            <w:r>
              <w:rPr>
                <w:rFonts w:ascii="Aptos" w:hAnsi="Aptos"/>
                <w:sz w:val="16"/>
              </w:rPr>
              <w:t>1,052.00</w:t>
            </w:r>
          </w:p>
        </w:tc>
        <w:tc>
          <w:tcPr>
            <w:tcW w:type="dxa" w:w="1440"/>
            <w:shd w:fill="EEF5FA"/>
            <w:vAlign w:val="center"/>
            <w:tcMar>
              <w:top w:w="75" w:type="dxa"/>
              <w:start w:w="75" w:type="dxa"/>
              <w:bottom w:w="75" w:type="dxa"/>
              <w:end w:w="75" w:type="dxa"/>
            </w:tcMar>
          </w:tcPr>
          <w:p>
            <w:pPr>
              <w:jc w:val="right"/>
            </w:pPr>
            <w:r>
              <w:rPr>
                <w:rFonts w:ascii="Aptos" w:hAnsi="Aptos"/>
                <w:sz w:val="16"/>
              </w:rPr>
              <w:t>1,294.00</w:t>
            </w:r>
          </w:p>
        </w:tc>
        <w:tc>
          <w:tcPr>
            <w:tcW w:type="dxa" w:w="1512"/>
            <w:shd w:fill="EEF5FA"/>
            <w:vAlign w:val="center"/>
            <w:tcMar>
              <w:top w:w="75" w:type="dxa"/>
              <w:start w:w="75" w:type="dxa"/>
              <w:bottom w:w="75" w:type="dxa"/>
              <w:end w:w="75" w:type="dxa"/>
            </w:tcMar>
          </w:tcPr>
          <w:p>
            <w:pPr>
              <w:jc w:val="right"/>
            </w:pPr>
            <w:r>
              <w:rPr>
                <w:rFonts w:ascii="Aptos" w:hAnsi="Aptos"/>
                <w:sz w:val="16"/>
              </w:rPr>
              <w:t>1,291.00</w:t>
            </w:r>
          </w:p>
        </w:tc>
        <w:tc>
          <w:tcPr>
            <w:tcW w:type="dxa" w:w="1800"/>
            <w:shd w:fill="EEF5FA"/>
            <w:vAlign w:val="center"/>
            <w:tcMar>
              <w:top w:w="75" w:type="dxa"/>
              <w:start w:w="75" w:type="dxa"/>
              <w:bottom w:w="75" w:type="dxa"/>
              <w:end w:w="75" w:type="dxa"/>
            </w:tcMar>
          </w:tcPr>
          <w:p>
            <w:pPr>
              <w:jc w:val="left"/>
            </w:pPr>
            <w:r>
              <w:rPr>
                <w:rFonts w:ascii="Aptos" w:hAnsi="Aptos"/>
                <w:sz w:val="16"/>
              </w:rPr>
              <w:t>Partial</w:t>
            </w:r>
          </w:p>
        </w:tc>
      </w:tr>
      <w:tr>
        <w:trPr>
          <w:cantSplit/>
        </w:trPr>
        <w:tc>
          <w:tcPr>
            <w:tcW w:type="dxa" w:w="2880"/>
            <w:vAlign w:val="center"/>
            <w:tcMar>
              <w:top w:w="75" w:type="dxa"/>
              <w:start w:w="75" w:type="dxa"/>
              <w:bottom w:w="75" w:type="dxa"/>
              <w:end w:w="75" w:type="dxa"/>
            </w:tcMar>
          </w:tcPr>
          <w:p>
            <w:pPr>
              <w:jc w:val="left"/>
            </w:pPr>
            <w:r>
              <w:rPr>
                <w:rFonts w:ascii="Aptos" w:hAnsi="Aptos"/>
                <w:sz w:val="16"/>
              </w:rPr>
              <w:t>Instructional Supports</w:t>
            </w:r>
          </w:p>
        </w:tc>
        <w:tc>
          <w:tcPr>
            <w:tcW w:type="dxa" w:w="1440"/>
            <w:vAlign w:val="center"/>
            <w:tcMar>
              <w:top w:w="75" w:type="dxa"/>
              <w:start w:w="75" w:type="dxa"/>
              <w:bottom w:w="75" w:type="dxa"/>
              <w:end w:w="75" w:type="dxa"/>
            </w:tcMar>
          </w:tcPr>
          <w:p>
            <w:pPr>
              <w:jc w:val="right"/>
            </w:pPr>
            <w:r>
              <w:rPr>
                <w:rFonts w:ascii="Aptos" w:hAnsi="Aptos"/>
                <w:sz w:val="16"/>
              </w:rPr>
              <w:t>2,463.68</w:t>
            </w:r>
          </w:p>
        </w:tc>
        <w:tc>
          <w:tcPr>
            <w:tcW w:type="dxa" w:w="1440"/>
            <w:vAlign w:val="center"/>
            <w:tcMar>
              <w:top w:w="75" w:type="dxa"/>
              <w:start w:w="75" w:type="dxa"/>
              <w:bottom w:w="75" w:type="dxa"/>
              <w:end w:w="75" w:type="dxa"/>
            </w:tcMar>
          </w:tcPr>
          <w:p>
            <w:pPr>
              <w:jc w:val="right"/>
            </w:pPr>
            <w:r>
              <w:rPr>
                <w:rFonts w:ascii="Aptos" w:hAnsi="Aptos"/>
                <w:sz w:val="16"/>
              </w:rPr>
              <w:t>2,354.73</w:t>
            </w:r>
          </w:p>
        </w:tc>
        <w:tc>
          <w:tcPr>
            <w:tcW w:type="dxa" w:w="1512"/>
            <w:vAlign w:val="center"/>
            <w:tcMar>
              <w:top w:w="75" w:type="dxa"/>
              <w:start w:w="75" w:type="dxa"/>
              <w:bottom w:w="75" w:type="dxa"/>
              <w:end w:w="75" w:type="dxa"/>
            </w:tcMar>
          </w:tcPr>
          <w:p>
            <w:pPr>
              <w:jc w:val="right"/>
            </w:pPr>
            <w:r>
              <w:rPr>
                <w:rFonts w:ascii="Aptos" w:hAnsi="Aptos"/>
                <w:sz w:val="16"/>
              </w:rPr>
              <w:t>2,348.82</w:t>
            </w:r>
          </w:p>
        </w:tc>
        <w:tc>
          <w:tcPr>
            <w:tcW w:type="dxa" w:w="1800"/>
            <w:vAlign w:val="center"/>
            <w:tcMar>
              <w:top w:w="75" w:type="dxa"/>
              <w:start w:w="75" w:type="dxa"/>
              <w:bottom w:w="75" w:type="dxa"/>
              <w:end w:w="75" w:type="dxa"/>
            </w:tcMar>
          </w:tcPr>
          <w:p>
            <w:pPr>
              <w:jc w:val="left"/>
            </w:pPr>
            <w:r>
              <w:rPr>
                <w:rFonts w:ascii="Aptos" w:hAnsi="Aptos"/>
                <w:sz w:val="16"/>
              </w:rPr>
              <w:t>Partial</w:t>
            </w:r>
          </w:p>
        </w:tc>
      </w:tr>
      <w:tr>
        <w:trPr>
          <w:cantSplit/>
        </w:trPr>
        <w:tc>
          <w:tcPr>
            <w:tcW w:type="dxa" w:w="2880"/>
            <w:shd w:fill="EEF5FA"/>
            <w:vAlign w:val="center"/>
            <w:tcMar>
              <w:top w:w="75" w:type="dxa"/>
              <w:start w:w="75" w:type="dxa"/>
              <w:bottom w:w="75" w:type="dxa"/>
              <w:end w:w="75" w:type="dxa"/>
            </w:tcMar>
          </w:tcPr>
          <w:p>
            <w:pPr>
              <w:jc w:val="left"/>
            </w:pPr>
            <w:r>
              <w:rPr>
                <w:rFonts w:ascii="Aptos" w:hAnsi="Aptos"/>
                <w:sz w:val="16"/>
              </w:rPr>
              <w:t>Assistant Superintendent</w:t>
            </w:r>
          </w:p>
        </w:tc>
        <w:tc>
          <w:tcPr>
            <w:tcW w:type="dxa" w:w="1440"/>
            <w:shd w:fill="EEF5FA"/>
            <w:vAlign w:val="center"/>
            <w:tcMar>
              <w:top w:w="75" w:type="dxa"/>
              <w:start w:w="75" w:type="dxa"/>
              <w:bottom w:w="75" w:type="dxa"/>
              <w:end w:w="75" w:type="dxa"/>
            </w:tcMar>
          </w:tcPr>
          <w:p>
            <w:pPr>
              <w:jc w:val="right"/>
            </w:pPr>
            <w:r>
              <w:rPr>
                <w:rFonts w:ascii="Aptos" w:hAnsi="Aptos"/>
                <w:sz w:val="16"/>
              </w:rPr>
              <w:t>19.00</w:t>
            </w:r>
          </w:p>
        </w:tc>
        <w:tc>
          <w:tcPr>
            <w:tcW w:type="dxa" w:w="1440"/>
            <w:shd w:fill="EEF5FA"/>
            <w:vAlign w:val="center"/>
            <w:tcMar>
              <w:top w:w="75" w:type="dxa"/>
              <w:start w:w="75" w:type="dxa"/>
              <w:bottom w:w="75" w:type="dxa"/>
              <w:end w:w="75" w:type="dxa"/>
            </w:tcMar>
          </w:tcPr>
          <w:p>
            <w:pPr>
              <w:jc w:val="right"/>
            </w:pPr>
            <w:r>
              <w:rPr>
                <w:rFonts w:ascii="Aptos" w:hAnsi="Aptos"/>
                <w:sz w:val="16"/>
              </w:rPr>
              <w:t>25.97</w:t>
            </w:r>
          </w:p>
        </w:tc>
        <w:tc>
          <w:tcPr>
            <w:tcW w:type="dxa" w:w="1512"/>
            <w:shd w:fill="EEF5FA"/>
            <w:vAlign w:val="center"/>
            <w:tcMar>
              <w:top w:w="75" w:type="dxa"/>
              <w:start w:w="75" w:type="dxa"/>
              <w:bottom w:w="75" w:type="dxa"/>
              <w:end w:w="75" w:type="dxa"/>
            </w:tcMar>
          </w:tcPr>
          <w:p>
            <w:pPr>
              <w:jc w:val="right"/>
            </w:pPr>
            <w:r>
              <w:rPr>
                <w:rFonts w:ascii="Aptos" w:hAnsi="Aptos"/>
                <w:sz w:val="16"/>
              </w:rPr>
              <w:t>24.00</w:t>
            </w:r>
          </w:p>
        </w:tc>
        <w:tc>
          <w:tcPr>
            <w:tcW w:type="dxa" w:w="1800"/>
            <w:shd w:fill="EEF5FA"/>
            <w:vAlign w:val="center"/>
            <w:tcMar>
              <w:top w:w="75" w:type="dxa"/>
              <w:start w:w="75" w:type="dxa"/>
              <w:bottom w:w="75" w:type="dxa"/>
              <w:end w:w="75" w:type="dxa"/>
            </w:tcMar>
          </w:tcPr>
          <w:p>
            <w:pPr>
              <w:jc w:val="left"/>
            </w:pPr>
            <w:r>
              <w:rPr>
                <w:rFonts w:ascii="Aptos" w:hAnsi="Aptos"/>
                <w:sz w:val="16"/>
              </w:rPr>
              <w:t>Direct</w:t>
            </w:r>
          </w:p>
        </w:tc>
      </w:tr>
      <w:tr>
        <w:trPr>
          <w:cantSplit/>
        </w:trPr>
        <w:tc>
          <w:tcPr>
            <w:tcW w:type="dxa" w:w="2880"/>
            <w:vAlign w:val="center"/>
            <w:tcMar>
              <w:top w:w="75" w:type="dxa"/>
              <w:start w:w="75" w:type="dxa"/>
              <w:bottom w:w="75" w:type="dxa"/>
              <w:end w:w="75" w:type="dxa"/>
            </w:tcMar>
          </w:tcPr>
          <w:p>
            <w:pPr>
              <w:jc w:val="left"/>
            </w:pPr>
            <w:r>
              <w:rPr>
                <w:rFonts w:ascii="Aptos" w:hAnsi="Aptos"/>
                <w:sz w:val="16"/>
              </w:rPr>
              <w:t>Director</w:t>
            </w:r>
          </w:p>
        </w:tc>
        <w:tc>
          <w:tcPr>
            <w:tcW w:type="dxa" w:w="1440"/>
            <w:vAlign w:val="center"/>
            <w:tcMar>
              <w:top w:w="75" w:type="dxa"/>
              <w:start w:w="75" w:type="dxa"/>
              <w:bottom w:w="75" w:type="dxa"/>
              <w:end w:w="75" w:type="dxa"/>
            </w:tcMar>
          </w:tcPr>
          <w:p>
            <w:pPr>
              <w:jc w:val="right"/>
            </w:pPr>
            <w:r>
              <w:rPr>
                <w:rFonts w:ascii="Aptos" w:hAnsi="Aptos"/>
                <w:sz w:val="16"/>
              </w:rPr>
              <w:t>60.00</w:t>
            </w:r>
          </w:p>
        </w:tc>
        <w:tc>
          <w:tcPr>
            <w:tcW w:type="dxa" w:w="1440"/>
            <w:vAlign w:val="center"/>
            <w:tcMar>
              <w:top w:w="75" w:type="dxa"/>
              <w:start w:w="75" w:type="dxa"/>
              <w:bottom w:w="75" w:type="dxa"/>
              <w:end w:w="75" w:type="dxa"/>
            </w:tcMar>
          </w:tcPr>
          <w:p>
            <w:pPr>
              <w:jc w:val="right"/>
            </w:pPr>
            <w:r>
              <w:rPr>
                <w:rFonts w:ascii="Aptos" w:hAnsi="Aptos"/>
                <w:sz w:val="16"/>
              </w:rPr>
              <w:t>75.00</w:t>
            </w:r>
          </w:p>
        </w:tc>
        <w:tc>
          <w:tcPr>
            <w:tcW w:type="dxa" w:w="1512"/>
            <w:vAlign w:val="center"/>
            <w:tcMar>
              <w:top w:w="75" w:type="dxa"/>
              <w:start w:w="75" w:type="dxa"/>
              <w:bottom w:w="75" w:type="dxa"/>
              <w:end w:w="75" w:type="dxa"/>
            </w:tcMar>
          </w:tcPr>
          <w:p>
            <w:pPr>
              <w:jc w:val="right"/>
            </w:pPr>
            <w:r>
              <w:rPr>
                <w:rFonts w:ascii="Aptos" w:hAnsi="Aptos"/>
                <w:sz w:val="16"/>
              </w:rPr>
              <w:t>75.00</w:t>
            </w:r>
          </w:p>
        </w:tc>
        <w:tc>
          <w:tcPr>
            <w:tcW w:type="dxa" w:w="1800"/>
            <w:vAlign w:val="center"/>
            <w:tcMar>
              <w:top w:w="75" w:type="dxa"/>
              <w:start w:w="75" w:type="dxa"/>
              <w:bottom w:w="75" w:type="dxa"/>
              <w:end w:w="75" w:type="dxa"/>
            </w:tcMar>
          </w:tcPr>
          <w:p>
            <w:pPr>
              <w:jc w:val="left"/>
            </w:pPr>
            <w:r>
              <w:rPr>
                <w:rFonts w:ascii="Aptos" w:hAnsi="Aptos"/>
                <w:sz w:val="16"/>
              </w:rPr>
              <w:t>Direct</w:t>
            </w:r>
          </w:p>
        </w:tc>
      </w:tr>
      <w:tr>
        <w:trPr>
          <w:cantSplit/>
        </w:trPr>
        <w:tc>
          <w:tcPr>
            <w:tcW w:type="dxa" w:w="2880"/>
            <w:shd w:fill="EEF5FA"/>
            <w:vAlign w:val="center"/>
            <w:tcMar>
              <w:top w:w="75" w:type="dxa"/>
              <w:start w:w="75" w:type="dxa"/>
              <w:bottom w:w="75" w:type="dxa"/>
              <w:end w:w="75" w:type="dxa"/>
            </w:tcMar>
          </w:tcPr>
          <w:p>
            <w:pPr>
              <w:jc w:val="left"/>
            </w:pPr>
            <w:r>
              <w:rPr>
                <w:rFonts w:ascii="Aptos" w:hAnsi="Aptos"/>
                <w:sz w:val="16"/>
              </w:rPr>
              <w:t>11-Month Supervisor</w:t>
            </w:r>
          </w:p>
        </w:tc>
        <w:tc>
          <w:tcPr>
            <w:tcW w:type="dxa" w:w="1440"/>
            <w:shd w:fill="EEF5FA"/>
            <w:vAlign w:val="center"/>
            <w:tcMar>
              <w:top w:w="75" w:type="dxa"/>
              <w:start w:w="75" w:type="dxa"/>
              <w:bottom w:w="75" w:type="dxa"/>
              <w:end w:w="75" w:type="dxa"/>
            </w:tcMar>
          </w:tcPr>
          <w:p>
            <w:pPr>
              <w:jc w:val="right"/>
            </w:pPr>
            <w:r>
              <w:rPr>
                <w:rFonts w:ascii="Aptos" w:hAnsi="Aptos"/>
                <w:sz w:val="16"/>
              </w:rPr>
              <w:t>78.29</w:t>
            </w:r>
          </w:p>
        </w:tc>
        <w:tc>
          <w:tcPr>
            <w:tcW w:type="dxa" w:w="1440"/>
            <w:shd w:fill="EEF5FA"/>
            <w:vAlign w:val="center"/>
            <w:tcMar>
              <w:top w:w="75" w:type="dxa"/>
              <w:start w:w="75" w:type="dxa"/>
              <w:bottom w:w="75" w:type="dxa"/>
              <w:end w:w="75" w:type="dxa"/>
            </w:tcMar>
          </w:tcPr>
          <w:p>
            <w:pPr>
              <w:jc w:val="right"/>
            </w:pPr>
            <w:r>
              <w:rPr>
                <w:rFonts w:ascii="Aptos" w:hAnsi="Aptos"/>
                <w:sz w:val="16"/>
              </w:rPr>
              <w:t>107.77</w:t>
            </w:r>
          </w:p>
        </w:tc>
        <w:tc>
          <w:tcPr>
            <w:tcW w:type="dxa" w:w="1512"/>
            <w:shd w:fill="EEF5FA"/>
            <w:vAlign w:val="center"/>
            <w:tcMar>
              <w:top w:w="75" w:type="dxa"/>
              <w:start w:w="75" w:type="dxa"/>
              <w:bottom w:w="75" w:type="dxa"/>
              <w:end w:w="75" w:type="dxa"/>
            </w:tcMar>
          </w:tcPr>
          <w:p>
            <w:pPr>
              <w:jc w:val="right"/>
            </w:pPr>
            <w:r>
              <w:rPr>
                <w:rFonts w:ascii="Aptos" w:hAnsi="Aptos"/>
                <w:sz w:val="16"/>
              </w:rPr>
              <w:t>107.54</w:t>
            </w:r>
          </w:p>
        </w:tc>
        <w:tc>
          <w:tcPr>
            <w:tcW w:type="dxa" w:w="1800"/>
            <w:shd w:fill="EEF5FA"/>
            <w:vAlign w:val="center"/>
            <w:tcMar>
              <w:top w:w="75" w:type="dxa"/>
              <w:start w:w="75" w:type="dxa"/>
              <w:bottom w:w="75" w:type="dxa"/>
              <w:end w:w="75" w:type="dxa"/>
            </w:tcMar>
          </w:tcPr>
          <w:p>
            <w:pPr>
              <w:jc w:val="left"/>
            </w:pPr>
            <w:r>
              <w:rPr>
                <w:rFonts w:ascii="Aptos" w:hAnsi="Aptos"/>
                <w:sz w:val="16"/>
              </w:rPr>
              <w:t>Direct</w:t>
            </w:r>
          </w:p>
        </w:tc>
      </w:tr>
    </w:tbl>
    <w:p>
      <w:pPr>
        <w:spacing w:after="100" w:line="259" w:lineRule="auto"/>
      </w:pPr>
    </w:p>
    <w:p>
      <w:pPr>
        <w:spacing w:after="100" w:line="259" w:lineRule="auto"/>
      </w:pPr>
      <w:r>
        <w:rPr>
          <w:rFonts w:ascii="Aptos" w:hAnsi="Aptos"/>
          <w:i/>
          <w:color w:val="000000"/>
          <w:sz w:val="21"/>
        </w:rPr>
        <w:t>Source: 11_three_way_position_comparison.csv. PEFC values use the calculator scope as presented; current and independent values use the final 42-LEA scope.</w:t>
      </w:r>
    </w:p>
    <w:p>
      <w:pPr>
        <w:keepNext/>
        <w:spacing w:before="160" w:after="100" w:line="259" w:lineRule="auto"/>
      </w:pPr>
      <w:r>
        <w:rPr>
          <w:rFonts w:ascii="Aptos" w:hAnsi="Aptos"/>
          <w:b/>
          <w:color w:val="000000"/>
          <w:sz w:val="21"/>
        </w:rPr>
        <w:t>Figure 1. Selected position changes relative to the recreated current model</w:t>
      </w:r>
    </w:p>
    <w:p>
      <w:pPr>
        <w:spacing w:after="100" w:line="259" w:lineRule="auto"/>
        <w:jc w:val="center"/>
      </w:pPr>
      <w:r>
        <w:rPr>
          <w:rFonts w:ascii="Aptos" w:hAnsi="Aptos"/>
          <w:color w:val="000000"/>
          <w:sz w:val="21"/>
        </w:rPr>
        <w:drawing>
          <wp:inline xmlns:a="http://schemas.openxmlformats.org/drawingml/2006/main" xmlns:pic="http://schemas.openxmlformats.org/drawingml/2006/picture">
            <wp:extent cx="5715000" cy="3458080"/>
            <wp:docPr id="2" name="Picture 2" descr="Horizontal bar chart showing selected PEFC and independently reproduced position percentage differences relative to the recreated current model."/>
            <wp:cNvGraphicFramePr>
              <a:graphicFrameLocks noChangeAspect="1"/>
            </wp:cNvGraphicFramePr>
            <a:graphic>
              <a:graphicData uri="http://schemas.openxmlformats.org/drawingml/2006/picture">
                <pic:pic>
                  <pic:nvPicPr>
                    <pic:cNvPr id="0" name="figure_position_changes.png"/>
                    <pic:cNvPicPr/>
                  </pic:nvPicPr>
                  <pic:blipFill>
                    <a:blip r:embed="rId12"/>
                    <a:stretch>
                      <a:fillRect/>
                    </a:stretch>
                  </pic:blipFill>
                  <pic:spPr>
                    <a:xfrm>
                      <a:off x="0" y="0"/>
                      <a:ext cx="5715000" cy="3458080"/>
                    </a:xfrm>
                    <a:prstGeom prst="rect"/>
                  </pic:spPr>
                </pic:pic>
              </a:graphicData>
            </a:graphic>
          </wp:inline>
        </w:drawing>
      </w:r>
    </w:p>
    <w:p>
      <w:pPr>
        <w:spacing w:after="100" w:line="259" w:lineRule="auto"/>
      </w:pPr>
      <w:r>
        <w:rPr>
          <w:rFonts w:ascii="Aptos" w:hAnsi="Aptos"/>
          <w:i/>
          <w:color w:val="000000"/>
          <w:sz w:val="21"/>
        </w:rPr>
        <w:t>Source: 11_three_way_position_comparison.csv. Categories with partial comparability should be read as broad functional groupings, not exact one-to-one positions.</w:t>
      </w:r>
    </w:p>
    <w:p>
      <w:pPr>
        <w:spacing w:after="100" w:line="259" w:lineRule="auto"/>
      </w:pPr>
      <w:r>
        <w:rPr>
          <w:rFonts w:ascii="Aptos" w:hAnsi="Aptos"/>
          <w:color w:val="000000"/>
          <w:sz w:val="21"/>
        </w:rPr>
        <w:t>The independent reproduction produces 29 more principals than the current reconstruction because the proposed rule awards one per calculation unit and charters may have multiple calculator buildings. Assistant Principals increase by 132.85 positions, and Administrative Support Professionals increase by 239. The proposed Instructional Supports total is lower than the mapped current support total by 114.85 positions, but the categories are only partially comparable because the current model identifies individual functions separately.</w:t>
      </w:r>
    </w:p>
    <w:p>
      <w:pPr>
        <w:spacing w:after="100" w:line="259" w:lineRule="auto"/>
      </w:pPr>
      <w:r>
        <w:rPr>
          <w:rFonts w:ascii="Aptos" w:hAnsi="Aptos"/>
          <w:color w:val="000000"/>
          <w:sz w:val="21"/>
        </w:rPr>
        <w:t>Central Office changes are also substantial. The independent reproduction produces 42 Superintendents and 42 Reading Cadre positions because those proposed formulas apply to all included LEAs, compared with 19 district-only positions in the current reconstruction. Assistant Superintendents increase from 19 to 24, Directors from 60 to 75, and 11-Month Supervisors from 78.29 to 107.54.</w:t>
      </w:r>
    </w:p>
    <w:p>
      <w:pPr>
        <w:pStyle w:val="Heading2"/>
        <w:keepNext/>
      </w:pPr>
      <w:r>
        <w:t>5.3 Statewide funding comparison</w:t>
      </w:r>
    </w:p>
    <w:p>
      <w:pPr>
        <w:keepNext/>
        <w:spacing w:before="160" w:after="100" w:line="259" w:lineRule="auto"/>
      </w:pPr>
      <w:r>
        <w:rPr>
          <w:rFonts w:ascii="Aptos" w:hAnsi="Aptos"/>
          <w:b/>
          <w:color w:val="000000"/>
          <w:sz w:val="21"/>
        </w:rPr>
        <w:t>Exhibit 7B. Statewide funding sections and modeled differences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vAlign w:val="center"/>
            <w:shd w:fill="1F4E78"/>
            <w:tcMar>
              <w:top w:w="75" w:type="dxa"/>
              <w:start w:w="75" w:type="dxa"/>
              <w:bottom w:w="75" w:type="dxa"/>
              <w:end w:w="75" w:type="dxa"/>
            </w:tcMar>
          </w:tcPr>
          <w:p>
            <w:pPr>
              <w:jc w:val="center"/>
            </w:pPr>
            <w:r>
              <w:rPr>
                <w:rFonts w:ascii="Aptos" w:hAnsi="Aptos"/>
                <w:b/>
                <w:color w:val="FFFFFF"/>
                <w:sz w:val="16"/>
              </w:rPr>
              <w:t>Funding measure</w:t>
            </w:r>
          </w:p>
        </w:tc>
        <w:tc>
          <w:tcPr>
            <w:tcW w:type="dxa" w:w="1655"/>
            <w:vAlign w:val="center"/>
            <w:shd w:fill="1F4E78"/>
            <w:tcMar>
              <w:top w:w="75" w:type="dxa"/>
              <w:start w:w="75" w:type="dxa"/>
              <w:bottom w:w="75" w:type="dxa"/>
              <w:end w:w="75" w:type="dxa"/>
            </w:tcMar>
          </w:tcPr>
          <w:p>
            <w:pPr>
              <w:jc w:val="center"/>
            </w:pPr>
            <w:r>
              <w:rPr>
                <w:rFonts w:ascii="Aptos" w:hAnsi="Aptos"/>
                <w:b/>
                <w:color w:val="FFFFFF"/>
                <w:sz w:val="16"/>
              </w:rPr>
              <w:t>Recreated current</w:t>
            </w:r>
          </w:p>
        </w:tc>
        <w:tc>
          <w:tcPr>
            <w:tcW w:type="dxa" w:w="1584"/>
            <w:vAlign w:val="center"/>
            <w:shd w:fill="1F4E78"/>
            <w:tcMar>
              <w:top w:w="75" w:type="dxa"/>
              <w:start w:w="75" w:type="dxa"/>
              <w:bottom w:w="75" w:type="dxa"/>
              <w:end w:w="75" w:type="dxa"/>
            </w:tcMar>
          </w:tcPr>
          <w:p>
            <w:pPr>
              <w:jc w:val="center"/>
            </w:pPr>
            <w:r>
              <w:rPr>
                <w:rFonts w:ascii="Aptos" w:hAnsi="Aptos"/>
                <w:b/>
                <w:color w:val="FFFFFF"/>
                <w:sz w:val="16"/>
              </w:rPr>
              <w:t>PEFC as presented</w:t>
            </w:r>
          </w:p>
        </w:tc>
        <w:tc>
          <w:tcPr>
            <w:tcW w:type="dxa" w:w="1655"/>
            <w:vAlign w:val="center"/>
            <w:shd w:fill="1F4E78"/>
            <w:tcMar>
              <w:top w:w="75" w:type="dxa"/>
              <w:start w:w="75" w:type="dxa"/>
              <w:bottom w:w="75" w:type="dxa"/>
              <w:end w:w="75" w:type="dxa"/>
            </w:tcMar>
          </w:tcPr>
          <w:p>
            <w:pPr>
              <w:jc w:val="center"/>
            </w:pPr>
            <w:r>
              <w:rPr>
                <w:rFonts w:ascii="Aptos" w:hAnsi="Aptos"/>
                <w:b/>
                <w:color w:val="FFFFFF"/>
                <w:sz w:val="16"/>
              </w:rPr>
              <w:t>Independent reproduction</w:t>
            </w:r>
          </w:p>
        </w:tc>
        <w:tc>
          <w:tcPr>
            <w:tcW w:type="dxa" w:w="2088"/>
            <w:vAlign w:val="center"/>
            <w:shd w:fill="1F4E78"/>
            <w:tcMar>
              <w:top w:w="75" w:type="dxa"/>
              <w:start w:w="75" w:type="dxa"/>
              <w:bottom w:w="75" w:type="dxa"/>
              <w:end w:w="75" w:type="dxa"/>
            </w:tcMar>
          </w:tcPr>
          <w:p>
            <w:pPr>
              <w:jc w:val="center"/>
            </w:pPr>
            <w:r>
              <w:rPr>
                <w:rFonts w:ascii="Aptos" w:hAnsi="Aptos"/>
                <w:b/>
                <w:color w:val="FFFFFF"/>
                <w:sz w:val="16"/>
              </w:rPr>
              <w:t>Independent difference from current</w:t>
            </w:r>
          </w:p>
        </w:tc>
      </w:tr>
      <w:tr>
        <w:trPr>
          <w:cantSplit/>
        </w:trPr>
        <w:tc>
          <w:tcPr>
            <w:tcW w:type="dxa" w:w="2232"/>
            <w:vAlign w:val="center"/>
            <w:tcMar>
              <w:top w:w="75" w:type="dxa"/>
              <w:start w:w="75" w:type="dxa"/>
              <w:bottom w:w="75" w:type="dxa"/>
              <w:end w:w="75" w:type="dxa"/>
            </w:tcMar>
          </w:tcPr>
          <w:p>
            <w:pPr>
              <w:jc w:val="left"/>
            </w:pPr>
            <w:r>
              <w:rPr>
                <w:rFonts w:ascii="Aptos" w:hAnsi="Aptos"/>
                <w:sz w:val="16"/>
              </w:rPr>
              <w:t>Base Funding</w:t>
            </w:r>
          </w:p>
        </w:tc>
        <w:tc>
          <w:tcPr>
            <w:tcW w:type="dxa" w:w="1655"/>
            <w:vAlign w:val="center"/>
            <w:tcMar>
              <w:top w:w="75" w:type="dxa"/>
              <w:start w:w="75" w:type="dxa"/>
              <w:bottom w:w="75" w:type="dxa"/>
              <w:end w:w="75" w:type="dxa"/>
            </w:tcMar>
          </w:tcPr>
          <w:p>
            <w:pPr>
              <w:jc w:val="right"/>
            </w:pPr>
            <w:r>
              <w:rPr>
                <w:rFonts w:ascii="Aptos" w:hAnsi="Aptos"/>
                <w:sz w:val="16"/>
              </w:rPr>
              <w:t>$1,526.7M</w:t>
            </w:r>
          </w:p>
        </w:tc>
        <w:tc>
          <w:tcPr>
            <w:tcW w:type="dxa" w:w="1584"/>
            <w:vAlign w:val="center"/>
            <w:tcMar>
              <w:top w:w="75" w:type="dxa"/>
              <w:start w:w="75" w:type="dxa"/>
              <w:bottom w:w="75" w:type="dxa"/>
              <w:end w:w="75" w:type="dxa"/>
            </w:tcMar>
          </w:tcPr>
          <w:p>
            <w:pPr>
              <w:jc w:val="right"/>
            </w:pPr>
            <w:r>
              <w:rPr>
                <w:rFonts w:ascii="Aptos" w:hAnsi="Aptos"/>
                <w:sz w:val="16"/>
              </w:rPr>
              <w:t>$1,558.1M</w:t>
            </w:r>
          </w:p>
        </w:tc>
        <w:tc>
          <w:tcPr>
            <w:tcW w:type="dxa" w:w="1655"/>
            <w:vAlign w:val="center"/>
            <w:tcMar>
              <w:top w:w="75" w:type="dxa"/>
              <w:start w:w="75" w:type="dxa"/>
              <w:bottom w:w="75" w:type="dxa"/>
              <w:end w:w="75" w:type="dxa"/>
            </w:tcMar>
          </w:tcPr>
          <w:p>
            <w:pPr>
              <w:jc w:val="right"/>
            </w:pPr>
            <w:r>
              <w:rPr>
                <w:rFonts w:ascii="Aptos" w:hAnsi="Aptos"/>
                <w:sz w:val="16"/>
              </w:rPr>
              <w:t>$1,555.6M</w:t>
            </w:r>
          </w:p>
        </w:tc>
        <w:tc>
          <w:tcPr>
            <w:tcW w:type="dxa" w:w="2088"/>
            <w:vAlign w:val="center"/>
            <w:tcMar>
              <w:top w:w="75" w:type="dxa"/>
              <w:start w:w="75" w:type="dxa"/>
              <w:bottom w:w="75" w:type="dxa"/>
              <w:end w:w="75" w:type="dxa"/>
            </w:tcMar>
          </w:tcPr>
          <w:p>
            <w:pPr>
              <w:jc w:val="right"/>
            </w:pPr>
            <w:r>
              <w:rPr>
                <w:rFonts w:ascii="Aptos" w:hAnsi="Aptos"/>
                <w:sz w:val="16"/>
              </w:rPr>
              <w:t>$28.9M</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Central Office Funding</w:t>
            </w:r>
          </w:p>
        </w:tc>
        <w:tc>
          <w:tcPr>
            <w:tcW w:type="dxa" w:w="1655"/>
            <w:shd w:fill="EEF5FA"/>
            <w:vAlign w:val="center"/>
            <w:tcMar>
              <w:top w:w="75" w:type="dxa"/>
              <w:start w:w="75" w:type="dxa"/>
              <w:bottom w:w="75" w:type="dxa"/>
              <w:end w:w="75" w:type="dxa"/>
            </w:tcMar>
          </w:tcPr>
          <w:p>
            <w:pPr>
              <w:jc w:val="right"/>
            </w:pPr>
            <w:r>
              <w:rPr>
                <w:rFonts w:ascii="Aptos" w:hAnsi="Aptos"/>
                <w:sz w:val="16"/>
              </w:rPr>
              <w:t>$35.6M</w:t>
            </w:r>
          </w:p>
        </w:tc>
        <w:tc>
          <w:tcPr>
            <w:tcW w:type="dxa" w:w="1584"/>
            <w:shd w:fill="EEF5FA"/>
            <w:vAlign w:val="center"/>
            <w:tcMar>
              <w:top w:w="75" w:type="dxa"/>
              <w:start w:w="75" w:type="dxa"/>
              <w:bottom w:w="75" w:type="dxa"/>
              <w:end w:w="75" w:type="dxa"/>
            </w:tcMar>
          </w:tcPr>
          <w:p>
            <w:pPr>
              <w:jc w:val="right"/>
            </w:pPr>
            <w:r>
              <w:rPr>
                <w:rFonts w:ascii="Aptos" w:hAnsi="Aptos"/>
                <w:sz w:val="16"/>
              </w:rPr>
              <w:t>$59.4M</w:t>
            </w:r>
          </w:p>
        </w:tc>
        <w:tc>
          <w:tcPr>
            <w:tcW w:type="dxa" w:w="1655"/>
            <w:shd w:fill="EEF5FA"/>
            <w:vAlign w:val="center"/>
            <w:tcMar>
              <w:top w:w="75" w:type="dxa"/>
              <w:start w:w="75" w:type="dxa"/>
              <w:bottom w:w="75" w:type="dxa"/>
              <w:end w:w="75" w:type="dxa"/>
            </w:tcMar>
          </w:tcPr>
          <w:p>
            <w:pPr>
              <w:jc w:val="right"/>
            </w:pPr>
            <w:r>
              <w:rPr>
                <w:rFonts w:ascii="Aptos" w:hAnsi="Aptos"/>
                <w:sz w:val="16"/>
              </w:rPr>
              <w:t>$58.4M</w:t>
            </w:r>
          </w:p>
        </w:tc>
        <w:tc>
          <w:tcPr>
            <w:tcW w:type="dxa" w:w="2088"/>
            <w:shd w:fill="EEF5FA"/>
            <w:vAlign w:val="center"/>
            <w:tcMar>
              <w:top w:w="75" w:type="dxa"/>
              <w:start w:w="75" w:type="dxa"/>
              <w:bottom w:w="75" w:type="dxa"/>
              <w:end w:w="75" w:type="dxa"/>
            </w:tcMar>
          </w:tcPr>
          <w:p>
            <w:pPr>
              <w:jc w:val="right"/>
            </w:pPr>
            <w:r>
              <w:rPr>
                <w:rFonts w:ascii="Aptos" w:hAnsi="Aptos"/>
                <w:sz w:val="16"/>
              </w:rPr>
              <w:t>$22.8M</w:t>
            </w:r>
          </w:p>
        </w:tc>
      </w:tr>
      <w:tr>
        <w:trPr>
          <w:cantSplit/>
        </w:trPr>
        <w:tc>
          <w:tcPr>
            <w:tcW w:type="dxa" w:w="2232"/>
            <w:vAlign w:val="center"/>
            <w:tcMar>
              <w:top w:w="75" w:type="dxa"/>
              <w:start w:w="75" w:type="dxa"/>
              <w:bottom w:w="75" w:type="dxa"/>
              <w:end w:w="75" w:type="dxa"/>
            </w:tcMar>
          </w:tcPr>
          <w:p>
            <w:pPr>
              <w:jc w:val="left"/>
            </w:pPr>
            <w:r>
              <w:rPr>
                <w:rFonts w:ascii="Aptos" w:hAnsi="Aptos"/>
                <w:sz w:val="16"/>
              </w:rPr>
              <w:t>Position-based Funding</w:t>
            </w:r>
          </w:p>
        </w:tc>
        <w:tc>
          <w:tcPr>
            <w:tcW w:type="dxa" w:w="1655"/>
            <w:vAlign w:val="center"/>
            <w:tcMar>
              <w:top w:w="75" w:type="dxa"/>
              <w:start w:w="75" w:type="dxa"/>
              <w:bottom w:w="75" w:type="dxa"/>
              <w:end w:w="75" w:type="dxa"/>
            </w:tcMar>
          </w:tcPr>
          <w:p>
            <w:pPr>
              <w:jc w:val="right"/>
            </w:pPr>
            <w:r>
              <w:rPr>
                <w:rFonts w:ascii="Aptos" w:hAnsi="Aptos"/>
                <w:sz w:val="16"/>
              </w:rPr>
              <w:t>$1,562.2M</w:t>
            </w:r>
          </w:p>
        </w:tc>
        <w:tc>
          <w:tcPr>
            <w:tcW w:type="dxa" w:w="1584"/>
            <w:vAlign w:val="center"/>
            <w:tcMar>
              <w:top w:w="75" w:type="dxa"/>
              <w:start w:w="75" w:type="dxa"/>
              <w:bottom w:w="75" w:type="dxa"/>
              <w:end w:w="75" w:type="dxa"/>
            </w:tcMar>
          </w:tcPr>
          <w:p>
            <w:pPr>
              <w:jc w:val="right"/>
            </w:pPr>
            <w:r>
              <w:rPr>
                <w:rFonts w:ascii="Aptos" w:hAnsi="Aptos"/>
                <w:sz w:val="16"/>
              </w:rPr>
              <w:t>$1,617.5M</w:t>
            </w:r>
          </w:p>
        </w:tc>
        <w:tc>
          <w:tcPr>
            <w:tcW w:type="dxa" w:w="1655"/>
            <w:vAlign w:val="center"/>
            <w:tcMar>
              <w:top w:w="75" w:type="dxa"/>
              <w:start w:w="75" w:type="dxa"/>
              <w:bottom w:w="75" w:type="dxa"/>
              <w:end w:w="75" w:type="dxa"/>
            </w:tcMar>
          </w:tcPr>
          <w:p>
            <w:pPr>
              <w:jc w:val="right"/>
            </w:pPr>
            <w:r>
              <w:rPr>
                <w:rFonts w:ascii="Aptos" w:hAnsi="Aptos"/>
                <w:sz w:val="16"/>
              </w:rPr>
              <w:t>$1,614.0M</w:t>
            </w:r>
          </w:p>
        </w:tc>
        <w:tc>
          <w:tcPr>
            <w:tcW w:type="dxa" w:w="2088"/>
            <w:vAlign w:val="center"/>
            <w:tcMar>
              <w:top w:w="75" w:type="dxa"/>
              <w:start w:w="75" w:type="dxa"/>
              <w:bottom w:w="75" w:type="dxa"/>
              <w:end w:w="75" w:type="dxa"/>
            </w:tcMar>
          </w:tcPr>
          <w:p>
            <w:pPr>
              <w:jc w:val="right"/>
            </w:pPr>
            <w:r>
              <w:rPr>
                <w:rFonts w:ascii="Aptos" w:hAnsi="Aptos"/>
                <w:sz w:val="16"/>
              </w:rPr>
              <w:t>$51.8M</w:t>
            </w:r>
          </w:p>
        </w:tc>
      </w:tr>
      <w:tr>
        <w:trPr>
          <w:cantSplit/>
        </w:trPr>
        <w:tc>
          <w:tcPr>
            <w:tcW w:type="dxa" w:w="2232"/>
            <w:shd w:fill="EEF5FA"/>
            <w:vAlign w:val="center"/>
            <w:tcMar>
              <w:top w:w="75" w:type="dxa"/>
              <w:start w:w="75" w:type="dxa"/>
              <w:bottom w:w="75" w:type="dxa"/>
              <w:end w:w="75" w:type="dxa"/>
            </w:tcMar>
          </w:tcPr>
          <w:p>
            <w:pPr>
              <w:jc w:val="left"/>
            </w:pPr>
            <w:r>
              <w:rPr>
                <w:rFonts w:ascii="Aptos" w:hAnsi="Aptos"/>
                <w:sz w:val="16"/>
              </w:rPr>
              <w:t>Weighted Funding</w:t>
            </w:r>
          </w:p>
        </w:tc>
        <w:tc>
          <w:tcPr>
            <w:tcW w:type="dxa" w:w="1655"/>
            <w:shd w:fill="EEF5FA"/>
            <w:vAlign w:val="center"/>
            <w:tcMar>
              <w:top w:w="75" w:type="dxa"/>
              <w:start w:w="75" w:type="dxa"/>
              <w:bottom w:w="75" w:type="dxa"/>
              <w:end w:w="75" w:type="dxa"/>
            </w:tcMar>
          </w:tcPr>
          <w:p>
            <w:pPr>
              <w:jc w:val="right"/>
            </w:pPr>
            <w:r>
              <w:rPr>
                <w:rFonts w:ascii="Aptos" w:hAnsi="Aptos"/>
                <w:sz w:val="16"/>
              </w:rPr>
              <w:t>—</w:t>
            </w:r>
          </w:p>
        </w:tc>
        <w:tc>
          <w:tcPr>
            <w:tcW w:type="dxa" w:w="1584"/>
            <w:shd w:fill="EEF5FA"/>
            <w:vAlign w:val="center"/>
            <w:tcMar>
              <w:top w:w="75" w:type="dxa"/>
              <w:start w:w="75" w:type="dxa"/>
              <w:bottom w:w="75" w:type="dxa"/>
              <w:end w:w="75" w:type="dxa"/>
            </w:tcMar>
          </w:tcPr>
          <w:p>
            <w:pPr>
              <w:jc w:val="right"/>
            </w:pPr>
            <w:r>
              <w:rPr>
                <w:rFonts w:ascii="Aptos" w:hAnsi="Aptos"/>
                <w:sz w:val="16"/>
              </w:rPr>
              <w:t>$442.0M</w:t>
            </w:r>
          </w:p>
        </w:tc>
        <w:tc>
          <w:tcPr>
            <w:tcW w:type="dxa" w:w="1655"/>
            <w:shd w:fill="EEF5FA"/>
            <w:vAlign w:val="center"/>
            <w:tcMar>
              <w:top w:w="75" w:type="dxa"/>
              <w:start w:w="75" w:type="dxa"/>
              <w:bottom w:w="75" w:type="dxa"/>
              <w:end w:w="75" w:type="dxa"/>
            </w:tcMar>
          </w:tcPr>
          <w:p>
            <w:pPr>
              <w:jc w:val="right"/>
            </w:pPr>
            <w:r>
              <w:rPr>
                <w:rFonts w:ascii="Aptos" w:hAnsi="Aptos"/>
                <w:sz w:val="16"/>
              </w:rPr>
              <w:t>$442.0M</w:t>
            </w:r>
          </w:p>
        </w:tc>
        <w:tc>
          <w:tcPr>
            <w:tcW w:type="dxa" w:w="2088"/>
            <w:shd w:fill="EEF5FA"/>
            <w:vAlign w:val="center"/>
            <w:tcMar>
              <w:top w:w="75" w:type="dxa"/>
              <w:start w:w="75" w:type="dxa"/>
              <w:bottom w:w="75" w:type="dxa"/>
              <w:end w:w="75" w:type="dxa"/>
            </w:tcMar>
          </w:tcPr>
          <w:p>
            <w:pPr>
              <w:jc w:val="right"/>
            </w:pPr>
            <w:r>
              <w:rPr>
                <w:rFonts w:ascii="Aptos" w:hAnsi="Aptos"/>
                <w:sz w:val="16"/>
              </w:rPr>
              <w:t>—</w:t>
            </w:r>
          </w:p>
        </w:tc>
      </w:tr>
      <w:tr>
        <w:trPr>
          <w:cantSplit/>
        </w:trPr>
        <w:tc>
          <w:tcPr>
            <w:tcW w:type="dxa" w:w="2232"/>
            <w:vAlign w:val="center"/>
            <w:tcMar>
              <w:top w:w="75" w:type="dxa"/>
              <w:start w:w="75" w:type="dxa"/>
              <w:bottom w:w="75" w:type="dxa"/>
              <w:end w:w="75" w:type="dxa"/>
            </w:tcMar>
          </w:tcPr>
          <w:p>
            <w:pPr>
              <w:jc w:val="left"/>
            </w:pPr>
            <w:r>
              <w:rPr>
                <w:rFonts w:ascii="Aptos" w:hAnsi="Aptos"/>
                <w:sz w:val="16"/>
              </w:rPr>
              <w:t>Total modeled funding</w:t>
            </w:r>
          </w:p>
        </w:tc>
        <w:tc>
          <w:tcPr>
            <w:tcW w:type="dxa" w:w="1655"/>
            <w:vAlign w:val="center"/>
            <w:tcMar>
              <w:top w:w="75" w:type="dxa"/>
              <w:start w:w="75" w:type="dxa"/>
              <w:bottom w:w="75" w:type="dxa"/>
              <w:end w:w="75" w:type="dxa"/>
            </w:tcMar>
          </w:tcPr>
          <w:p>
            <w:pPr>
              <w:jc w:val="right"/>
            </w:pPr>
            <w:r>
              <w:rPr>
                <w:rFonts w:ascii="Aptos" w:hAnsi="Aptos"/>
                <w:sz w:val="16"/>
              </w:rPr>
              <w:t>$1,562.2M</w:t>
            </w:r>
          </w:p>
        </w:tc>
        <w:tc>
          <w:tcPr>
            <w:tcW w:type="dxa" w:w="1584"/>
            <w:vAlign w:val="center"/>
            <w:tcMar>
              <w:top w:w="75" w:type="dxa"/>
              <w:start w:w="75" w:type="dxa"/>
              <w:bottom w:w="75" w:type="dxa"/>
              <w:end w:w="75" w:type="dxa"/>
            </w:tcMar>
          </w:tcPr>
          <w:p>
            <w:pPr>
              <w:jc w:val="right"/>
            </w:pPr>
            <w:r>
              <w:rPr>
                <w:rFonts w:ascii="Aptos" w:hAnsi="Aptos"/>
                <w:sz w:val="16"/>
              </w:rPr>
              <w:t>$2,059.6M</w:t>
            </w:r>
          </w:p>
        </w:tc>
        <w:tc>
          <w:tcPr>
            <w:tcW w:type="dxa" w:w="1655"/>
            <w:vAlign w:val="center"/>
            <w:tcMar>
              <w:top w:w="75" w:type="dxa"/>
              <w:start w:w="75" w:type="dxa"/>
              <w:bottom w:w="75" w:type="dxa"/>
              <w:end w:w="75" w:type="dxa"/>
            </w:tcMar>
          </w:tcPr>
          <w:p>
            <w:pPr>
              <w:jc w:val="right"/>
            </w:pPr>
            <w:r>
              <w:rPr>
                <w:rFonts w:ascii="Aptos" w:hAnsi="Aptos"/>
                <w:sz w:val="16"/>
              </w:rPr>
              <w:t>$2,056.1M</w:t>
            </w:r>
          </w:p>
        </w:tc>
        <w:tc>
          <w:tcPr>
            <w:tcW w:type="dxa" w:w="2088"/>
            <w:vAlign w:val="center"/>
            <w:tcMar>
              <w:top w:w="75" w:type="dxa"/>
              <w:start w:w="75" w:type="dxa"/>
              <w:bottom w:w="75" w:type="dxa"/>
              <w:end w:w="75" w:type="dxa"/>
            </w:tcMar>
          </w:tcPr>
          <w:p>
            <w:pPr>
              <w:jc w:val="right"/>
            </w:pPr>
            <w:r>
              <w:rPr>
                <w:rFonts w:ascii="Aptos" w:hAnsi="Aptos"/>
                <w:sz w:val="16"/>
              </w:rPr>
              <w:t>$493.8M</w:t>
            </w:r>
          </w:p>
        </w:tc>
      </w:tr>
    </w:tbl>
    <w:p>
      <w:pPr>
        <w:spacing w:after="100" w:line="259" w:lineRule="auto"/>
      </w:pPr>
    </w:p>
    <w:p>
      <w:pPr>
        <w:spacing w:after="100" w:line="259" w:lineRule="auto"/>
      </w:pPr>
      <w:r>
        <w:rPr>
          <w:rFonts w:ascii="Aptos" w:hAnsi="Aptos"/>
          <w:i/>
          <w:color w:val="000000"/>
          <w:sz w:val="21"/>
        </w:rPr>
        <w:t>Source: 11_three_way_funding_comparison.csv. Weighted and total comparisons have no directly recreated current equivalent and are gross comparisons only.</w:t>
      </w:r>
    </w:p>
    <w:p>
      <w:pPr>
        <w:spacing w:after="100" w:line="259" w:lineRule="auto"/>
      </w:pPr>
      <w:r>
        <w:rPr>
          <w:rFonts w:ascii="Aptos" w:hAnsi="Aptos"/>
          <w:color w:val="000000"/>
          <w:sz w:val="21"/>
        </w:rPr>
        <w:t>The independent Base amount is $28.9 million above the partial current Base amount. Independent Central Office Funding is $22.8 million above the incomplete current Central Office amount. Together, those sections produce the $51.8 million position-based modeled difference, or 3.3%. The $442.0 million in weighted funding has no directly recreated current section, which is why the $493.8 million full-model difference must be treated as gross rather than net.</w:t>
      </w:r>
    </w:p>
    <w:p>
      <w:pPr>
        <w:pStyle w:val="Heading2"/>
        <w:keepNext/>
      </w:pPr>
      <w:r>
        <w:t>5.4 Why the PEFC and independent estimates differ</w:t>
      </w:r>
    </w:p>
    <w:p>
      <w:pPr>
        <w:spacing w:after="100" w:line="259" w:lineRule="auto"/>
      </w:pPr>
      <w:r>
        <w:rPr>
          <w:rFonts w:ascii="Aptos" w:hAnsi="Aptos"/>
          <w:color w:val="000000"/>
          <w:sz w:val="21"/>
        </w:rPr>
        <w:t>The PEFC calculator’s displayed statewide total is $2.0596 billion, while the independent reproduction is $2.0561 billion. On the surface, PEFC is about $3.51 million higher. That comparison mixes different scopes. The PEFC calculator includes DAFB and Bryan Allen Stevenson in its source rows unless a specific formula excludes an entity; the independent reproduction reports the final 42-LEA scope.</w:t>
      </w:r>
    </w:p>
    <w:p>
      <w:pPr>
        <w:spacing w:after="100" w:line="259" w:lineRule="auto"/>
      </w:pPr>
      <w:r>
        <w:rPr>
          <w:rFonts w:ascii="Aptos" w:hAnsi="Aptos"/>
          <w:color w:val="000000"/>
          <w:sz w:val="21"/>
        </w:rPr>
        <w:t>The scope-normalized bridge separates the workbook display, the sum of PEFC LEA rows, the same 42-LEA PEFC scope, and the independent reproduction. After restricting PEFC to the same 42 LEAs, the PEFC total is $2.0519 billion, which is $4.13 million below the independent reproduction. The direction of the difference changes after scope alignment.</w:t>
      </w:r>
    </w:p>
    <w:p>
      <w:pPr>
        <w:keepNext/>
        <w:spacing w:before="160" w:after="100" w:line="259" w:lineRule="auto"/>
      </w:pPr>
      <w:r>
        <w:rPr>
          <w:rFonts w:ascii="Aptos" w:hAnsi="Aptos"/>
          <w:b/>
          <w:color w:val="000000"/>
          <w:sz w:val="21"/>
        </w:rPr>
        <w:t>Exhibit 7C. PEFC scope-normalized funding bridge</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800"/>
            <w:vAlign w:val="center"/>
            <w:shd w:fill="1F4E78"/>
            <w:tcMar>
              <w:top w:w="75" w:type="dxa"/>
              <w:start w:w="75" w:type="dxa"/>
              <w:bottom w:w="75" w:type="dxa"/>
              <w:end w:w="75" w:type="dxa"/>
            </w:tcMar>
          </w:tcPr>
          <w:p>
            <w:pPr>
              <w:jc w:val="center"/>
            </w:pPr>
            <w:r>
              <w:rPr>
                <w:rFonts w:ascii="Aptos" w:hAnsi="Aptos"/>
                <w:b/>
                <w:color w:val="FFFFFF"/>
                <w:sz w:val="15"/>
              </w:rPr>
              <w:t>Measure</w:t>
            </w:r>
          </w:p>
        </w:tc>
        <w:tc>
          <w:tcPr>
            <w:tcW w:type="dxa" w:w="1512"/>
            <w:vAlign w:val="center"/>
            <w:shd w:fill="1F4E78"/>
            <w:tcMar>
              <w:top w:w="75" w:type="dxa"/>
              <w:start w:w="75" w:type="dxa"/>
              <w:bottom w:w="75" w:type="dxa"/>
              <w:end w:w="75" w:type="dxa"/>
            </w:tcMar>
          </w:tcPr>
          <w:p>
            <w:pPr>
              <w:jc w:val="center"/>
            </w:pPr>
            <w:r>
              <w:rPr>
                <w:rFonts w:ascii="Aptos" w:hAnsi="Aptos"/>
                <w:b/>
                <w:color w:val="FFFFFF"/>
                <w:sz w:val="15"/>
              </w:rPr>
              <w:t>PEFC displayed</w:t>
            </w:r>
          </w:p>
        </w:tc>
        <w:tc>
          <w:tcPr>
            <w:tcW w:type="dxa" w:w="1728"/>
            <w:vAlign w:val="center"/>
            <w:shd w:fill="1F4E78"/>
            <w:tcMar>
              <w:top w:w="75" w:type="dxa"/>
              <w:start w:w="75" w:type="dxa"/>
              <w:bottom w:w="75" w:type="dxa"/>
              <w:end w:w="75" w:type="dxa"/>
            </w:tcMar>
          </w:tcPr>
          <w:p>
            <w:pPr>
              <w:jc w:val="center"/>
            </w:pPr>
            <w:r>
              <w:rPr>
                <w:rFonts w:ascii="Aptos" w:hAnsi="Aptos"/>
                <w:b/>
                <w:color w:val="FFFFFF"/>
                <w:sz w:val="15"/>
              </w:rPr>
              <w:t>PEFC final 42-LEA scope</w:t>
            </w:r>
          </w:p>
        </w:tc>
        <w:tc>
          <w:tcPr>
            <w:tcW w:type="dxa" w:w="1655"/>
            <w:vAlign w:val="center"/>
            <w:shd w:fill="1F4E78"/>
            <w:tcMar>
              <w:top w:w="75" w:type="dxa"/>
              <w:start w:w="75" w:type="dxa"/>
              <w:bottom w:w="75" w:type="dxa"/>
              <w:end w:w="75" w:type="dxa"/>
            </w:tcMar>
          </w:tcPr>
          <w:p>
            <w:pPr>
              <w:jc w:val="center"/>
            </w:pPr>
            <w:r>
              <w:rPr>
                <w:rFonts w:ascii="Aptos" w:hAnsi="Aptos"/>
                <w:b/>
                <w:color w:val="FFFFFF"/>
                <w:sz w:val="15"/>
              </w:rPr>
              <w:t>Independent reproduction</w:t>
            </w:r>
          </w:p>
        </w:tc>
        <w:tc>
          <w:tcPr>
            <w:tcW w:type="dxa" w:w="1655"/>
            <w:vAlign w:val="center"/>
            <w:shd w:fill="1F4E78"/>
            <w:tcMar>
              <w:top w:w="75" w:type="dxa"/>
              <w:start w:w="75" w:type="dxa"/>
              <w:bottom w:w="75" w:type="dxa"/>
              <w:end w:w="75" w:type="dxa"/>
            </w:tcMar>
          </w:tcPr>
          <w:p>
            <w:pPr>
              <w:jc w:val="center"/>
            </w:pPr>
            <w:r>
              <w:rPr>
                <w:rFonts w:ascii="Aptos" w:hAnsi="Aptos"/>
                <w:b/>
                <w:color w:val="FFFFFF"/>
                <w:sz w:val="15"/>
              </w:rPr>
              <w:t>Displayed minus independent</w:t>
            </w:r>
          </w:p>
        </w:tc>
        <w:tc>
          <w:tcPr>
            <w:tcW w:type="dxa" w:w="1655"/>
            <w:vAlign w:val="center"/>
            <w:shd w:fill="1F4E78"/>
            <w:tcMar>
              <w:top w:w="75" w:type="dxa"/>
              <w:start w:w="75" w:type="dxa"/>
              <w:bottom w:w="75" w:type="dxa"/>
              <w:end w:w="75" w:type="dxa"/>
            </w:tcMar>
          </w:tcPr>
          <w:p>
            <w:pPr>
              <w:jc w:val="center"/>
            </w:pPr>
            <w:r>
              <w:rPr>
                <w:rFonts w:ascii="Aptos" w:hAnsi="Aptos"/>
                <w:b/>
                <w:color w:val="FFFFFF"/>
                <w:sz w:val="15"/>
              </w:rPr>
              <w:t>Aligned PEFC minus independent</w:t>
            </w:r>
          </w:p>
        </w:tc>
      </w:tr>
      <w:tr>
        <w:trPr>
          <w:cantSplit/>
        </w:trPr>
        <w:tc>
          <w:tcPr>
            <w:tcW w:type="dxa" w:w="1800"/>
            <w:vAlign w:val="center"/>
            <w:tcMar>
              <w:top w:w="75" w:type="dxa"/>
              <w:start w:w="75" w:type="dxa"/>
              <w:bottom w:w="75" w:type="dxa"/>
              <w:end w:w="75" w:type="dxa"/>
            </w:tcMar>
          </w:tcPr>
          <w:p>
            <w:pPr>
              <w:jc w:val="left"/>
            </w:pPr>
            <w:r>
              <w:rPr>
                <w:rFonts w:ascii="Aptos" w:hAnsi="Aptos"/>
                <w:sz w:val="15"/>
              </w:rPr>
              <w:t>Base Funding</w:t>
            </w:r>
          </w:p>
        </w:tc>
        <w:tc>
          <w:tcPr>
            <w:tcW w:type="dxa" w:w="1512"/>
            <w:vAlign w:val="center"/>
            <w:tcMar>
              <w:top w:w="75" w:type="dxa"/>
              <w:start w:w="75" w:type="dxa"/>
              <w:bottom w:w="75" w:type="dxa"/>
              <w:end w:w="75" w:type="dxa"/>
            </w:tcMar>
          </w:tcPr>
          <w:p>
            <w:pPr>
              <w:jc w:val="right"/>
            </w:pPr>
            <w:r>
              <w:rPr>
                <w:rFonts w:ascii="Aptos" w:hAnsi="Aptos"/>
                <w:sz w:val="15"/>
              </w:rPr>
              <w:t>$1,558.1M</w:t>
            </w:r>
          </w:p>
        </w:tc>
        <w:tc>
          <w:tcPr>
            <w:tcW w:type="dxa" w:w="1728"/>
            <w:vAlign w:val="center"/>
            <w:tcMar>
              <w:top w:w="75" w:type="dxa"/>
              <w:start w:w="75" w:type="dxa"/>
              <w:bottom w:w="75" w:type="dxa"/>
              <w:end w:w="75" w:type="dxa"/>
            </w:tcMar>
          </w:tcPr>
          <w:p>
            <w:pPr>
              <w:jc w:val="right"/>
            </w:pPr>
            <w:r>
              <w:rPr>
                <w:rFonts w:ascii="Aptos" w:hAnsi="Aptos"/>
                <w:sz w:val="15"/>
              </w:rPr>
              <w:t>$1,552.1M</w:t>
            </w:r>
          </w:p>
        </w:tc>
        <w:tc>
          <w:tcPr>
            <w:tcW w:type="dxa" w:w="1655"/>
            <w:vAlign w:val="center"/>
            <w:tcMar>
              <w:top w:w="75" w:type="dxa"/>
              <w:start w:w="75" w:type="dxa"/>
              <w:bottom w:w="75" w:type="dxa"/>
              <w:end w:w="75" w:type="dxa"/>
            </w:tcMar>
          </w:tcPr>
          <w:p>
            <w:pPr>
              <w:jc w:val="right"/>
            </w:pPr>
            <w:r>
              <w:rPr>
                <w:rFonts w:ascii="Aptos" w:hAnsi="Aptos"/>
                <w:sz w:val="15"/>
              </w:rPr>
              <w:t>$1,555.6M</w:t>
            </w:r>
          </w:p>
        </w:tc>
        <w:tc>
          <w:tcPr>
            <w:tcW w:type="dxa" w:w="1655"/>
            <w:vAlign w:val="center"/>
            <w:tcMar>
              <w:top w:w="75" w:type="dxa"/>
              <w:start w:w="75" w:type="dxa"/>
              <w:bottom w:w="75" w:type="dxa"/>
              <w:end w:w="75" w:type="dxa"/>
            </w:tcMar>
          </w:tcPr>
          <w:p>
            <w:pPr>
              <w:jc w:val="right"/>
            </w:pPr>
            <w:r>
              <w:rPr>
                <w:rFonts w:ascii="Aptos" w:hAnsi="Aptos"/>
                <w:sz w:val="15"/>
              </w:rPr>
              <w:t>$2.5M</w:t>
            </w:r>
          </w:p>
        </w:tc>
        <w:tc>
          <w:tcPr>
            <w:tcW w:type="dxa" w:w="1655"/>
            <w:vAlign w:val="center"/>
            <w:tcMar>
              <w:top w:w="75" w:type="dxa"/>
              <w:start w:w="75" w:type="dxa"/>
              <w:bottom w:w="75" w:type="dxa"/>
              <w:end w:w="75" w:type="dxa"/>
            </w:tcMar>
          </w:tcPr>
          <w:p>
            <w:pPr>
              <w:jc w:val="right"/>
            </w:pPr>
            <w:r>
              <w:rPr>
                <w:rFonts w:ascii="Aptos" w:hAnsi="Aptos"/>
                <w:sz w:val="15"/>
              </w:rPr>
              <w:t>$-3.5M</w:t>
            </w:r>
          </w:p>
        </w:tc>
      </w:tr>
      <w:tr>
        <w:trPr>
          <w:cantSplit/>
        </w:trPr>
        <w:tc>
          <w:tcPr>
            <w:tcW w:type="dxa" w:w="1800"/>
            <w:shd w:fill="EEF5FA"/>
            <w:vAlign w:val="center"/>
            <w:tcMar>
              <w:top w:w="75" w:type="dxa"/>
              <w:start w:w="75" w:type="dxa"/>
              <w:bottom w:w="75" w:type="dxa"/>
              <w:end w:w="75" w:type="dxa"/>
            </w:tcMar>
          </w:tcPr>
          <w:p>
            <w:pPr>
              <w:jc w:val="left"/>
            </w:pPr>
            <w:r>
              <w:rPr>
                <w:rFonts w:ascii="Aptos" w:hAnsi="Aptos"/>
                <w:sz w:val="15"/>
              </w:rPr>
              <w:t>Central Office Funding</w:t>
            </w:r>
          </w:p>
        </w:tc>
        <w:tc>
          <w:tcPr>
            <w:tcW w:type="dxa" w:w="1512"/>
            <w:shd w:fill="EEF5FA"/>
            <w:vAlign w:val="center"/>
            <w:tcMar>
              <w:top w:w="75" w:type="dxa"/>
              <w:start w:w="75" w:type="dxa"/>
              <w:bottom w:w="75" w:type="dxa"/>
              <w:end w:w="75" w:type="dxa"/>
            </w:tcMar>
          </w:tcPr>
          <w:p>
            <w:pPr>
              <w:jc w:val="right"/>
            </w:pPr>
            <w:r>
              <w:rPr>
                <w:rFonts w:ascii="Aptos" w:hAnsi="Aptos"/>
                <w:sz w:val="15"/>
              </w:rPr>
              <w:t>$59.4M</w:t>
            </w:r>
          </w:p>
        </w:tc>
        <w:tc>
          <w:tcPr>
            <w:tcW w:type="dxa" w:w="1728"/>
            <w:shd w:fill="EEF5FA"/>
            <w:vAlign w:val="center"/>
            <w:tcMar>
              <w:top w:w="75" w:type="dxa"/>
              <w:start w:w="75" w:type="dxa"/>
              <w:bottom w:w="75" w:type="dxa"/>
              <w:end w:w="75" w:type="dxa"/>
            </w:tcMar>
          </w:tcPr>
          <w:p>
            <w:pPr>
              <w:jc w:val="right"/>
            </w:pPr>
            <w:r>
              <w:rPr>
                <w:rFonts w:ascii="Aptos" w:hAnsi="Aptos"/>
                <w:sz w:val="15"/>
              </w:rPr>
              <w:t>$58.7M</w:t>
            </w:r>
          </w:p>
        </w:tc>
        <w:tc>
          <w:tcPr>
            <w:tcW w:type="dxa" w:w="1655"/>
            <w:shd w:fill="EEF5FA"/>
            <w:vAlign w:val="center"/>
            <w:tcMar>
              <w:top w:w="75" w:type="dxa"/>
              <w:start w:w="75" w:type="dxa"/>
              <w:bottom w:w="75" w:type="dxa"/>
              <w:end w:w="75" w:type="dxa"/>
            </w:tcMar>
          </w:tcPr>
          <w:p>
            <w:pPr>
              <w:jc w:val="right"/>
            </w:pPr>
            <w:r>
              <w:rPr>
                <w:rFonts w:ascii="Aptos" w:hAnsi="Aptos"/>
                <w:sz w:val="15"/>
              </w:rPr>
              <w:t>$58.4M</w:t>
            </w:r>
          </w:p>
        </w:tc>
        <w:tc>
          <w:tcPr>
            <w:tcW w:type="dxa" w:w="1655"/>
            <w:shd w:fill="EEF5FA"/>
            <w:vAlign w:val="center"/>
            <w:tcMar>
              <w:top w:w="75" w:type="dxa"/>
              <w:start w:w="75" w:type="dxa"/>
              <w:bottom w:w="75" w:type="dxa"/>
              <w:end w:w="75" w:type="dxa"/>
            </w:tcMar>
          </w:tcPr>
          <w:p>
            <w:pPr>
              <w:jc w:val="right"/>
            </w:pPr>
            <w:r>
              <w:rPr>
                <w:rFonts w:ascii="Aptos" w:hAnsi="Aptos"/>
                <w:sz w:val="15"/>
              </w:rPr>
              <w:t>$1.0M</w:t>
            </w:r>
          </w:p>
        </w:tc>
        <w:tc>
          <w:tcPr>
            <w:tcW w:type="dxa" w:w="1655"/>
            <w:shd w:fill="EEF5FA"/>
            <w:vAlign w:val="center"/>
            <w:tcMar>
              <w:top w:w="75" w:type="dxa"/>
              <w:start w:w="75" w:type="dxa"/>
              <w:bottom w:w="75" w:type="dxa"/>
              <w:end w:w="75" w:type="dxa"/>
            </w:tcMar>
          </w:tcPr>
          <w:p>
            <w:pPr>
              <w:jc w:val="right"/>
            </w:pPr>
            <w:r>
              <w:rPr>
                <w:rFonts w:ascii="Aptos" w:hAnsi="Aptos"/>
                <w:sz w:val="15"/>
              </w:rPr>
              <w:t>$0.3M</w:t>
            </w:r>
          </w:p>
        </w:tc>
      </w:tr>
      <w:tr>
        <w:trPr>
          <w:cantSplit/>
        </w:trPr>
        <w:tc>
          <w:tcPr>
            <w:tcW w:type="dxa" w:w="1800"/>
            <w:vAlign w:val="center"/>
            <w:tcMar>
              <w:top w:w="75" w:type="dxa"/>
              <w:start w:w="75" w:type="dxa"/>
              <w:bottom w:w="75" w:type="dxa"/>
              <w:end w:w="75" w:type="dxa"/>
            </w:tcMar>
          </w:tcPr>
          <w:p>
            <w:pPr>
              <w:jc w:val="left"/>
            </w:pPr>
            <w:r>
              <w:rPr>
                <w:rFonts w:ascii="Aptos" w:hAnsi="Aptos"/>
                <w:sz w:val="15"/>
              </w:rPr>
              <w:t>Position-based Funding</w:t>
            </w:r>
          </w:p>
        </w:tc>
        <w:tc>
          <w:tcPr>
            <w:tcW w:type="dxa" w:w="1512"/>
            <w:vAlign w:val="center"/>
            <w:tcMar>
              <w:top w:w="75" w:type="dxa"/>
              <w:start w:w="75" w:type="dxa"/>
              <w:bottom w:w="75" w:type="dxa"/>
              <w:end w:w="75" w:type="dxa"/>
            </w:tcMar>
          </w:tcPr>
          <w:p>
            <w:pPr>
              <w:jc w:val="right"/>
            </w:pPr>
            <w:r>
              <w:rPr>
                <w:rFonts w:ascii="Aptos" w:hAnsi="Aptos"/>
                <w:sz w:val="15"/>
              </w:rPr>
              <w:t>$1,617.5M</w:t>
            </w:r>
          </w:p>
        </w:tc>
        <w:tc>
          <w:tcPr>
            <w:tcW w:type="dxa" w:w="1728"/>
            <w:vAlign w:val="center"/>
            <w:tcMar>
              <w:top w:w="75" w:type="dxa"/>
              <w:start w:w="75" w:type="dxa"/>
              <w:bottom w:w="75" w:type="dxa"/>
              <w:end w:w="75" w:type="dxa"/>
            </w:tcMar>
          </w:tcPr>
          <w:p>
            <w:pPr>
              <w:jc w:val="right"/>
            </w:pPr>
            <w:r>
              <w:rPr>
                <w:rFonts w:ascii="Aptos" w:hAnsi="Aptos"/>
                <w:sz w:val="15"/>
              </w:rPr>
              <w:t>$1,610.8M</w:t>
            </w:r>
          </w:p>
        </w:tc>
        <w:tc>
          <w:tcPr>
            <w:tcW w:type="dxa" w:w="1655"/>
            <w:vAlign w:val="center"/>
            <w:tcMar>
              <w:top w:w="75" w:type="dxa"/>
              <w:start w:w="75" w:type="dxa"/>
              <w:bottom w:w="75" w:type="dxa"/>
              <w:end w:w="75" w:type="dxa"/>
            </w:tcMar>
          </w:tcPr>
          <w:p>
            <w:pPr>
              <w:jc w:val="right"/>
            </w:pPr>
            <w:r>
              <w:rPr>
                <w:rFonts w:ascii="Aptos" w:hAnsi="Aptos"/>
                <w:sz w:val="15"/>
              </w:rPr>
              <w:t>$1,614.0M</w:t>
            </w:r>
          </w:p>
        </w:tc>
        <w:tc>
          <w:tcPr>
            <w:tcW w:type="dxa" w:w="1655"/>
            <w:vAlign w:val="center"/>
            <w:tcMar>
              <w:top w:w="75" w:type="dxa"/>
              <w:start w:w="75" w:type="dxa"/>
              <w:bottom w:w="75" w:type="dxa"/>
              <w:end w:w="75" w:type="dxa"/>
            </w:tcMar>
          </w:tcPr>
          <w:p>
            <w:pPr>
              <w:jc w:val="right"/>
            </w:pPr>
            <w:r>
              <w:rPr>
                <w:rFonts w:ascii="Aptos" w:hAnsi="Aptos"/>
                <w:sz w:val="15"/>
              </w:rPr>
              <w:t>$3.5M</w:t>
            </w:r>
          </w:p>
        </w:tc>
        <w:tc>
          <w:tcPr>
            <w:tcW w:type="dxa" w:w="1655"/>
            <w:vAlign w:val="center"/>
            <w:tcMar>
              <w:top w:w="75" w:type="dxa"/>
              <w:start w:w="75" w:type="dxa"/>
              <w:bottom w:w="75" w:type="dxa"/>
              <w:end w:w="75" w:type="dxa"/>
            </w:tcMar>
          </w:tcPr>
          <w:p>
            <w:pPr>
              <w:jc w:val="right"/>
            </w:pPr>
            <w:r>
              <w:rPr>
                <w:rFonts w:ascii="Aptos" w:hAnsi="Aptos"/>
                <w:sz w:val="15"/>
              </w:rPr>
              <w:t>$-3.2M</w:t>
            </w:r>
          </w:p>
        </w:tc>
      </w:tr>
      <w:tr>
        <w:trPr>
          <w:cantSplit/>
        </w:trPr>
        <w:tc>
          <w:tcPr>
            <w:tcW w:type="dxa" w:w="1800"/>
            <w:shd w:fill="EEF5FA"/>
            <w:vAlign w:val="center"/>
            <w:tcMar>
              <w:top w:w="75" w:type="dxa"/>
              <w:start w:w="75" w:type="dxa"/>
              <w:bottom w:w="75" w:type="dxa"/>
              <w:end w:w="75" w:type="dxa"/>
            </w:tcMar>
          </w:tcPr>
          <w:p>
            <w:pPr>
              <w:jc w:val="left"/>
            </w:pPr>
            <w:r>
              <w:rPr>
                <w:rFonts w:ascii="Aptos" w:hAnsi="Aptos"/>
                <w:sz w:val="15"/>
              </w:rPr>
              <w:t>Weighted Funding</w:t>
            </w:r>
          </w:p>
        </w:tc>
        <w:tc>
          <w:tcPr>
            <w:tcW w:type="dxa" w:w="1512"/>
            <w:shd w:fill="EEF5FA"/>
            <w:vAlign w:val="center"/>
            <w:tcMar>
              <w:top w:w="75" w:type="dxa"/>
              <w:start w:w="75" w:type="dxa"/>
              <w:bottom w:w="75" w:type="dxa"/>
              <w:end w:w="75" w:type="dxa"/>
            </w:tcMar>
          </w:tcPr>
          <w:p>
            <w:pPr>
              <w:jc w:val="right"/>
            </w:pPr>
            <w:r>
              <w:rPr>
                <w:rFonts w:ascii="Aptos" w:hAnsi="Aptos"/>
                <w:sz w:val="15"/>
              </w:rPr>
              <w:t>$442.0M</w:t>
            </w:r>
          </w:p>
        </w:tc>
        <w:tc>
          <w:tcPr>
            <w:tcW w:type="dxa" w:w="1728"/>
            <w:shd w:fill="EEF5FA"/>
            <w:vAlign w:val="center"/>
            <w:tcMar>
              <w:top w:w="75" w:type="dxa"/>
              <w:start w:w="75" w:type="dxa"/>
              <w:bottom w:w="75" w:type="dxa"/>
              <w:end w:w="75" w:type="dxa"/>
            </w:tcMar>
          </w:tcPr>
          <w:p>
            <w:pPr>
              <w:jc w:val="right"/>
            </w:pPr>
            <w:r>
              <w:rPr>
                <w:rFonts w:ascii="Aptos" w:hAnsi="Aptos"/>
                <w:sz w:val="15"/>
              </w:rPr>
              <w:t>$441.1M</w:t>
            </w:r>
          </w:p>
        </w:tc>
        <w:tc>
          <w:tcPr>
            <w:tcW w:type="dxa" w:w="1655"/>
            <w:shd w:fill="EEF5FA"/>
            <w:vAlign w:val="center"/>
            <w:tcMar>
              <w:top w:w="75" w:type="dxa"/>
              <w:start w:w="75" w:type="dxa"/>
              <w:bottom w:w="75" w:type="dxa"/>
              <w:end w:w="75" w:type="dxa"/>
            </w:tcMar>
          </w:tcPr>
          <w:p>
            <w:pPr>
              <w:jc w:val="right"/>
            </w:pPr>
            <w:r>
              <w:rPr>
                <w:rFonts w:ascii="Aptos" w:hAnsi="Aptos"/>
                <w:sz w:val="15"/>
              </w:rPr>
              <w:t>$442.0M</w:t>
            </w:r>
          </w:p>
        </w:tc>
        <w:tc>
          <w:tcPr>
            <w:tcW w:type="dxa" w:w="1655"/>
            <w:shd w:fill="EEF5FA"/>
            <w:vAlign w:val="center"/>
            <w:tcMar>
              <w:top w:w="75" w:type="dxa"/>
              <w:start w:w="75" w:type="dxa"/>
              <w:bottom w:w="75" w:type="dxa"/>
              <w:end w:w="75" w:type="dxa"/>
            </w:tcMar>
          </w:tcPr>
          <w:p>
            <w:pPr>
              <w:jc w:val="right"/>
            </w:pPr>
            <w:r>
              <w:rPr>
                <w:rFonts w:ascii="Aptos" w:hAnsi="Aptos"/>
                <w:sz w:val="15"/>
              </w:rPr>
              <w:t>$0.0M</w:t>
            </w:r>
          </w:p>
        </w:tc>
        <w:tc>
          <w:tcPr>
            <w:tcW w:type="dxa" w:w="1655"/>
            <w:shd w:fill="EEF5FA"/>
            <w:vAlign w:val="center"/>
            <w:tcMar>
              <w:top w:w="75" w:type="dxa"/>
              <w:start w:w="75" w:type="dxa"/>
              <w:bottom w:w="75" w:type="dxa"/>
              <w:end w:w="75" w:type="dxa"/>
            </w:tcMar>
          </w:tcPr>
          <w:p>
            <w:pPr>
              <w:jc w:val="right"/>
            </w:pPr>
            <w:r>
              <w:rPr>
                <w:rFonts w:ascii="Aptos" w:hAnsi="Aptos"/>
                <w:sz w:val="15"/>
              </w:rPr>
              <w:t>$-0.9M</w:t>
            </w:r>
          </w:p>
        </w:tc>
      </w:tr>
      <w:tr>
        <w:trPr>
          <w:cantSplit/>
        </w:trPr>
        <w:tc>
          <w:tcPr>
            <w:tcW w:type="dxa" w:w="1800"/>
            <w:vAlign w:val="center"/>
            <w:tcMar>
              <w:top w:w="75" w:type="dxa"/>
              <w:start w:w="75" w:type="dxa"/>
              <w:bottom w:w="75" w:type="dxa"/>
              <w:end w:w="75" w:type="dxa"/>
            </w:tcMar>
          </w:tcPr>
          <w:p>
            <w:pPr>
              <w:jc w:val="left"/>
            </w:pPr>
            <w:r>
              <w:rPr>
                <w:rFonts w:ascii="Aptos" w:hAnsi="Aptos"/>
                <w:sz w:val="15"/>
              </w:rPr>
              <w:t>Total modeled funding</w:t>
            </w:r>
          </w:p>
        </w:tc>
        <w:tc>
          <w:tcPr>
            <w:tcW w:type="dxa" w:w="1512"/>
            <w:vAlign w:val="center"/>
            <w:tcMar>
              <w:top w:w="75" w:type="dxa"/>
              <w:start w:w="75" w:type="dxa"/>
              <w:bottom w:w="75" w:type="dxa"/>
              <w:end w:w="75" w:type="dxa"/>
            </w:tcMar>
          </w:tcPr>
          <w:p>
            <w:pPr>
              <w:jc w:val="right"/>
            </w:pPr>
            <w:r>
              <w:rPr>
                <w:rFonts w:ascii="Aptos" w:hAnsi="Aptos"/>
                <w:sz w:val="15"/>
              </w:rPr>
              <w:t>$2,059.6M</w:t>
            </w:r>
          </w:p>
        </w:tc>
        <w:tc>
          <w:tcPr>
            <w:tcW w:type="dxa" w:w="1728"/>
            <w:vAlign w:val="center"/>
            <w:tcMar>
              <w:top w:w="75" w:type="dxa"/>
              <w:start w:w="75" w:type="dxa"/>
              <w:bottom w:w="75" w:type="dxa"/>
              <w:end w:w="75" w:type="dxa"/>
            </w:tcMar>
          </w:tcPr>
          <w:p>
            <w:pPr>
              <w:jc w:val="right"/>
            </w:pPr>
            <w:r>
              <w:rPr>
                <w:rFonts w:ascii="Aptos" w:hAnsi="Aptos"/>
                <w:sz w:val="15"/>
              </w:rPr>
              <w:t>$2,051.9M</w:t>
            </w:r>
          </w:p>
        </w:tc>
        <w:tc>
          <w:tcPr>
            <w:tcW w:type="dxa" w:w="1655"/>
            <w:vAlign w:val="center"/>
            <w:tcMar>
              <w:top w:w="75" w:type="dxa"/>
              <w:start w:w="75" w:type="dxa"/>
              <w:bottom w:w="75" w:type="dxa"/>
              <w:end w:w="75" w:type="dxa"/>
            </w:tcMar>
          </w:tcPr>
          <w:p>
            <w:pPr>
              <w:jc w:val="right"/>
            </w:pPr>
            <w:r>
              <w:rPr>
                <w:rFonts w:ascii="Aptos" w:hAnsi="Aptos"/>
                <w:sz w:val="15"/>
              </w:rPr>
              <w:t>$2,056.1M</w:t>
            </w:r>
          </w:p>
        </w:tc>
        <w:tc>
          <w:tcPr>
            <w:tcW w:type="dxa" w:w="1655"/>
            <w:vAlign w:val="center"/>
            <w:tcMar>
              <w:top w:w="75" w:type="dxa"/>
              <w:start w:w="75" w:type="dxa"/>
              <w:bottom w:w="75" w:type="dxa"/>
              <w:end w:w="75" w:type="dxa"/>
            </w:tcMar>
          </w:tcPr>
          <w:p>
            <w:pPr>
              <w:jc w:val="right"/>
            </w:pPr>
            <w:r>
              <w:rPr>
                <w:rFonts w:ascii="Aptos" w:hAnsi="Aptos"/>
                <w:sz w:val="15"/>
              </w:rPr>
              <w:t>$3.5M</w:t>
            </w:r>
          </w:p>
        </w:tc>
        <w:tc>
          <w:tcPr>
            <w:tcW w:type="dxa" w:w="1655"/>
            <w:vAlign w:val="center"/>
            <w:tcMar>
              <w:top w:w="75" w:type="dxa"/>
              <w:start w:w="75" w:type="dxa"/>
              <w:bottom w:w="75" w:type="dxa"/>
              <w:end w:w="75" w:type="dxa"/>
            </w:tcMar>
          </w:tcPr>
          <w:p>
            <w:pPr>
              <w:jc w:val="right"/>
            </w:pPr>
            <w:r>
              <w:rPr>
                <w:rFonts w:ascii="Aptos" w:hAnsi="Aptos"/>
                <w:sz w:val="15"/>
              </w:rPr>
              <w:t>$-4.1M</w:t>
            </w:r>
          </w:p>
        </w:tc>
      </w:tr>
    </w:tbl>
    <w:p>
      <w:pPr>
        <w:spacing w:after="100" w:line="259" w:lineRule="auto"/>
      </w:pPr>
    </w:p>
    <w:p>
      <w:pPr>
        <w:spacing w:after="100" w:line="259" w:lineRule="auto"/>
      </w:pPr>
      <w:r>
        <w:rPr>
          <w:rFonts w:ascii="Aptos" w:hAnsi="Aptos"/>
          <w:i/>
          <w:color w:val="000000"/>
          <w:sz w:val="21"/>
        </w:rPr>
        <w:t>Source: 11_pefc_scope_normalized_comparison.csv. This is a reporting bridge, not a formal causal decomposition.</w:t>
      </w:r>
    </w:p>
    <w:p>
      <w:pPr>
        <w:keepNext/>
        <w:spacing w:before="160" w:after="100" w:line="259" w:lineRule="auto"/>
      </w:pPr>
      <w:r>
        <w:rPr>
          <w:rFonts w:ascii="Aptos" w:hAnsi="Aptos"/>
          <w:b/>
          <w:color w:val="000000"/>
          <w:sz w:val="21"/>
        </w:rPr>
        <w:t>Figure 2. Difference from the independent reproduction across PEFC scope stages</w:t>
      </w:r>
    </w:p>
    <w:p>
      <w:pPr>
        <w:spacing w:after="100" w:line="259" w:lineRule="auto"/>
        <w:jc w:val="center"/>
      </w:pPr>
      <w:r>
        <w:rPr>
          <w:rFonts w:ascii="Aptos" w:hAnsi="Aptos"/>
          <w:color w:val="000000"/>
          <w:sz w:val="21"/>
        </w:rPr>
        <w:drawing>
          <wp:inline xmlns:a="http://schemas.openxmlformats.org/drawingml/2006/main" xmlns:pic="http://schemas.openxmlformats.org/drawingml/2006/picture">
            <wp:extent cx="5715000" cy="2876764"/>
            <wp:docPr id="3" name="Picture 3" descr="Bar chart showing total modeled funding differences from the independent reproduction at PEFC displayed, summed LEA, aligned 42-LEA, and independent stages."/>
            <wp:cNvGraphicFramePr>
              <a:graphicFrameLocks noChangeAspect="1"/>
            </wp:cNvGraphicFramePr>
            <a:graphic>
              <a:graphicData uri="http://schemas.openxmlformats.org/drawingml/2006/picture">
                <pic:pic>
                  <pic:nvPicPr>
                    <pic:cNvPr id="0" name="figure_scope_bridge.png"/>
                    <pic:cNvPicPr/>
                  </pic:nvPicPr>
                  <pic:blipFill>
                    <a:blip r:embed="rId13"/>
                    <a:stretch>
                      <a:fillRect/>
                    </a:stretch>
                  </pic:blipFill>
                  <pic:spPr>
                    <a:xfrm>
                      <a:off x="0" y="0"/>
                      <a:ext cx="5715000" cy="2876764"/>
                    </a:xfrm>
                    <a:prstGeom prst="rect"/>
                  </pic:spPr>
                </pic:pic>
              </a:graphicData>
            </a:graphic>
          </wp:inline>
        </w:drawing>
      </w:r>
    </w:p>
    <w:p>
      <w:pPr>
        <w:spacing w:after="100" w:line="259" w:lineRule="auto"/>
      </w:pPr>
      <w:r>
        <w:rPr>
          <w:rFonts w:ascii="Aptos" w:hAnsi="Aptos"/>
          <w:i/>
          <w:color w:val="000000"/>
          <w:sz w:val="21"/>
        </w:rPr>
        <w:t>Source: 11_pefc_scope_normalized_comparison.csv. Values shown in millions of dollars.</w:t>
      </w:r>
    </w:p>
    <w:p>
      <w:pPr>
        <w:spacing w:after="100" w:line="259" w:lineRule="auto"/>
      </w:pPr>
      <w:r>
        <w:rPr>
          <w:rFonts w:ascii="Aptos" w:hAnsi="Aptos"/>
          <w:color w:val="000000"/>
          <w:sz w:val="21"/>
        </w:rPr>
        <w:t>Within the aligned scope, PEFC Base Funding is $3.51 million below the independent reproduction, PEFC Central Office Funding is $0.31 million above it, and PEFC weighted funding is $0.93 million below it. The weighted difference occurs because simply dropping excluded PEFC LEA amounts does not redistribute the fixed pools, while the independent pipeline recalculates the rates so that the full $442.0268 million is distributed across the remaining eligible weighted units.</w:t>
      </w:r>
    </w:p>
    <w:p>
      <w:pPr>
        <w:spacing w:after="100" w:line="259" w:lineRule="auto"/>
      </w:pPr>
      <w:r>
        <w:rPr>
          <w:rFonts w:ascii="Aptos" w:hAnsi="Aptos"/>
          <w:color w:val="000000"/>
          <w:sz w:val="21"/>
        </w:rPr>
        <w:t>The remaining aligned difference also reflects source inputs, calculation units, and formula interpretations. The independent reproduction has 252 principals compared with 249 in the PEFC display, retains written 0.65 and 1.65 assistant-principal awards, and uses completed thresholds for Assistant Superintendent positions rather than a proportional fractional result.</w:t>
      </w:r>
    </w:p>
    <w:p>
      <w:pPr>
        <w:pStyle w:val="Heading2"/>
        <w:keepNext/>
      </w:pPr>
      <w:r>
        <w:t>5.5 LEA-level distribution</w:t>
      </w:r>
    </w:p>
    <w:p>
      <w:pPr>
        <w:spacing w:after="100" w:line="259" w:lineRule="auto"/>
      </w:pPr>
      <w:r>
        <w:rPr>
          <w:rFonts w:ascii="Aptos" w:hAnsi="Aptos"/>
          <w:color w:val="000000"/>
          <w:sz w:val="21"/>
        </w:rPr>
        <w:t>The statewide aggregate summarizes total dollars, but it does not describe how the modeled changes are distributed across LEAs. In the preliminary position-based comparison, 41 of 42 included LEAs increase and one district, Christina, decreases by 0.4%. The median LEA change is 9.4%, with the middle half ranging from 3.1% to 15.3%.</w:t>
      </w:r>
    </w:p>
    <w:p>
      <w:pPr>
        <w:spacing w:after="100" w:line="259" w:lineRule="auto"/>
      </w:pPr>
      <w:r>
        <w:rPr>
          <w:rFonts w:ascii="Aptos" w:hAnsi="Aptos"/>
          <w:color w:val="000000"/>
          <w:sz w:val="21"/>
        </w:rPr>
        <w:t>Under the gross full-model comparison, all 42 LEAs increase. The median modeled change is 39.6%, and the middle half ranges from 29.6% to 48.4%. These larger percentages should not be read as confirmed net gains because the current baseline is incomplete and the weighted pools have not been netted against all existing appropriations.</w:t>
      </w:r>
    </w:p>
    <w:p>
      <w:pPr>
        <w:spacing w:after="100" w:line="259" w:lineRule="auto"/>
      </w:pPr>
      <w:r>
        <w:rPr>
          <w:rFonts w:ascii="Aptos" w:hAnsi="Aptos"/>
          <w:color w:val="000000"/>
          <w:sz w:val="21"/>
        </w:rPr>
        <w:t>Charters show larger percentage changes than districts in this modeling exercise. Aggregate charter position-based funding increases by 11.4%, compared with 2.3% for districts. Under the gross full model, the aggregate changes are 40.7% for charters and 30.5% for districts. Smaller LEAs can show large percentage changes even when their dollar differences are modest, so both measures should be considered together.</w:t>
      </w:r>
    </w:p>
    <w:p>
      <w:pPr>
        <w:keepNext/>
        <w:spacing w:before="160" w:after="100" w:line="259" w:lineRule="auto"/>
      </w:pPr>
      <w:r>
        <w:rPr>
          <w:rFonts w:ascii="Aptos" w:hAnsi="Aptos"/>
          <w:b/>
          <w:color w:val="000000"/>
          <w:sz w:val="21"/>
        </w:rPr>
        <w:t>Figure 3. LEA modeled percentage differences by LEA type</w:t>
      </w:r>
    </w:p>
    <w:p>
      <w:pPr>
        <w:spacing w:after="100" w:line="259" w:lineRule="auto"/>
        <w:jc w:val="center"/>
      </w:pPr>
      <w:r>
        <w:rPr>
          <w:rFonts w:ascii="Aptos" w:hAnsi="Aptos"/>
          <w:color w:val="000000"/>
          <w:sz w:val="21"/>
        </w:rPr>
        <w:drawing>
          <wp:inline xmlns:a="http://schemas.openxmlformats.org/drawingml/2006/main" xmlns:pic="http://schemas.openxmlformats.org/drawingml/2006/picture">
            <wp:extent cx="5715000" cy="3371207"/>
            <wp:docPr id="4" name="Picture 4" descr="Box and point plot showing position-based and gross full-model percentage differences for district and charter LEAs."/>
            <wp:cNvGraphicFramePr>
              <a:graphicFrameLocks noChangeAspect="1"/>
            </wp:cNvGraphicFramePr>
            <a:graphic>
              <a:graphicData uri="http://schemas.openxmlformats.org/drawingml/2006/picture">
                <pic:pic>
                  <pic:nvPicPr>
                    <pic:cNvPr id="0" name="figure_lea_distribution.png"/>
                    <pic:cNvPicPr/>
                  </pic:nvPicPr>
                  <pic:blipFill>
                    <a:blip r:embed="rId14"/>
                    <a:stretch>
                      <a:fillRect/>
                    </a:stretch>
                  </pic:blipFill>
                  <pic:spPr>
                    <a:xfrm>
                      <a:off x="0" y="0"/>
                      <a:ext cx="5715000" cy="3371207"/>
                    </a:xfrm>
                    <a:prstGeom prst="rect"/>
                  </pic:spPr>
                </pic:pic>
              </a:graphicData>
            </a:graphic>
          </wp:inline>
        </w:drawing>
      </w:r>
    </w:p>
    <w:p>
      <w:pPr>
        <w:spacing w:after="100" w:line="259" w:lineRule="auto"/>
      </w:pPr>
      <w:r>
        <w:rPr>
          <w:rFonts w:ascii="Aptos" w:hAnsi="Aptos"/>
          <w:i/>
          <w:color w:val="000000"/>
          <w:sz w:val="21"/>
        </w:rPr>
        <w:t>Source: 11_figure_lea_change_by_type.csv and 11_lea_distribution_for_report.csv. Percentages compare proposed modeled funding with the partial recreated current baseline.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304"/>
            <w:vAlign w:val="center"/>
            <w:shd w:fill="1F4E78"/>
            <w:tcMar>
              <w:top w:w="75" w:type="dxa"/>
              <w:start w:w="75" w:type="dxa"/>
              <w:bottom w:w="75" w:type="dxa"/>
              <w:end w:w="75" w:type="dxa"/>
            </w:tcMar>
          </w:tcPr>
          <w:p>
            <w:pPr>
              <w:keepNext/>
              <w:jc w:val="center"/>
            </w:pPr>
            <w:r>
              <w:rPr>
                <w:rFonts w:ascii="Aptos" w:hAnsi="Aptos"/>
                <w:b/>
                <w:color w:val="FFFFFF"/>
                <w:sz w:val="16"/>
              </w:rPr>
              <w:t>Comparison</w:t>
            </w:r>
          </w:p>
        </w:tc>
        <w:tc>
          <w:tcPr>
            <w:tcW w:type="dxa" w:w="864"/>
            <w:vAlign w:val="center"/>
            <w:shd w:fill="1F4E78"/>
            <w:tcMar>
              <w:top w:w="75" w:type="dxa"/>
              <w:start w:w="75" w:type="dxa"/>
              <w:bottom w:w="75" w:type="dxa"/>
              <w:end w:w="75" w:type="dxa"/>
            </w:tcMar>
          </w:tcPr>
          <w:p>
            <w:pPr>
              <w:keepNext/>
              <w:jc w:val="center"/>
            </w:pPr>
            <w:r>
              <w:rPr>
                <w:rFonts w:ascii="Aptos" w:hAnsi="Aptos"/>
                <w:b/>
                <w:color w:val="FFFFFF"/>
                <w:sz w:val="16"/>
              </w:rPr>
              <w:t>LEAs</w:t>
            </w:r>
          </w:p>
        </w:tc>
        <w:tc>
          <w:tcPr>
            <w:tcW w:type="dxa" w:w="1728"/>
            <w:vAlign w:val="center"/>
            <w:shd w:fill="1F4E78"/>
            <w:tcMar>
              <w:top w:w="75" w:type="dxa"/>
              <w:start w:w="75" w:type="dxa"/>
              <w:bottom w:w="75" w:type="dxa"/>
              <w:end w:w="75" w:type="dxa"/>
            </w:tcMar>
          </w:tcPr>
          <w:p>
            <w:pPr>
              <w:keepNext/>
              <w:jc w:val="center"/>
            </w:pPr>
            <w:r>
              <w:rPr>
                <w:rFonts w:ascii="Aptos" w:hAnsi="Aptos"/>
                <w:b/>
                <w:color w:val="FFFFFF"/>
                <w:sz w:val="16"/>
              </w:rPr>
              <w:t>Aggregate change</w:t>
            </w:r>
          </w:p>
        </w:tc>
        <w:tc>
          <w:tcPr>
            <w:tcW w:type="dxa" w:w="1800"/>
            <w:vAlign w:val="center"/>
            <w:shd w:fill="1F4E78"/>
            <w:tcMar>
              <w:top w:w="75" w:type="dxa"/>
              <w:start w:w="75" w:type="dxa"/>
              <w:bottom w:w="75" w:type="dxa"/>
              <w:end w:w="75" w:type="dxa"/>
            </w:tcMar>
          </w:tcPr>
          <w:p>
            <w:pPr>
              <w:keepNext/>
              <w:jc w:val="center"/>
            </w:pPr>
            <w:r>
              <w:rPr>
                <w:rFonts w:ascii="Aptos" w:hAnsi="Aptos"/>
                <w:b/>
                <w:color w:val="FFFFFF"/>
                <w:sz w:val="16"/>
              </w:rPr>
              <w:t>Median LEA change</w:t>
            </w:r>
          </w:p>
        </w:tc>
        <w:tc>
          <w:tcPr>
            <w:tcW w:type="dxa" w:w="2376"/>
            <w:vAlign w:val="center"/>
            <w:shd w:fill="1F4E78"/>
            <w:tcMar>
              <w:top w:w="75" w:type="dxa"/>
              <w:start w:w="75" w:type="dxa"/>
              <w:bottom w:w="75" w:type="dxa"/>
              <w:end w:w="75" w:type="dxa"/>
            </w:tcMar>
          </w:tcPr>
          <w:p>
            <w:pPr>
              <w:keepNext/>
              <w:jc w:val="center"/>
            </w:pPr>
            <w:r>
              <w:rPr>
                <w:rFonts w:ascii="Aptos" w:hAnsi="Aptos"/>
                <w:b/>
                <w:color w:val="FFFFFF"/>
                <w:sz w:val="16"/>
              </w:rPr>
              <w:t>Direction</w:t>
            </w:r>
          </w:p>
        </w:tc>
      </w:tr>
      <w:tr>
        <w:trPr>
          <w:cantSplit/>
        </w:trPr>
        <w:tc>
          <w:tcPr>
            <w:tcW w:type="dxa" w:w="2304"/>
            <w:vAlign w:val="center"/>
            <w:tcMar>
              <w:top w:w="75" w:type="dxa"/>
              <w:start w:w="75" w:type="dxa"/>
              <w:bottom w:w="75" w:type="dxa"/>
              <w:end w:w="75" w:type="dxa"/>
            </w:tcMar>
          </w:tcPr>
          <w:p>
            <w:pPr>
              <w:keepNext/>
              <w:jc w:val="left"/>
            </w:pPr>
            <w:r>
              <w:rPr>
                <w:rFonts w:ascii="Aptos" w:hAnsi="Aptos"/>
                <w:sz w:val="16"/>
              </w:rPr>
              <w:t>Position-based</w:t>
            </w:r>
          </w:p>
        </w:tc>
        <w:tc>
          <w:tcPr>
            <w:tcW w:type="dxa" w:w="864"/>
            <w:vAlign w:val="center"/>
            <w:tcMar>
              <w:top w:w="75" w:type="dxa"/>
              <w:start w:w="75" w:type="dxa"/>
              <w:bottom w:w="75" w:type="dxa"/>
              <w:end w:w="75" w:type="dxa"/>
            </w:tcMar>
          </w:tcPr>
          <w:p>
            <w:pPr>
              <w:keepNext/>
              <w:jc w:val="right"/>
            </w:pPr>
            <w:r>
              <w:rPr>
                <w:rFonts w:ascii="Aptos" w:hAnsi="Aptos"/>
                <w:sz w:val="16"/>
              </w:rPr>
              <w:t>42</w:t>
            </w:r>
          </w:p>
        </w:tc>
        <w:tc>
          <w:tcPr>
            <w:tcW w:type="dxa" w:w="1728"/>
            <w:vAlign w:val="center"/>
            <w:tcMar>
              <w:top w:w="75" w:type="dxa"/>
              <w:start w:w="75" w:type="dxa"/>
              <w:bottom w:w="75" w:type="dxa"/>
              <w:end w:w="75" w:type="dxa"/>
            </w:tcMar>
          </w:tcPr>
          <w:p>
            <w:pPr>
              <w:keepNext/>
              <w:jc w:val="right"/>
            </w:pPr>
            <w:r>
              <w:rPr>
                <w:rFonts w:ascii="Aptos" w:hAnsi="Aptos"/>
                <w:sz w:val="16"/>
              </w:rPr>
              <w:t>3.3%</w:t>
            </w:r>
          </w:p>
        </w:tc>
        <w:tc>
          <w:tcPr>
            <w:tcW w:type="dxa" w:w="1800"/>
            <w:vAlign w:val="center"/>
            <w:tcMar>
              <w:top w:w="75" w:type="dxa"/>
              <w:start w:w="75" w:type="dxa"/>
              <w:bottom w:w="75" w:type="dxa"/>
              <w:end w:w="75" w:type="dxa"/>
            </w:tcMar>
          </w:tcPr>
          <w:p>
            <w:pPr>
              <w:keepNext/>
              <w:jc w:val="right"/>
            </w:pPr>
            <w:r>
              <w:rPr>
                <w:rFonts w:ascii="Aptos" w:hAnsi="Aptos"/>
                <w:sz w:val="16"/>
              </w:rPr>
              <w:t>9.4%</w:t>
            </w:r>
          </w:p>
        </w:tc>
        <w:tc>
          <w:tcPr>
            <w:tcW w:type="dxa" w:w="2376"/>
            <w:vAlign w:val="center"/>
            <w:tcMar>
              <w:top w:w="75" w:type="dxa"/>
              <w:start w:w="75" w:type="dxa"/>
              <w:bottom w:w="75" w:type="dxa"/>
              <w:end w:w="75" w:type="dxa"/>
            </w:tcMar>
          </w:tcPr>
          <w:p>
            <w:pPr>
              <w:keepNext/>
              <w:jc w:val="left"/>
            </w:pPr>
            <w:r>
              <w:rPr>
                <w:rFonts w:ascii="Aptos" w:hAnsi="Aptos"/>
                <w:sz w:val="16"/>
              </w:rPr>
              <w:t>41 increase; 1 decrease</w:t>
            </w:r>
          </w:p>
        </w:tc>
      </w:tr>
      <w:tr>
        <w:trPr>
          <w:cantSplit/>
        </w:trPr>
        <w:tc>
          <w:tcPr>
            <w:tcW w:type="dxa" w:w="2304"/>
            <w:shd w:fill="EEF5FA"/>
            <w:vAlign w:val="center"/>
            <w:tcMar>
              <w:top w:w="75" w:type="dxa"/>
              <w:start w:w="75" w:type="dxa"/>
              <w:bottom w:w="75" w:type="dxa"/>
              <w:end w:w="75" w:type="dxa"/>
            </w:tcMar>
          </w:tcPr>
          <w:p>
            <w:pPr>
              <w:keepNext/>
              <w:jc w:val="left"/>
            </w:pPr>
            <w:r>
              <w:rPr>
                <w:rFonts w:ascii="Aptos" w:hAnsi="Aptos"/>
                <w:sz w:val="16"/>
              </w:rPr>
              <w:t>Gross full model</w:t>
            </w:r>
          </w:p>
        </w:tc>
        <w:tc>
          <w:tcPr>
            <w:tcW w:type="dxa" w:w="864"/>
            <w:shd w:fill="EEF5FA"/>
            <w:vAlign w:val="center"/>
            <w:tcMar>
              <w:top w:w="75" w:type="dxa"/>
              <w:start w:w="75" w:type="dxa"/>
              <w:bottom w:w="75" w:type="dxa"/>
              <w:end w:w="75" w:type="dxa"/>
            </w:tcMar>
          </w:tcPr>
          <w:p>
            <w:pPr>
              <w:keepNext/>
              <w:jc w:val="right"/>
            </w:pPr>
            <w:r>
              <w:rPr>
                <w:rFonts w:ascii="Aptos" w:hAnsi="Aptos"/>
                <w:sz w:val="16"/>
              </w:rPr>
              <w:t>42</w:t>
            </w:r>
          </w:p>
        </w:tc>
        <w:tc>
          <w:tcPr>
            <w:tcW w:type="dxa" w:w="1728"/>
            <w:shd w:fill="EEF5FA"/>
            <w:vAlign w:val="center"/>
            <w:tcMar>
              <w:top w:w="75" w:type="dxa"/>
              <w:start w:w="75" w:type="dxa"/>
              <w:bottom w:w="75" w:type="dxa"/>
              <w:end w:w="75" w:type="dxa"/>
            </w:tcMar>
          </w:tcPr>
          <w:p>
            <w:pPr>
              <w:keepNext/>
              <w:jc w:val="right"/>
            </w:pPr>
            <w:r>
              <w:rPr>
                <w:rFonts w:ascii="Aptos" w:hAnsi="Aptos"/>
                <w:sz w:val="16"/>
              </w:rPr>
              <w:t>31.6%</w:t>
            </w:r>
          </w:p>
        </w:tc>
        <w:tc>
          <w:tcPr>
            <w:tcW w:type="dxa" w:w="1800"/>
            <w:shd w:fill="EEF5FA"/>
            <w:vAlign w:val="center"/>
            <w:tcMar>
              <w:top w:w="75" w:type="dxa"/>
              <w:start w:w="75" w:type="dxa"/>
              <w:bottom w:w="75" w:type="dxa"/>
              <w:end w:w="75" w:type="dxa"/>
            </w:tcMar>
          </w:tcPr>
          <w:p>
            <w:pPr>
              <w:keepNext/>
              <w:jc w:val="right"/>
            </w:pPr>
            <w:r>
              <w:rPr>
                <w:rFonts w:ascii="Aptos" w:hAnsi="Aptos"/>
                <w:sz w:val="16"/>
              </w:rPr>
              <w:t>39.6%</w:t>
            </w:r>
          </w:p>
        </w:tc>
        <w:tc>
          <w:tcPr>
            <w:tcW w:type="dxa" w:w="2376"/>
            <w:shd w:fill="EEF5FA"/>
            <w:vAlign w:val="center"/>
            <w:tcMar>
              <w:top w:w="75" w:type="dxa"/>
              <w:start w:w="75" w:type="dxa"/>
              <w:bottom w:w="75" w:type="dxa"/>
              <w:end w:w="75" w:type="dxa"/>
            </w:tcMar>
          </w:tcPr>
          <w:p>
            <w:pPr>
              <w:keepNext/>
              <w:jc w:val="left"/>
            </w:pPr>
            <w:r>
              <w:rPr>
                <w:rFonts w:ascii="Aptos" w:hAnsi="Aptos"/>
                <w:sz w:val="16"/>
              </w:rPr>
              <w:t>42 increase; 0 decrease</w:t>
            </w:r>
          </w:p>
        </w:tc>
      </w:tr>
      <w:tr>
        <w:trPr>
          <w:cantSplit/>
        </w:trPr>
        <w:tc>
          <w:tcPr>
            <w:tcW w:type="dxa" w:w="2304"/>
            <w:vAlign w:val="center"/>
            <w:tcMar>
              <w:top w:w="75" w:type="dxa"/>
              <w:start w:w="75" w:type="dxa"/>
              <w:bottom w:w="75" w:type="dxa"/>
              <w:end w:w="75" w:type="dxa"/>
            </w:tcMar>
          </w:tcPr>
          <w:p>
            <w:pPr>
              <w:keepNext/>
              <w:jc w:val="left"/>
            </w:pPr>
            <w:r>
              <w:rPr>
                <w:rFonts w:ascii="Aptos" w:hAnsi="Aptos"/>
                <w:sz w:val="16"/>
              </w:rPr>
              <w:t>Charter position-based</w:t>
            </w:r>
          </w:p>
        </w:tc>
        <w:tc>
          <w:tcPr>
            <w:tcW w:type="dxa" w:w="864"/>
            <w:vAlign w:val="center"/>
            <w:tcMar>
              <w:top w:w="75" w:type="dxa"/>
              <w:start w:w="75" w:type="dxa"/>
              <w:bottom w:w="75" w:type="dxa"/>
              <w:end w:w="75" w:type="dxa"/>
            </w:tcMar>
          </w:tcPr>
          <w:p>
            <w:pPr>
              <w:keepNext/>
              <w:jc w:val="right"/>
            </w:pPr>
            <w:r>
              <w:rPr>
                <w:rFonts w:ascii="Aptos" w:hAnsi="Aptos"/>
                <w:sz w:val="16"/>
              </w:rPr>
              <w:t>23</w:t>
            </w:r>
          </w:p>
        </w:tc>
        <w:tc>
          <w:tcPr>
            <w:tcW w:type="dxa" w:w="1728"/>
            <w:vAlign w:val="center"/>
            <w:tcMar>
              <w:top w:w="75" w:type="dxa"/>
              <w:start w:w="75" w:type="dxa"/>
              <w:bottom w:w="75" w:type="dxa"/>
              <w:end w:w="75" w:type="dxa"/>
            </w:tcMar>
          </w:tcPr>
          <w:p>
            <w:pPr>
              <w:keepNext/>
              <w:jc w:val="right"/>
            </w:pPr>
            <w:r>
              <w:rPr>
                <w:rFonts w:ascii="Aptos" w:hAnsi="Aptos"/>
                <w:sz w:val="16"/>
              </w:rPr>
              <w:t>11.4%</w:t>
            </w:r>
          </w:p>
        </w:tc>
        <w:tc>
          <w:tcPr>
            <w:tcW w:type="dxa" w:w="1800"/>
            <w:vAlign w:val="center"/>
            <w:tcMar>
              <w:top w:w="75" w:type="dxa"/>
              <w:start w:w="75" w:type="dxa"/>
              <w:bottom w:w="75" w:type="dxa"/>
              <w:end w:w="75" w:type="dxa"/>
            </w:tcMar>
          </w:tcPr>
          <w:p>
            <w:pPr>
              <w:keepNext/>
              <w:jc w:val="right"/>
            </w:pPr>
            <w:r>
              <w:rPr>
                <w:rFonts w:ascii="Aptos" w:hAnsi="Aptos"/>
                <w:sz w:val="16"/>
              </w:rPr>
              <w:t>14.3%</w:t>
            </w:r>
          </w:p>
        </w:tc>
        <w:tc>
          <w:tcPr>
            <w:tcW w:type="dxa" w:w="2376"/>
            <w:vAlign w:val="center"/>
            <w:tcMar>
              <w:top w:w="75" w:type="dxa"/>
              <w:start w:w="75" w:type="dxa"/>
              <w:bottom w:w="75" w:type="dxa"/>
              <w:end w:w="75" w:type="dxa"/>
            </w:tcMar>
          </w:tcPr>
          <w:p>
            <w:pPr>
              <w:keepNext/>
              <w:jc w:val="left"/>
            </w:pPr>
            <w:r>
              <w:rPr>
                <w:rFonts w:ascii="Aptos" w:hAnsi="Aptos"/>
                <w:sz w:val="16"/>
              </w:rPr>
              <w:t>23 increase</w:t>
            </w:r>
          </w:p>
        </w:tc>
      </w:tr>
      <w:tr>
        <w:trPr>
          <w:cantSplit/>
        </w:trPr>
        <w:tc>
          <w:tcPr>
            <w:tcW w:type="dxa" w:w="2304"/>
            <w:shd w:fill="EEF5FA"/>
            <w:vAlign w:val="center"/>
            <w:tcMar>
              <w:top w:w="75" w:type="dxa"/>
              <w:start w:w="75" w:type="dxa"/>
              <w:bottom w:w="75" w:type="dxa"/>
              <w:end w:w="75" w:type="dxa"/>
            </w:tcMar>
          </w:tcPr>
          <w:p>
            <w:pPr>
              <w:keepNext/>
              <w:jc w:val="left"/>
            </w:pPr>
            <w:r>
              <w:rPr>
                <w:rFonts w:ascii="Aptos" w:hAnsi="Aptos"/>
                <w:sz w:val="16"/>
              </w:rPr>
              <w:t>District position-based</w:t>
            </w:r>
          </w:p>
        </w:tc>
        <w:tc>
          <w:tcPr>
            <w:tcW w:type="dxa" w:w="864"/>
            <w:shd w:fill="EEF5FA"/>
            <w:vAlign w:val="center"/>
            <w:tcMar>
              <w:top w:w="75" w:type="dxa"/>
              <w:start w:w="75" w:type="dxa"/>
              <w:bottom w:w="75" w:type="dxa"/>
              <w:end w:w="75" w:type="dxa"/>
            </w:tcMar>
          </w:tcPr>
          <w:p>
            <w:pPr>
              <w:keepNext/>
              <w:jc w:val="right"/>
            </w:pPr>
            <w:r>
              <w:rPr>
                <w:rFonts w:ascii="Aptos" w:hAnsi="Aptos"/>
                <w:sz w:val="16"/>
              </w:rPr>
              <w:t>19</w:t>
            </w:r>
          </w:p>
        </w:tc>
        <w:tc>
          <w:tcPr>
            <w:tcW w:type="dxa" w:w="1728"/>
            <w:shd w:fill="EEF5FA"/>
            <w:vAlign w:val="center"/>
            <w:tcMar>
              <w:top w:w="75" w:type="dxa"/>
              <w:start w:w="75" w:type="dxa"/>
              <w:bottom w:w="75" w:type="dxa"/>
              <w:end w:w="75" w:type="dxa"/>
            </w:tcMar>
          </w:tcPr>
          <w:p>
            <w:pPr>
              <w:keepNext/>
              <w:jc w:val="right"/>
            </w:pPr>
            <w:r>
              <w:rPr>
                <w:rFonts w:ascii="Aptos" w:hAnsi="Aptos"/>
                <w:sz w:val="16"/>
              </w:rPr>
              <w:t>2.3%</w:t>
            </w:r>
          </w:p>
        </w:tc>
        <w:tc>
          <w:tcPr>
            <w:tcW w:type="dxa" w:w="1800"/>
            <w:shd w:fill="EEF5FA"/>
            <w:vAlign w:val="center"/>
            <w:tcMar>
              <w:top w:w="75" w:type="dxa"/>
              <w:start w:w="75" w:type="dxa"/>
              <w:bottom w:w="75" w:type="dxa"/>
              <w:end w:w="75" w:type="dxa"/>
            </w:tcMar>
          </w:tcPr>
          <w:p>
            <w:pPr>
              <w:keepNext/>
              <w:jc w:val="right"/>
            </w:pPr>
            <w:r>
              <w:rPr>
                <w:rFonts w:ascii="Aptos" w:hAnsi="Aptos"/>
                <w:sz w:val="16"/>
              </w:rPr>
              <w:t>2.7%</w:t>
            </w:r>
          </w:p>
        </w:tc>
        <w:tc>
          <w:tcPr>
            <w:tcW w:type="dxa" w:w="2376"/>
            <w:shd w:fill="EEF5FA"/>
            <w:vAlign w:val="center"/>
            <w:tcMar>
              <w:top w:w="75" w:type="dxa"/>
              <w:start w:w="75" w:type="dxa"/>
              <w:bottom w:w="75" w:type="dxa"/>
              <w:end w:w="75" w:type="dxa"/>
            </w:tcMar>
          </w:tcPr>
          <w:p>
            <w:pPr>
              <w:keepNext/>
              <w:jc w:val="left"/>
            </w:pPr>
            <w:r>
              <w:rPr>
                <w:rFonts w:ascii="Aptos" w:hAnsi="Aptos"/>
                <w:sz w:val="16"/>
              </w:rPr>
              <w:t>18 increase; 1 decrease</w:t>
            </w:r>
          </w:p>
        </w:tc>
      </w:tr>
      <w:tr>
        <w:trPr>
          <w:cantSplit/>
        </w:trPr>
        <w:tc>
          <w:tcPr>
            <w:tcW w:type="dxa" w:w="2304"/>
            <w:vAlign w:val="center"/>
            <w:tcMar>
              <w:top w:w="75" w:type="dxa"/>
              <w:start w:w="75" w:type="dxa"/>
              <w:bottom w:w="75" w:type="dxa"/>
              <w:end w:w="75" w:type="dxa"/>
            </w:tcMar>
          </w:tcPr>
          <w:p>
            <w:pPr>
              <w:keepNext/>
              <w:jc w:val="left"/>
            </w:pPr>
            <w:r>
              <w:rPr>
                <w:rFonts w:ascii="Aptos" w:hAnsi="Aptos"/>
                <w:sz w:val="16"/>
              </w:rPr>
              <w:t>Charter gross full model</w:t>
            </w:r>
          </w:p>
        </w:tc>
        <w:tc>
          <w:tcPr>
            <w:tcW w:type="dxa" w:w="864"/>
            <w:vAlign w:val="center"/>
            <w:tcMar>
              <w:top w:w="75" w:type="dxa"/>
              <w:start w:w="75" w:type="dxa"/>
              <w:bottom w:w="75" w:type="dxa"/>
              <w:end w:w="75" w:type="dxa"/>
            </w:tcMar>
          </w:tcPr>
          <w:p>
            <w:pPr>
              <w:keepNext/>
              <w:jc w:val="right"/>
            </w:pPr>
            <w:r>
              <w:rPr>
                <w:rFonts w:ascii="Aptos" w:hAnsi="Aptos"/>
                <w:sz w:val="16"/>
              </w:rPr>
              <w:t>23</w:t>
            </w:r>
          </w:p>
        </w:tc>
        <w:tc>
          <w:tcPr>
            <w:tcW w:type="dxa" w:w="1728"/>
            <w:vAlign w:val="center"/>
            <w:tcMar>
              <w:top w:w="75" w:type="dxa"/>
              <w:start w:w="75" w:type="dxa"/>
              <w:bottom w:w="75" w:type="dxa"/>
              <w:end w:w="75" w:type="dxa"/>
            </w:tcMar>
          </w:tcPr>
          <w:p>
            <w:pPr>
              <w:keepNext/>
              <w:jc w:val="right"/>
            </w:pPr>
            <w:r>
              <w:rPr>
                <w:rFonts w:ascii="Aptos" w:hAnsi="Aptos"/>
                <w:sz w:val="16"/>
              </w:rPr>
              <w:t>40.7%</w:t>
            </w:r>
          </w:p>
        </w:tc>
        <w:tc>
          <w:tcPr>
            <w:tcW w:type="dxa" w:w="1800"/>
            <w:vAlign w:val="center"/>
            <w:tcMar>
              <w:top w:w="75" w:type="dxa"/>
              <w:start w:w="75" w:type="dxa"/>
              <w:bottom w:w="75" w:type="dxa"/>
              <w:end w:w="75" w:type="dxa"/>
            </w:tcMar>
          </w:tcPr>
          <w:p>
            <w:pPr>
              <w:keepNext/>
              <w:jc w:val="right"/>
            </w:pPr>
            <w:r>
              <w:rPr>
                <w:rFonts w:ascii="Aptos" w:hAnsi="Aptos"/>
                <w:sz w:val="16"/>
              </w:rPr>
              <w:t>47.9%</w:t>
            </w:r>
          </w:p>
        </w:tc>
        <w:tc>
          <w:tcPr>
            <w:tcW w:type="dxa" w:w="2376"/>
            <w:vAlign w:val="center"/>
            <w:tcMar>
              <w:top w:w="75" w:type="dxa"/>
              <w:start w:w="75" w:type="dxa"/>
              <w:bottom w:w="75" w:type="dxa"/>
              <w:end w:w="75" w:type="dxa"/>
            </w:tcMar>
          </w:tcPr>
          <w:p>
            <w:pPr>
              <w:keepNext/>
              <w:jc w:val="left"/>
            </w:pPr>
            <w:r>
              <w:rPr>
                <w:rFonts w:ascii="Aptos" w:hAnsi="Aptos"/>
                <w:sz w:val="16"/>
              </w:rPr>
              <w:t>23 increase</w:t>
            </w:r>
          </w:p>
        </w:tc>
      </w:tr>
      <w:tr>
        <w:trPr>
          <w:cantSplit/>
        </w:trPr>
        <w:tc>
          <w:tcPr>
            <w:tcW w:type="dxa" w:w="2304"/>
            <w:shd w:fill="EEF5FA"/>
            <w:vAlign w:val="center"/>
            <w:tcMar>
              <w:top w:w="75" w:type="dxa"/>
              <w:start w:w="75" w:type="dxa"/>
              <w:bottom w:w="75" w:type="dxa"/>
              <w:end w:w="75" w:type="dxa"/>
            </w:tcMar>
          </w:tcPr>
          <w:p>
            <w:pPr>
              <w:jc w:val="left"/>
            </w:pPr>
            <w:r>
              <w:rPr>
                <w:rFonts w:ascii="Aptos" w:hAnsi="Aptos"/>
                <w:sz w:val="16"/>
              </w:rPr>
              <w:t>District gross full model</w:t>
            </w:r>
          </w:p>
        </w:tc>
        <w:tc>
          <w:tcPr>
            <w:tcW w:type="dxa" w:w="864"/>
            <w:shd w:fill="EEF5FA"/>
            <w:vAlign w:val="center"/>
            <w:tcMar>
              <w:top w:w="75" w:type="dxa"/>
              <w:start w:w="75" w:type="dxa"/>
              <w:bottom w:w="75" w:type="dxa"/>
              <w:end w:w="75" w:type="dxa"/>
            </w:tcMar>
          </w:tcPr>
          <w:p>
            <w:pPr>
              <w:jc w:val="right"/>
            </w:pPr>
            <w:r>
              <w:rPr>
                <w:rFonts w:ascii="Aptos" w:hAnsi="Aptos"/>
                <w:sz w:val="16"/>
              </w:rPr>
              <w:t>19</w:t>
            </w:r>
          </w:p>
        </w:tc>
        <w:tc>
          <w:tcPr>
            <w:tcW w:type="dxa" w:w="1728"/>
            <w:shd w:fill="EEF5FA"/>
            <w:vAlign w:val="center"/>
            <w:tcMar>
              <w:top w:w="75" w:type="dxa"/>
              <w:start w:w="75" w:type="dxa"/>
              <w:bottom w:w="75" w:type="dxa"/>
              <w:end w:w="75" w:type="dxa"/>
            </w:tcMar>
          </w:tcPr>
          <w:p>
            <w:pPr>
              <w:jc w:val="right"/>
            </w:pPr>
            <w:r>
              <w:rPr>
                <w:rFonts w:ascii="Aptos" w:hAnsi="Aptos"/>
                <w:sz w:val="16"/>
              </w:rPr>
              <w:t>30.5%</w:t>
            </w:r>
          </w:p>
        </w:tc>
        <w:tc>
          <w:tcPr>
            <w:tcW w:type="dxa" w:w="1800"/>
            <w:shd w:fill="EEF5FA"/>
            <w:vAlign w:val="center"/>
            <w:tcMar>
              <w:top w:w="75" w:type="dxa"/>
              <w:start w:w="75" w:type="dxa"/>
              <w:bottom w:w="75" w:type="dxa"/>
              <w:end w:w="75" w:type="dxa"/>
            </w:tcMar>
          </w:tcPr>
          <w:p>
            <w:pPr>
              <w:jc w:val="right"/>
            </w:pPr>
            <w:r>
              <w:rPr>
                <w:rFonts w:ascii="Aptos" w:hAnsi="Aptos"/>
                <w:sz w:val="16"/>
              </w:rPr>
              <w:t>32.6%</w:t>
            </w:r>
          </w:p>
        </w:tc>
        <w:tc>
          <w:tcPr>
            <w:tcW w:type="dxa" w:w="2376"/>
            <w:shd w:fill="EEF5FA"/>
            <w:vAlign w:val="center"/>
            <w:tcMar>
              <w:top w:w="75" w:type="dxa"/>
              <w:start w:w="75" w:type="dxa"/>
              <w:bottom w:w="75" w:type="dxa"/>
              <w:end w:w="75" w:type="dxa"/>
            </w:tcMar>
          </w:tcPr>
          <w:p>
            <w:pPr>
              <w:jc w:val="left"/>
            </w:pPr>
            <w:r>
              <w:rPr>
                <w:rFonts w:ascii="Aptos" w:hAnsi="Aptos"/>
                <w:sz w:val="16"/>
              </w:rPr>
              <w:t>19 increase</w:t>
            </w:r>
          </w:p>
        </w:tc>
      </w:tr>
    </w:tbl>
    <w:p>
      <w:pPr>
        <w:spacing w:after="100" w:line="259" w:lineRule="auto"/>
      </w:pPr>
    </w:p>
    <w:p>
      <w:pPr>
        <w:spacing w:after="100" w:line="259" w:lineRule="auto"/>
      </w:pPr>
      <w:r>
        <w:rPr>
          <w:rFonts w:ascii="Aptos" w:hAnsi="Aptos"/>
          <w:i/>
          <w:color w:val="000000"/>
          <w:sz w:val="21"/>
        </w:rPr>
        <w:t>Source: 11_lea_distribution_for_report.csv and 11_lea_type_for_report.csv.</w:t>
      </w:r>
    </w:p>
    <w:p>
      <w:pPr>
        <w:pStyle w:val="Heading1"/>
        <w:keepNext/>
      </w:pPr>
      <w:r>
        <w:t>6. Key Findings</w:t>
      </w:r>
    </w:p>
    <w:p>
      <w:pPr>
        <w:spacing w:after="100" w:line="259" w:lineRule="auto"/>
      </w:pPr>
      <w:r>
        <w:rPr>
          <w:rFonts w:ascii="Aptos" w:hAnsi="Aptos"/>
          <w:color w:val="000000"/>
          <w:sz w:val="21"/>
        </w:rPr>
        <w:t>The analysis supports eight main findings. These findings summarize the validated results; they do not introduce new calculations.</w:t>
      </w:r>
    </w:p>
    <w:p>
      <w:pPr>
        <w:spacing w:after="100" w:line="259" w:lineRule="auto"/>
      </w:pPr>
      <w:r>
        <w:rPr>
          <w:rFonts w:ascii="Aptos" w:hAnsi="Aptos"/>
          <w:b/>
          <w:color w:val="000000"/>
          <w:sz w:val="21"/>
        </w:rPr>
        <w:t xml:space="preserve">The proposed model changes both structure and funding method. </w:t>
      </w:r>
      <w:r>
        <w:rPr>
          <w:rFonts w:ascii="Aptos" w:hAnsi="Aptos"/>
          <w:color w:val="000000"/>
          <w:sz w:val="21"/>
        </w:rPr>
        <w:t>It reorganizes position-based funding into Base and Central Office sections and adds two weighted-student pools.</w:t>
      </w:r>
    </w:p>
    <w:p>
      <w:pPr>
        <w:spacing w:after="100" w:line="259" w:lineRule="auto"/>
      </w:pPr>
      <w:r>
        <w:rPr>
          <w:rFonts w:ascii="Aptos" w:hAnsi="Aptos"/>
          <w:b/>
          <w:color w:val="000000"/>
          <w:sz w:val="21"/>
        </w:rPr>
        <w:t xml:space="preserve">Teaching-position totals are close after input and scope alignment. </w:t>
      </w:r>
      <w:r>
        <w:rPr>
          <w:rFonts w:ascii="Aptos" w:hAnsi="Aptos"/>
          <w:color w:val="000000"/>
          <w:sz w:val="21"/>
        </w:rPr>
        <w:t>The current and independent Base Division I totals differ by less than one position statewide. Larger differences arise in administration and support formulas.</w:t>
      </w:r>
    </w:p>
    <w:p>
      <w:pPr>
        <w:spacing w:after="100" w:line="259" w:lineRule="auto"/>
      </w:pPr>
      <w:r>
        <w:rPr>
          <w:rFonts w:ascii="Aptos" w:hAnsi="Aptos"/>
          <w:b/>
          <w:color w:val="000000"/>
          <w:sz w:val="21"/>
        </w:rPr>
        <w:t xml:space="preserve">Charter building treatment materially affects school-based positions. </w:t>
      </w:r>
      <w:r>
        <w:rPr>
          <w:rFonts w:ascii="Aptos" w:hAnsi="Aptos"/>
          <w:color w:val="000000"/>
          <w:sz w:val="21"/>
        </w:rPr>
        <w:t>The proposed model applies Base formulas to charter building rows while keeping weighted enrollment at the charter-organization level.</w:t>
      </w:r>
    </w:p>
    <w:p>
      <w:pPr>
        <w:spacing w:after="100" w:line="259" w:lineRule="auto"/>
      </w:pPr>
      <w:r>
        <w:rPr>
          <w:rFonts w:ascii="Aptos" w:hAnsi="Aptos"/>
          <w:b/>
          <w:color w:val="000000"/>
          <w:sz w:val="21"/>
        </w:rPr>
        <w:t xml:space="preserve">The proposed model consolidates current support functions. </w:t>
      </w:r>
      <w:r>
        <w:rPr>
          <w:rFonts w:ascii="Aptos" w:hAnsi="Aptos"/>
          <w:color w:val="000000"/>
          <w:sz w:val="21"/>
        </w:rPr>
        <w:t>Counselors, psychologists, nurses, Academic Excellence, driver education, related services, and visiting teachers are represented through one Instructional Supports line.</w:t>
      </w:r>
    </w:p>
    <w:p>
      <w:pPr>
        <w:spacing w:after="100" w:line="259" w:lineRule="auto"/>
      </w:pPr>
      <w:r>
        <w:rPr>
          <w:rFonts w:ascii="Aptos" w:hAnsi="Aptos"/>
          <w:b/>
          <w:color w:val="000000"/>
          <w:sz w:val="21"/>
        </w:rPr>
        <w:t xml:space="preserve">Central Office eligibility expands for charters. </w:t>
      </w:r>
      <w:r>
        <w:rPr>
          <w:rFonts w:ascii="Aptos" w:hAnsi="Aptos"/>
          <w:color w:val="000000"/>
          <w:sz w:val="21"/>
        </w:rPr>
        <w:t>Superintendent and Reading Cadre positions increase from 19 current district positions to 42 proposed positions across all included LEAs.</w:t>
      </w:r>
    </w:p>
    <w:p>
      <w:pPr>
        <w:spacing w:after="100" w:line="259" w:lineRule="auto"/>
      </w:pPr>
      <w:r>
        <w:rPr>
          <w:rFonts w:ascii="Aptos" w:hAnsi="Aptos"/>
          <w:b/>
          <w:color w:val="000000"/>
          <w:sz w:val="21"/>
        </w:rPr>
        <w:t xml:space="preserve">Scope alignment is necessary to interpret PEFC differences. </w:t>
      </w:r>
      <w:r>
        <w:rPr>
          <w:rFonts w:ascii="Aptos" w:hAnsi="Aptos"/>
          <w:color w:val="000000"/>
          <w:sz w:val="21"/>
        </w:rPr>
        <w:t>The PEFC displayed total is $3.51 million above the independent reproduction, but the same-scope PEFC result is $4.13 million below it.</w:t>
      </w:r>
    </w:p>
    <w:p>
      <w:pPr>
        <w:spacing w:after="100" w:line="259" w:lineRule="auto"/>
      </w:pPr>
      <w:r>
        <w:rPr>
          <w:rFonts w:ascii="Aptos" w:hAnsi="Aptos"/>
          <w:b/>
          <w:color w:val="000000"/>
          <w:sz w:val="21"/>
        </w:rPr>
        <w:t xml:space="preserve">The position-based comparison is approximately +$51.8 million. </w:t>
      </w:r>
      <w:r>
        <w:rPr>
          <w:rFonts w:ascii="Aptos" w:hAnsi="Aptos"/>
          <w:color w:val="000000"/>
          <w:sz w:val="21"/>
        </w:rPr>
        <w:t>This is the closest available comparison, but it remains preliminary because the current baseline is incomplete.</w:t>
      </w:r>
    </w:p>
    <w:p>
      <w:pPr>
        <w:spacing w:after="100" w:line="259" w:lineRule="auto"/>
      </w:pPr>
      <w:r>
        <w:rPr>
          <w:rFonts w:ascii="Aptos" w:hAnsi="Aptos"/>
          <w:b/>
          <w:color w:val="000000"/>
          <w:sz w:val="21"/>
        </w:rPr>
        <w:t xml:space="preserve">The $493.8 million gross difference is not a net fiscal impact. </w:t>
      </w:r>
      <w:r>
        <w:rPr>
          <w:rFonts w:ascii="Aptos" w:hAnsi="Aptos"/>
          <w:color w:val="000000"/>
          <w:sz w:val="21"/>
        </w:rPr>
        <w:t>The current recreation does not include all appropriations that could continue, be consolidated, or be replaced by the proposed weighted pools.</w:t>
      </w:r>
    </w:p>
    <w:p>
      <w:pPr>
        <w:keepNext/>
        <w:spacing w:before="160" w:after="100" w:line="259" w:lineRule="auto"/>
      </w:pPr>
      <w:r>
        <w:rPr>
          <w:rFonts w:ascii="Aptos" w:hAnsi="Aptos"/>
          <w:b/>
          <w:color w:val="000000"/>
          <w:sz w:val="21"/>
        </w:rPr>
        <w:t>Exhibit 8. Key comparison measures and interpretation guardrails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shd w:fill="1F4E78"/>
            <w:tcMar>
              <w:top w:w="75" w:type="dxa"/>
              <w:start w:w="75" w:type="dxa"/>
              <w:bottom w:w="75" w:type="dxa"/>
              <w:end w:w="75" w:type="dxa"/>
            </w:tcMar>
          </w:tcPr>
          <w:p>
            <w:pPr>
              <w:keepNext/>
              <w:jc w:val="center"/>
            </w:pPr>
            <w:r>
              <w:rPr>
                <w:rFonts w:ascii="Aptos" w:hAnsi="Aptos"/>
                <w:b/>
                <w:color w:val="FFFFFF"/>
                <w:sz w:val="16"/>
              </w:rPr>
              <w:t>Measure</w:t>
            </w:r>
          </w:p>
        </w:tc>
        <w:tc>
          <w:tcPr>
            <w:tcW w:type="dxa" w:w="2088"/>
            <w:vAlign w:val="center"/>
            <w:shd w:fill="1F4E78"/>
            <w:tcMar>
              <w:top w:w="75" w:type="dxa"/>
              <w:start w:w="75" w:type="dxa"/>
              <w:bottom w:w="75" w:type="dxa"/>
              <w:end w:w="75" w:type="dxa"/>
            </w:tcMar>
          </w:tcPr>
          <w:p>
            <w:pPr>
              <w:keepNext/>
              <w:jc w:val="center"/>
            </w:pPr>
            <w:r>
              <w:rPr>
                <w:rFonts w:ascii="Aptos" w:hAnsi="Aptos"/>
                <w:b/>
                <w:color w:val="FFFFFF"/>
                <w:sz w:val="16"/>
              </w:rPr>
              <w:t>Result</w:t>
            </w:r>
          </w:p>
        </w:tc>
        <w:tc>
          <w:tcPr>
            <w:tcW w:type="dxa" w:w="4536"/>
            <w:vAlign w:val="center"/>
            <w:shd w:fill="1F4E78"/>
            <w:tcMar>
              <w:top w:w="75" w:type="dxa"/>
              <w:start w:w="75" w:type="dxa"/>
              <w:bottom w:w="75" w:type="dxa"/>
              <w:end w:w="75" w:type="dxa"/>
            </w:tcMar>
          </w:tcPr>
          <w:p>
            <w:pPr>
              <w:keepNext/>
              <w:jc w:val="center"/>
            </w:pPr>
            <w:r>
              <w:rPr>
                <w:rFonts w:ascii="Aptos" w:hAnsi="Aptos"/>
                <w:b/>
                <w:color w:val="FFFFFF"/>
                <w:sz w:val="16"/>
              </w:rPr>
              <w:t>How to interpret it</w:t>
            </w:r>
          </w:p>
        </w:tc>
      </w:tr>
      <w:tr>
        <w:trPr>
          <w:cantSplit/>
        </w:trPr>
        <w:tc>
          <w:tcPr>
            <w:tcW w:type="dxa" w:w="2448"/>
            <w:vAlign w:val="center"/>
            <w:tcMar>
              <w:top w:w="75" w:type="dxa"/>
              <w:start w:w="75" w:type="dxa"/>
              <w:bottom w:w="75" w:type="dxa"/>
              <w:end w:w="75" w:type="dxa"/>
            </w:tcMar>
          </w:tcPr>
          <w:p>
            <w:pPr>
              <w:keepNext/>
              <w:jc w:val="left"/>
            </w:pPr>
            <w:r>
              <w:rPr>
                <w:rFonts w:ascii="Aptos" w:hAnsi="Aptos"/>
                <w:sz w:val="16"/>
              </w:rPr>
              <w:t>Final reporting scope</w:t>
            </w:r>
          </w:p>
        </w:tc>
        <w:tc>
          <w:tcPr>
            <w:tcW w:type="dxa" w:w="2088"/>
            <w:vAlign w:val="center"/>
            <w:tcMar>
              <w:top w:w="75" w:type="dxa"/>
              <w:start w:w="75" w:type="dxa"/>
              <w:bottom w:w="75" w:type="dxa"/>
              <w:end w:w="75" w:type="dxa"/>
            </w:tcMar>
          </w:tcPr>
          <w:p>
            <w:pPr>
              <w:keepNext/>
              <w:jc w:val="right"/>
            </w:pPr>
            <w:r>
              <w:rPr>
                <w:rFonts w:ascii="Aptos" w:hAnsi="Aptos"/>
                <w:sz w:val="16"/>
              </w:rPr>
              <w:t>140,706 students; 42 LEAs</w:t>
            </w:r>
          </w:p>
        </w:tc>
        <w:tc>
          <w:tcPr>
            <w:tcW w:type="dxa" w:w="4536"/>
            <w:vAlign w:val="center"/>
            <w:tcMar>
              <w:top w:w="75" w:type="dxa"/>
              <w:start w:w="75" w:type="dxa"/>
              <w:bottom w:w="75" w:type="dxa"/>
              <w:end w:w="75" w:type="dxa"/>
            </w:tcMar>
          </w:tcPr>
          <w:p>
            <w:pPr>
              <w:keepNext/>
              <w:jc w:val="left"/>
            </w:pPr>
            <w:r>
              <w:rPr>
                <w:rFonts w:ascii="Aptos" w:hAnsi="Aptos"/>
                <w:sz w:val="16"/>
              </w:rPr>
              <w:t>DAFB and Bryan Allen Stevenson excluded.</w:t>
            </w:r>
          </w:p>
        </w:tc>
      </w:tr>
      <w:tr>
        <w:trPr>
          <w:cantSplit/>
        </w:trPr>
        <w:tc>
          <w:tcPr>
            <w:tcW w:type="dxa" w:w="2448"/>
            <w:shd w:fill="EEF5FA"/>
            <w:vAlign w:val="center"/>
            <w:tcMar>
              <w:top w:w="75" w:type="dxa"/>
              <w:start w:w="75" w:type="dxa"/>
              <w:bottom w:w="75" w:type="dxa"/>
              <w:end w:w="75" w:type="dxa"/>
            </w:tcMar>
          </w:tcPr>
          <w:p>
            <w:pPr>
              <w:keepNext/>
              <w:jc w:val="left"/>
            </w:pPr>
            <w:r>
              <w:rPr>
                <w:rFonts w:ascii="Aptos" w:hAnsi="Aptos"/>
                <w:sz w:val="16"/>
              </w:rPr>
              <w:t>Position-based modeled difference</w:t>
            </w:r>
          </w:p>
        </w:tc>
        <w:tc>
          <w:tcPr>
            <w:tcW w:type="dxa" w:w="2088"/>
            <w:shd w:fill="EEF5FA"/>
            <w:vAlign w:val="center"/>
            <w:tcMar>
              <w:top w:w="75" w:type="dxa"/>
              <w:start w:w="75" w:type="dxa"/>
              <w:bottom w:w="75" w:type="dxa"/>
              <w:end w:w="75" w:type="dxa"/>
            </w:tcMar>
          </w:tcPr>
          <w:p>
            <w:pPr>
              <w:keepNext/>
              <w:jc w:val="right"/>
            </w:pPr>
            <w:r>
              <w:rPr>
                <w:rFonts w:ascii="Aptos" w:hAnsi="Aptos"/>
                <w:sz w:val="16"/>
              </w:rPr>
              <w:t>+$51.8M (+3.3%)</w:t>
            </w:r>
          </w:p>
        </w:tc>
        <w:tc>
          <w:tcPr>
            <w:tcW w:type="dxa" w:w="4536"/>
            <w:shd w:fill="EEF5FA"/>
            <w:vAlign w:val="center"/>
            <w:tcMar>
              <w:top w:w="75" w:type="dxa"/>
              <w:start w:w="75" w:type="dxa"/>
              <w:bottom w:w="75" w:type="dxa"/>
              <w:end w:w="75" w:type="dxa"/>
            </w:tcMar>
          </w:tcPr>
          <w:p>
            <w:pPr>
              <w:keepNext/>
              <w:jc w:val="left"/>
            </w:pPr>
            <w:r>
              <w:rPr>
                <w:rFonts w:ascii="Aptos" w:hAnsi="Aptos"/>
                <w:sz w:val="16"/>
              </w:rPr>
              <w:t>Closest available comparison; current baseline incomplete.</w:t>
            </w:r>
          </w:p>
        </w:tc>
      </w:tr>
      <w:tr>
        <w:trPr>
          <w:cantSplit/>
        </w:trPr>
        <w:tc>
          <w:tcPr>
            <w:tcW w:type="dxa" w:w="2448"/>
            <w:vAlign w:val="center"/>
            <w:tcMar>
              <w:top w:w="75" w:type="dxa"/>
              <w:start w:w="75" w:type="dxa"/>
              <w:bottom w:w="75" w:type="dxa"/>
              <w:end w:w="75" w:type="dxa"/>
            </w:tcMar>
          </w:tcPr>
          <w:p>
            <w:pPr>
              <w:keepNext/>
              <w:jc w:val="left"/>
            </w:pPr>
            <w:r>
              <w:rPr>
                <w:rFonts w:ascii="Aptos" w:hAnsi="Aptos"/>
                <w:sz w:val="16"/>
              </w:rPr>
              <w:t>Weighted funding</w:t>
            </w:r>
          </w:p>
        </w:tc>
        <w:tc>
          <w:tcPr>
            <w:tcW w:type="dxa" w:w="2088"/>
            <w:vAlign w:val="center"/>
            <w:tcMar>
              <w:top w:w="75" w:type="dxa"/>
              <w:start w:w="75" w:type="dxa"/>
              <w:bottom w:w="75" w:type="dxa"/>
              <w:end w:w="75" w:type="dxa"/>
            </w:tcMar>
          </w:tcPr>
          <w:p>
            <w:pPr>
              <w:keepNext/>
              <w:jc w:val="right"/>
            </w:pPr>
            <w:r>
              <w:rPr>
                <w:rFonts w:ascii="Aptos" w:hAnsi="Aptos"/>
                <w:sz w:val="16"/>
              </w:rPr>
              <w:t>$442.0268M</w:t>
            </w:r>
          </w:p>
        </w:tc>
        <w:tc>
          <w:tcPr>
            <w:tcW w:type="dxa" w:w="4536"/>
            <w:vAlign w:val="center"/>
            <w:tcMar>
              <w:top w:w="75" w:type="dxa"/>
              <w:start w:w="75" w:type="dxa"/>
              <w:bottom w:w="75" w:type="dxa"/>
              <w:end w:w="75" w:type="dxa"/>
            </w:tcMar>
          </w:tcPr>
          <w:p>
            <w:pPr>
              <w:keepNext/>
              <w:jc w:val="left"/>
            </w:pPr>
            <w:r>
              <w:rPr>
                <w:rFonts w:ascii="Aptos" w:hAnsi="Aptos"/>
                <w:sz w:val="16"/>
              </w:rPr>
              <w:t>Fixed Opportunity and Operational pools.</w:t>
            </w:r>
          </w:p>
        </w:tc>
      </w:tr>
      <w:tr>
        <w:trPr>
          <w:cantSplit/>
        </w:trPr>
        <w:tc>
          <w:tcPr>
            <w:tcW w:type="dxa" w:w="2448"/>
            <w:shd w:fill="EEF5FA"/>
            <w:vAlign w:val="center"/>
            <w:tcMar>
              <w:top w:w="75" w:type="dxa"/>
              <w:start w:w="75" w:type="dxa"/>
              <w:bottom w:w="75" w:type="dxa"/>
              <w:end w:w="75" w:type="dxa"/>
            </w:tcMar>
          </w:tcPr>
          <w:p>
            <w:pPr>
              <w:keepNext/>
              <w:jc w:val="left"/>
            </w:pPr>
            <w:r>
              <w:rPr>
                <w:rFonts w:ascii="Aptos" w:hAnsi="Aptos"/>
                <w:sz w:val="16"/>
              </w:rPr>
              <w:t>Gross modeled difference</w:t>
            </w:r>
          </w:p>
        </w:tc>
        <w:tc>
          <w:tcPr>
            <w:tcW w:type="dxa" w:w="2088"/>
            <w:shd w:fill="EEF5FA"/>
            <w:vAlign w:val="center"/>
            <w:tcMar>
              <w:top w:w="75" w:type="dxa"/>
              <w:start w:w="75" w:type="dxa"/>
              <w:bottom w:w="75" w:type="dxa"/>
              <w:end w:w="75" w:type="dxa"/>
            </w:tcMar>
          </w:tcPr>
          <w:p>
            <w:pPr>
              <w:keepNext/>
              <w:jc w:val="right"/>
            </w:pPr>
            <w:r>
              <w:rPr>
                <w:rFonts w:ascii="Aptos" w:hAnsi="Aptos"/>
                <w:sz w:val="16"/>
              </w:rPr>
              <w:t>+$493.8M (+31.6%)</w:t>
            </w:r>
          </w:p>
        </w:tc>
        <w:tc>
          <w:tcPr>
            <w:tcW w:type="dxa" w:w="4536"/>
            <w:shd w:fill="EEF5FA"/>
            <w:vAlign w:val="center"/>
            <w:tcMar>
              <w:top w:w="75" w:type="dxa"/>
              <w:start w:w="75" w:type="dxa"/>
              <w:bottom w:w="75" w:type="dxa"/>
              <w:end w:w="75" w:type="dxa"/>
            </w:tcMar>
          </w:tcPr>
          <w:p>
            <w:pPr>
              <w:keepNext/>
              <w:jc w:val="left"/>
            </w:pPr>
            <w:r>
              <w:rPr>
                <w:rFonts w:ascii="Aptos" w:hAnsi="Aptos"/>
                <w:sz w:val="16"/>
              </w:rPr>
              <w:t>Not a confirmed net fiscal impact.</w:t>
            </w:r>
          </w:p>
        </w:tc>
      </w:tr>
      <w:tr>
        <w:trPr>
          <w:cantSplit/>
        </w:trPr>
        <w:tc>
          <w:tcPr>
            <w:tcW w:type="dxa" w:w="2448"/>
            <w:vAlign w:val="center"/>
            <w:tcMar>
              <w:top w:w="75" w:type="dxa"/>
              <w:start w:w="75" w:type="dxa"/>
              <w:bottom w:w="75" w:type="dxa"/>
              <w:end w:w="75" w:type="dxa"/>
            </w:tcMar>
          </w:tcPr>
          <w:p>
            <w:pPr>
              <w:keepNext/>
              <w:jc w:val="left"/>
            </w:pPr>
            <w:r>
              <w:rPr>
                <w:rFonts w:ascii="Aptos" w:hAnsi="Aptos"/>
                <w:sz w:val="16"/>
              </w:rPr>
              <w:t>PEFC displayed vs independent</w:t>
            </w:r>
          </w:p>
        </w:tc>
        <w:tc>
          <w:tcPr>
            <w:tcW w:type="dxa" w:w="2088"/>
            <w:vAlign w:val="center"/>
            <w:tcMar>
              <w:top w:w="75" w:type="dxa"/>
              <w:start w:w="75" w:type="dxa"/>
              <w:bottom w:w="75" w:type="dxa"/>
              <w:end w:w="75" w:type="dxa"/>
            </w:tcMar>
          </w:tcPr>
          <w:p>
            <w:pPr>
              <w:keepNext/>
              <w:jc w:val="right"/>
            </w:pPr>
            <w:r>
              <w:rPr>
                <w:rFonts w:ascii="Aptos" w:hAnsi="Aptos"/>
                <w:sz w:val="16"/>
              </w:rPr>
              <w:t>+$3.51M</w:t>
            </w:r>
          </w:p>
        </w:tc>
        <w:tc>
          <w:tcPr>
            <w:tcW w:type="dxa" w:w="4536"/>
            <w:vAlign w:val="center"/>
            <w:tcMar>
              <w:top w:w="75" w:type="dxa"/>
              <w:start w:w="75" w:type="dxa"/>
              <w:bottom w:w="75" w:type="dxa"/>
              <w:end w:w="75" w:type="dxa"/>
            </w:tcMar>
          </w:tcPr>
          <w:p>
            <w:pPr>
              <w:keepNext/>
              <w:jc w:val="left"/>
            </w:pPr>
            <w:r>
              <w:rPr>
                <w:rFonts w:ascii="Aptos" w:hAnsi="Aptos"/>
                <w:sz w:val="16"/>
              </w:rPr>
              <w:t>Uses different scopes.</w:t>
            </w:r>
          </w:p>
        </w:tc>
      </w:tr>
      <w:tr>
        <w:trPr>
          <w:cantSplit/>
        </w:trPr>
        <w:tc>
          <w:tcPr>
            <w:tcW w:type="dxa" w:w="2448"/>
            <w:shd w:fill="EEF5FA"/>
            <w:vAlign w:val="center"/>
            <w:tcMar>
              <w:top w:w="75" w:type="dxa"/>
              <w:start w:w="75" w:type="dxa"/>
              <w:bottom w:w="75" w:type="dxa"/>
              <w:end w:w="75" w:type="dxa"/>
            </w:tcMar>
          </w:tcPr>
          <w:p>
            <w:pPr>
              <w:keepNext/>
              <w:jc w:val="left"/>
            </w:pPr>
            <w:r>
              <w:rPr>
                <w:rFonts w:ascii="Aptos" w:hAnsi="Aptos"/>
                <w:sz w:val="16"/>
              </w:rPr>
              <w:t>PEFC aligned scope vs independent</w:t>
            </w:r>
          </w:p>
        </w:tc>
        <w:tc>
          <w:tcPr>
            <w:tcW w:type="dxa" w:w="2088"/>
            <w:shd w:fill="EEF5FA"/>
            <w:vAlign w:val="center"/>
            <w:tcMar>
              <w:top w:w="75" w:type="dxa"/>
              <w:start w:w="75" w:type="dxa"/>
              <w:bottom w:w="75" w:type="dxa"/>
              <w:end w:w="75" w:type="dxa"/>
            </w:tcMar>
          </w:tcPr>
          <w:p>
            <w:pPr>
              <w:keepNext/>
              <w:jc w:val="right"/>
            </w:pPr>
            <w:r>
              <w:rPr>
                <w:rFonts w:ascii="Aptos" w:hAnsi="Aptos"/>
                <w:sz w:val="16"/>
              </w:rPr>
              <w:t>−$4.13M</w:t>
            </w:r>
          </w:p>
        </w:tc>
        <w:tc>
          <w:tcPr>
            <w:tcW w:type="dxa" w:w="4536"/>
            <w:shd w:fill="EEF5FA"/>
            <w:vAlign w:val="center"/>
            <w:tcMar>
              <w:top w:w="75" w:type="dxa"/>
              <w:start w:w="75" w:type="dxa"/>
              <w:bottom w:w="75" w:type="dxa"/>
              <w:end w:w="75" w:type="dxa"/>
            </w:tcMar>
          </w:tcPr>
          <w:p>
            <w:pPr>
              <w:keepNext/>
              <w:jc w:val="left"/>
            </w:pPr>
            <w:r>
              <w:rPr>
                <w:rFonts w:ascii="Aptos" w:hAnsi="Aptos"/>
                <w:sz w:val="16"/>
              </w:rPr>
              <w:t>Same 42-LEA scope; remaining differences reflect implementation and inputs.</w:t>
            </w:r>
          </w:p>
        </w:tc>
      </w:tr>
      <w:tr>
        <w:trPr>
          <w:cantSplit/>
        </w:trPr>
        <w:tc>
          <w:tcPr>
            <w:tcW w:type="dxa" w:w="2448"/>
            <w:vAlign w:val="center"/>
            <w:tcMar>
              <w:top w:w="75" w:type="dxa"/>
              <w:start w:w="75" w:type="dxa"/>
              <w:bottom w:w="75" w:type="dxa"/>
              <w:end w:w="75" w:type="dxa"/>
            </w:tcMar>
          </w:tcPr>
          <w:p>
            <w:pPr>
              <w:jc w:val="left"/>
            </w:pPr>
            <w:r>
              <w:rPr>
                <w:rFonts w:ascii="Aptos" w:hAnsi="Aptos"/>
                <w:sz w:val="16"/>
              </w:rPr>
              <w:t>LEA direction</w:t>
            </w:r>
          </w:p>
        </w:tc>
        <w:tc>
          <w:tcPr>
            <w:tcW w:type="dxa" w:w="2088"/>
            <w:vAlign w:val="center"/>
            <w:tcMar>
              <w:top w:w="75" w:type="dxa"/>
              <w:start w:w="75" w:type="dxa"/>
              <w:bottom w:w="75" w:type="dxa"/>
              <w:end w:w="75" w:type="dxa"/>
            </w:tcMar>
          </w:tcPr>
          <w:p>
            <w:pPr>
              <w:jc w:val="right"/>
            </w:pPr>
            <w:r>
              <w:rPr>
                <w:rFonts w:ascii="Aptos" w:hAnsi="Aptos"/>
                <w:sz w:val="16"/>
              </w:rPr>
              <w:t>41 of 42 position-based; 42 of 42 gross</w:t>
            </w:r>
          </w:p>
        </w:tc>
        <w:tc>
          <w:tcPr>
            <w:tcW w:type="dxa" w:w="4536"/>
            <w:vAlign w:val="center"/>
            <w:tcMar>
              <w:top w:w="75" w:type="dxa"/>
              <w:start w:w="75" w:type="dxa"/>
              <w:bottom w:w="75" w:type="dxa"/>
              <w:end w:w="75" w:type="dxa"/>
            </w:tcMar>
          </w:tcPr>
          <w:p>
            <w:pPr>
              <w:jc w:val="left"/>
            </w:pPr>
            <w:r>
              <w:rPr>
                <w:rFonts w:ascii="Aptos" w:hAnsi="Aptos"/>
                <w:sz w:val="16"/>
              </w:rPr>
              <w:t>Preliminary because current funding is partial.</w:t>
            </w:r>
          </w:p>
        </w:tc>
      </w:tr>
    </w:tbl>
    <w:p>
      <w:pPr>
        <w:spacing w:after="100" w:line="259" w:lineRule="auto"/>
      </w:pPr>
    </w:p>
    <w:p>
      <w:pPr>
        <w:spacing w:after="100" w:line="259" w:lineRule="auto"/>
      </w:pPr>
      <w:r>
        <w:rPr>
          <w:rFonts w:ascii="Aptos" w:hAnsi="Aptos"/>
          <w:i/>
          <w:color w:val="000000"/>
          <w:sz w:val="21"/>
        </w:rPr>
        <w:t>Source: 11_key_report_metrics.csv; 11_pefc_scope_normalized_comparison.csv; 11_lea_distribution_for_report.csv.</w:t>
      </w:r>
    </w:p>
    <w:p>
      <w:pPr>
        <w:pStyle w:val="Heading1"/>
        <w:keepNext/>
      </w:pPr>
      <w:r>
        <w:t>7. Limitations, Unresolved Questions, and Next Steps</w:t>
      </w:r>
    </w:p>
    <w:p>
      <w:pPr>
        <w:spacing w:after="100" w:line="259" w:lineRule="auto"/>
      </w:pPr>
      <w:r>
        <w:rPr>
          <w:rFonts w:ascii="Aptos" w:hAnsi="Aptos"/>
          <w:color w:val="000000"/>
          <w:sz w:val="21"/>
        </w:rPr>
        <w:t>The pipeline establishes a reproducible comparison, but several data, policy, workbook, and fiscal questions remain. These limitations do not erase the analysis; they define how the results should be used and what work is needed before the comparison can support a complete fiscal conclusion.</w:t>
      </w:r>
    </w:p>
    <w:p>
      <w:pPr>
        <w:pStyle w:val="Heading2"/>
        <w:keepNext/>
      </w:pPr>
      <w:r>
        <w:t>7.1 Current-model data gaps</w:t>
      </w:r>
    </w:p>
    <w:p>
      <w:pPr>
        <w:spacing w:after="100" w:line="259" w:lineRule="auto"/>
      </w:pPr>
      <w:r>
        <w:rPr>
          <w:rFonts w:ascii="Aptos" w:hAnsi="Aptos"/>
          <w:color w:val="000000"/>
          <w:sz w:val="21"/>
        </w:rPr>
        <w:t>The largest limitation is the incomplete current baseline. Site-evaluated custodian positions are unavailable, as are the custodial units needed to determine Buildings and Grounds Supervisor eligibility. School-lunch indicators are missing for some LEAs, and charter satellite cafeteria counts have not been confirmed. No defensible current rate was identified for cafeteria managers or workers, and the separate district cafeteria process is not modeled.</w:t>
      </w:r>
    </w:p>
    <w:p>
      <w:pPr>
        <w:spacing w:after="100" w:line="259" w:lineRule="auto"/>
      </w:pPr>
      <w:r>
        <w:rPr>
          <w:rFonts w:ascii="Aptos" w:hAnsi="Aptos"/>
          <w:color w:val="000000"/>
          <w:sz w:val="21"/>
        </w:rPr>
        <w:t>The current Pre-K teaching quantity is also source-reported rather than independently recalculated because the underlying special education Pre-K headcount is not available in Unit Count. Missing information is left blank rather than treated as zero.</w:t>
      </w:r>
    </w:p>
    <w:p>
      <w:pPr>
        <w:pStyle w:val="Heading2"/>
        <w:keepNext/>
      </w:pPr>
      <w:r>
        <w:t>7.2 Policy and implementation questions</w:t>
      </w:r>
    </w:p>
    <w:p>
      <w:pPr>
        <w:spacing w:after="100" w:line="259" w:lineRule="auto"/>
      </w:pPr>
      <w:r>
        <w:rPr>
          <w:rFonts w:ascii="Aptos" w:hAnsi="Aptos"/>
          <w:color w:val="000000"/>
          <w:sz w:val="21"/>
        </w:rPr>
        <w:t>The current nurse fractional rule still needs confirmation. Within the proposed model, the written assistant-principal note and literal workbook formula conflict over 0.65 and 1.65 awards. The independent reproduction follows the written fractional-position rule. Assistant Superintendent eligibility also needs formal confirmation because the workbook appears to allow a proportional second position while the pipeline uses completed 300-position thresholds.</w:t>
      </w:r>
    </w:p>
    <w:p>
      <w:pPr>
        <w:spacing w:after="100" w:line="259" w:lineRule="auto"/>
      </w:pPr>
      <w:r>
        <w:rPr>
          <w:rFonts w:ascii="Aptos" w:hAnsi="Aptos"/>
          <w:color w:val="000000"/>
          <w:sz w:val="21"/>
        </w:rPr>
        <w:t>The selected Central Office position bases should be formally documented. The independent reproduction uses Total Base positions for Assistant Superintendent, Director, and 11-Month Supervisor and Base Division I for Food Services Supervisor. These treatments are explicit in the pipeline and should be updated only through a documented policy decision.</w:t>
      </w:r>
    </w:p>
    <w:p>
      <w:pPr>
        <w:pStyle w:val="Heading2"/>
        <w:keepNext/>
      </w:pPr>
      <w:r>
        <w:t>7.3 Workbook and source questions</w:t>
      </w:r>
    </w:p>
    <w:p>
      <w:pPr>
        <w:spacing w:after="100" w:line="259" w:lineRule="auto"/>
      </w:pPr>
      <w:r>
        <w:rPr>
          <w:rFonts w:ascii="Aptos" w:hAnsi="Aptos"/>
          <w:color w:val="000000"/>
          <w:sz w:val="21"/>
        </w:rPr>
        <w:t>The five PEFC Summary reconciliation differences should be reviewed with the workbook owner. The ASPIRA one-student source discrepancy should also be resolved in the authoritative source. More broadly, the intended universe of charter building calculation units should be formally confirmed because it directly affects principal and school-support positions.</w:t>
      </w:r>
    </w:p>
    <w:p>
      <w:pPr>
        <w:spacing w:after="100" w:line="259" w:lineRule="auto"/>
      </w:pPr>
      <w:r>
        <w:rPr>
          <w:rFonts w:ascii="Aptos" w:hAnsi="Aptos"/>
          <w:color w:val="000000"/>
          <w:sz w:val="21"/>
        </w:rPr>
        <w:t>The calculator includes an optional Additional State Funding mechanism without a supporting written rule. The independent reproduction excludes it. It should be added only after the amount, authority, and distribution rule are confirmed.</w:t>
      </w:r>
    </w:p>
    <w:p>
      <w:pPr>
        <w:pStyle w:val="Heading2"/>
        <w:keepNext/>
      </w:pPr>
      <w:r>
        <w:t>7.4 Requirements for a net fiscal analysis</w:t>
      </w:r>
    </w:p>
    <w:p>
      <w:pPr>
        <w:spacing w:after="100" w:line="259" w:lineRule="auto"/>
      </w:pPr>
      <w:r>
        <w:rPr>
          <w:rFonts w:ascii="Aptos" w:hAnsi="Aptos"/>
          <w:color w:val="000000"/>
          <w:sz w:val="21"/>
        </w:rPr>
        <w:t>A net fiscal comparison requires more than completing the current position lines. It also requires an appropriation-level crosswalk showing which current programs and appropriations would continue, be consolidated, be replaced, or be added under the proposed model. Until that work is complete, the weighted pools should be presented as proposed modeled allocations rather than a net new cost.</w:t>
      </w:r>
    </w:p>
    <w:p>
      <w:pPr>
        <w:keepNext/>
        <w:spacing w:before="160" w:after="100" w:line="259" w:lineRule="auto"/>
      </w:pPr>
      <w:r>
        <w:rPr>
          <w:rFonts w:ascii="Aptos" w:hAnsi="Aptos"/>
          <w:b/>
          <w:color w:val="000000"/>
          <w:sz w:val="21"/>
        </w:rPr>
        <w:t>Exhibit 9. Material limitations and unresolved questions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vAlign w:val="center"/>
            <w:shd w:fill="1F4E78"/>
            <w:tcMar>
              <w:top w:w="75" w:type="dxa"/>
              <w:start w:w="75" w:type="dxa"/>
              <w:bottom w:w="75" w:type="dxa"/>
              <w:end w:w="75" w:type="dxa"/>
            </w:tcMar>
          </w:tcPr>
          <w:p>
            <w:pPr>
              <w:jc w:val="center"/>
            </w:pPr>
            <w:r>
              <w:rPr>
                <w:rFonts w:ascii="Aptos" w:hAnsi="Aptos"/>
                <w:b/>
                <w:color w:val="FFFFFF"/>
                <w:sz w:val="17"/>
              </w:rPr>
              <w:t>Issue</w:t>
            </w:r>
          </w:p>
        </w:tc>
        <w:tc>
          <w:tcPr>
            <w:tcW w:type="dxa" w:w="2015"/>
            <w:vAlign w:val="center"/>
            <w:shd w:fill="1F4E78"/>
            <w:tcMar>
              <w:top w:w="75" w:type="dxa"/>
              <w:start w:w="75" w:type="dxa"/>
              <w:bottom w:w="75" w:type="dxa"/>
              <w:end w:w="75" w:type="dxa"/>
            </w:tcMar>
          </w:tcPr>
          <w:p>
            <w:pPr>
              <w:jc w:val="center"/>
            </w:pPr>
            <w:r>
              <w:rPr>
                <w:rFonts w:ascii="Aptos" w:hAnsi="Aptos"/>
                <w:b/>
                <w:color w:val="FFFFFF"/>
                <w:sz w:val="17"/>
              </w:rPr>
              <w:t>Current status</w:t>
            </w:r>
          </w:p>
        </w:tc>
        <w:tc>
          <w:tcPr>
            <w:tcW w:type="dxa" w:w="3960"/>
            <w:vAlign w:val="center"/>
            <w:shd w:fill="1F4E78"/>
            <w:tcMar>
              <w:top w:w="75" w:type="dxa"/>
              <w:start w:w="75" w:type="dxa"/>
              <w:bottom w:w="75" w:type="dxa"/>
              <w:end w:w="75" w:type="dxa"/>
            </w:tcMar>
          </w:tcPr>
          <w:p>
            <w:pPr>
              <w:jc w:val="center"/>
            </w:pPr>
            <w:r>
              <w:rPr>
                <w:rFonts w:ascii="Aptos" w:hAnsi="Aptos"/>
                <w:b/>
                <w:color w:val="FFFFFF"/>
                <w:sz w:val="17"/>
              </w:rPr>
              <w:t>Next step</w:t>
            </w:r>
          </w:p>
        </w:tc>
      </w:tr>
      <w:tr>
        <w:trPr>
          <w:cantSplit/>
        </w:trPr>
        <w:tc>
          <w:tcPr>
            <w:tcW w:type="dxa" w:w="3096"/>
            <w:vAlign w:val="center"/>
            <w:tcMar>
              <w:top w:w="75" w:type="dxa"/>
              <w:start w:w="75" w:type="dxa"/>
              <w:bottom w:w="75" w:type="dxa"/>
              <w:end w:w="75" w:type="dxa"/>
            </w:tcMar>
          </w:tcPr>
          <w:p>
            <w:pPr>
              <w:jc w:val="left"/>
            </w:pPr>
            <w:r>
              <w:rPr>
                <w:rFonts w:ascii="Aptos" w:hAnsi="Aptos"/>
                <w:sz w:val="17"/>
              </w:rPr>
              <w:t>Custodian positions and rate</w:t>
            </w:r>
          </w:p>
        </w:tc>
        <w:tc>
          <w:tcPr>
            <w:tcW w:type="dxa" w:w="2015"/>
            <w:vAlign w:val="center"/>
            <w:tcMar>
              <w:top w:w="75" w:type="dxa"/>
              <w:start w:w="75" w:type="dxa"/>
              <w:bottom w:w="75" w:type="dxa"/>
              <w:end w:w="75" w:type="dxa"/>
            </w:tcMar>
          </w:tcPr>
          <w:p>
            <w:pPr>
              <w:jc w:val="left"/>
            </w:pPr>
            <w:r>
              <w:rPr>
                <w:rFonts w:ascii="Aptos" w:hAnsi="Aptos"/>
                <w:sz w:val="17"/>
              </w:rPr>
              <w:t>Missing</w:t>
            </w:r>
          </w:p>
        </w:tc>
        <w:tc>
          <w:tcPr>
            <w:tcW w:type="dxa" w:w="3960"/>
            <w:vAlign w:val="center"/>
            <w:tcMar>
              <w:top w:w="75" w:type="dxa"/>
              <w:start w:w="75" w:type="dxa"/>
              <w:bottom w:w="75" w:type="dxa"/>
              <w:end w:w="75" w:type="dxa"/>
            </w:tcMar>
          </w:tcPr>
          <w:p>
            <w:pPr>
              <w:jc w:val="left"/>
            </w:pPr>
            <w:r>
              <w:rPr>
                <w:rFonts w:ascii="Aptos" w:hAnsi="Aptos"/>
                <w:sz w:val="17"/>
              </w:rPr>
              <w:t>Complete source positions and approve a rate.</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7"/>
              </w:rPr>
              <w:t>Custodial units / Buildings and Grounds</w:t>
            </w:r>
          </w:p>
        </w:tc>
        <w:tc>
          <w:tcPr>
            <w:tcW w:type="dxa" w:w="2015"/>
            <w:shd w:fill="EEF5FA"/>
            <w:vAlign w:val="center"/>
            <w:tcMar>
              <w:top w:w="75" w:type="dxa"/>
              <w:start w:w="75" w:type="dxa"/>
              <w:bottom w:w="75" w:type="dxa"/>
              <w:end w:w="75" w:type="dxa"/>
            </w:tcMar>
          </w:tcPr>
          <w:p>
            <w:pPr>
              <w:jc w:val="left"/>
            </w:pPr>
            <w:r>
              <w:rPr>
                <w:rFonts w:ascii="Aptos" w:hAnsi="Aptos"/>
                <w:sz w:val="17"/>
              </w:rPr>
              <w:t>Missing</w:t>
            </w:r>
          </w:p>
        </w:tc>
        <w:tc>
          <w:tcPr>
            <w:tcW w:type="dxa" w:w="3960"/>
            <w:shd w:fill="EEF5FA"/>
            <w:vAlign w:val="center"/>
            <w:tcMar>
              <w:top w:w="75" w:type="dxa"/>
              <w:start w:w="75" w:type="dxa"/>
              <w:bottom w:w="75" w:type="dxa"/>
              <w:end w:w="75" w:type="dxa"/>
            </w:tcMar>
          </w:tcPr>
          <w:p>
            <w:pPr>
              <w:jc w:val="left"/>
            </w:pPr>
            <w:r>
              <w:rPr>
                <w:rFonts w:ascii="Aptos" w:hAnsi="Aptos"/>
                <w:sz w:val="17"/>
              </w:rPr>
              <w:t>Populate authoritative custodial units.</w:t>
            </w:r>
          </w:p>
        </w:tc>
      </w:tr>
      <w:tr>
        <w:trPr>
          <w:cantSplit/>
        </w:trPr>
        <w:tc>
          <w:tcPr>
            <w:tcW w:type="dxa" w:w="3096"/>
            <w:vAlign w:val="center"/>
            <w:tcMar>
              <w:top w:w="75" w:type="dxa"/>
              <w:start w:w="75" w:type="dxa"/>
              <w:bottom w:w="75" w:type="dxa"/>
              <w:end w:w="75" w:type="dxa"/>
            </w:tcMar>
          </w:tcPr>
          <w:p>
            <w:pPr>
              <w:jc w:val="left"/>
            </w:pPr>
            <w:r>
              <w:rPr>
                <w:rFonts w:ascii="Aptos" w:hAnsi="Aptos"/>
                <w:sz w:val="17"/>
              </w:rPr>
              <w:t>Food Services eligibility</w:t>
            </w:r>
          </w:p>
        </w:tc>
        <w:tc>
          <w:tcPr>
            <w:tcW w:type="dxa" w:w="2015"/>
            <w:vAlign w:val="center"/>
            <w:tcMar>
              <w:top w:w="75" w:type="dxa"/>
              <w:start w:w="75" w:type="dxa"/>
              <w:bottom w:w="75" w:type="dxa"/>
              <w:end w:w="75" w:type="dxa"/>
            </w:tcMar>
          </w:tcPr>
          <w:p>
            <w:pPr>
              <w:jc w:val="left"/>
            </w:pPr>
            <w:r>
              <w:rPr>
                <w:rFonts w:ascii="Aptos" w:hAnsi="Aptos"/>
                <w:sz w:val="17"/>
              </w:rPr>
              <w:t>Incomplete</w:t>
            </w:r>
          </w:p>
        </w:tc>
        <w:tc>
          <w:tcPr>
            <w:tcW w:type="dxa" w:w="3960"/>
            <w:vAlign w:val="center"/>
            <w:tcMar>
              <w:top w:w="75" w:type="dxa"/>
              <w:start w:w="75" w:type="dxa"/>
              <w:bottom w:w="75" w:type="dxa"/>
              <w:end w:w="75" w:type="dxa"/>
            </w:tcMar>
          </w:tcPr>
          <w:p>
            <w:pPr>
              <w:jc w:val="left"/>
            </w:pPr>
            <w:r>
              <w:rPr>
                <w:rFonts w:ascii="Aptos" w:hAnsi="Aptos"/>
                <w:sz w:val="17"/>
              </w:rPr>
              <w:t>Provide lunch-building inputs for affected LEAs.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7"/>
              </w:rPr>
              <w:t>Charter cafeteria inputs and rates</w:t>
            </w:r>
          </w:p>
        </w:tc>
        <w:tc>
          <w:tcPr>
            <w:tcW w:type="dxa" w:w="2015"/>
            <w:shd w:fill="EEF5FA"/>
            <w:vAlign w:val="center"/>
            <w:tcMar>
              <w:top w:w="75" w:type="dxa"/>
              <w:start w:w="75" w:type="dxa"/>
              <w:bottom w:w="75" w:type="dxa"/>
              <w:end w:w="75" w:type="dxa"/>
            </w:tcMar>
          </w:tcPr>
          <w:p>
            <w:pPr>
              <w:jc w:val="left"/>
            </w:pPr>
            <w:r>
              <w:rPr>
                <w:rFonts w:ascii="Aptos" w:hAnsi="Aptos"/>
                <w:sz w:val="17"/>
              </w:rPr>
              <w:t>Incomplete</w:t>
            </w:r>
          </w:p>
        </w:tc>
        <w:tc>
          <w:tcPr>
            <w:tcW w:type="dxa" w:w="3960"/>
            <w:shd w:fill="EEF5FA"/>
            <w:vAlign w:val="center"/>
            <w:tcMar>
              <w:top w:w="75" w:type="dxa"/>
              <w:start w:w="75" w:type="dxa"/>
              <w:bottom w:w="75" w:type="dxa"/>
              <w:end w:w="75" w:type="dxa"/>
            </w:tcMar>
          </w:tcPr>
          <w:p>
            <w:pPr>
              <w:jc w:val="left"/>
            </w:pPr>
            <w:r>
              <w:rPr>
                <w:rFonts w:ascii="Aptos" w:hAnsi="Aptos"/>
                <w:sz w:val="17"/>
              </w:rPr>
              <w:t>Confirm satellite counts and applicable rates.</w:t>
            </w:r>
          </w:p>
        </w:tc>
      </w:tr>
      <w:tr>
        <w:trPr>
          <w:cantSplit/>
        </w:trPr>
        <w:tc>
          <w:tcPr>
            <w:tcW w:type="dxa" w:w="3096"/>
            <w:vAlign w:val="center"/>
            <w:tcMar>
              <w:top w:w="75" w:type="dxa"/>
              <w:start w:w="75" w:type="dxa"/>
              <w:bottom w:w="75" w:type="dxa"/>
              <w:end w:w="75" w:type="dxa"/>
            </w:tcMar>
          </w:tcPr>
          <w:p>
            <w:pPr>
              <w:jc w:val="left"/>
            </w:pPr>
            <w:r>
              <w:rPr>
                <w:rFonts w:ascii="Aptos" w:hAnsi="Aptos"/>
                <w:sz w:val="17"/>
              </w:rPr>
              <w:t>Current nurse fraction</w:t>
            </w:r>
          </w:p>
        </w:tc>
        <w:tc>
          <w:tcPr>
            <w:tcW w:type="dxa" w:w="2015"/>
            <w:vAlign w:val="center"/>
            <w:tcMar>
              <w:top w:w="75" w:type="dxa"/>
              <w:start w:w="75" w:type="dxa"/>
              <w:bottom w:w="75" w:type="dxa"/>
              <w:end w:w="75" w:type="dxa"/>
            </w:tcMar>
          </w:tcPr>
          <w:p>
            <w:pPr>
              <w:jc w:val="left"/>
            </w:pPr>
            <w:r>
              <w:rPr>
                <w:rFonts w:ascii="Aptos" w:hAnsi="Aptos"/>
                <w:sz w:val="17"/>
              </w:rPr>
              <w:t>Policy question</w:t>
            </w:r>
          </w:p>
        </w:tc>
        <w:tc>
          <w:tcPr>
            <w:tcW w:type="dxa" w:w="3960"/>
            <w:vAlign w:val="center"/>
            <w:tcMar>
              <w:top w:w="75" w:type="dxa"/>
              <w:start w:w="75" w:type="dxa"/>
              <w:bottom w:w="75" w:type="dxa"/>
              <w:end w:w="75" w:type="dxa"/>
            </w:tcMar>
          </w:tcPr>
          <w:p>
            <w:pPr>
              <w:jc w:val="left"/>
            </w:pPr>
            <w:r>
              <w:rPr>
                <w:rFonts w:ascii="Aptos" w:hAnsi="Aptos"/>
                <w:sz w:val="17"/>
              </w:rPr>
              <w:t>Confirm the 30% fractional interpretation.</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7"/>
              </w:rPr>
              <w:t>Assistant Principal note vs formula</w:t>
            </w:r>
          </w:p>
        </w:tc>
        <w:tc>
          <w:tcPr>
            <w:tcW w:type="dxa" w:w="2015"/>
            <w:shd w:fill="EEF5FA"/>
            <w:vAlign w:val="center"/>
            <w:tcMar>
              <w:top w:w="75" w:type="dxa"/>
              <w:start w:w="75" w:type="dxa"/>
              <w:bottom w:w="75" w:type="dxa"/>
              <w:end w:w="75" w:type="dxa"/>
            </w:tcMar>
          </w:tcPr>
          <w:p>
            <w:pPr>
              <w:jc w:val="left"/>
            </w:pPr>
            <w:r>
              <w:rPr>
                <w:rFonts w:ascii="Aptos" w:hAnsi="Aptos"/>
                <w:sz w:val="17"/>
              </w:rPr>
              <w:t>Workbook conflict</w:t>
            </w:r>
          </w:p>
        </w:tc>
        <w:tc>
          <w:tcPr>
            <w:tcW w:type="dxa" w:w="3960"/>
            <w:shd w:fill="EEF5FA"/>
            <w:vAlign w:val="center"/>
            <w:tcMar>
              <w:top w:w="75" w:type="dxa"/>
              <w:start w:w="75" w:type="dxa"/>
              <w:bottom w:w="75" w:type="dxa"/>
              <w:end w:w="75" w:type="dxa"/>
            </w:tcMar>
          </w:tcPr>
          <w:p>
            <w:pPr>
              <w:jc w:val="left"/>
            </w:pPr>
            <w:r>
              <w:rPr>
                <w:rFonts w:ascii="Aptos" w:hAnsi="Aptos"/>
                <w:sz w:val="17"/>
              </w:rPr>
              <w:t>Confirm intended 0.65 and 1.65 awards.</w:t>
            </w:r>
          </w:p>
        </w:tc>
      </w:tr>
      <w:tr>
        <w:trPr>
          <w:cantSplit/>
        </w:trPr>
        <w:tc>
          <w:tcPr>
            <w:tcW w:type="dxa" w:w="3096"/>
            <w:vAlign w:val="center"/>
            <w:tcMar>
              <w:top w:w="75" w:type="dxa"/>
              <w:start w:w="75" w:type="dxa"/>
              <w:bottom w:w="75" w:type="dxa"/>
              <w:end w:w="75" w:type="dxa"/>
            </w:tcMar>
          </w:tcPr>
          <w:p>
            <w:pPr>
              <w:jc w:val="left"/>
            </w:pPr>
            <w:r>
              <w:rPr>
                <w:rFonts w:ascii="Aptos" w:hAnsi="Aptos"/>
                <w:sz w:val="17"/>
              </w:rPr>
              <w:t>Assistant Superintendent fraction</w:t>
            </w:r>
          </w:p>
        </w:tc>
        <w:tc>
          <w:tcPr>
            <w:tcW w:type="dxa" w:w="2015"/>
            <w:vAlign w:val="center"/>
            <w:tcMar>
              <w:top w:w="75" w:type="dxa"/>
              <w:start w:w="75" w:type="dxa"/>
              <w:bottom w:w="75" w:type="dxa"/>
              <w:end w:w="75" w:type="dxa"/>
            </w:tcMar>
          </w:tcPr>
          <w:p>
            <w:pPr>
              <w:jc w:val="left"/>
            </w:pPr>
            <w:r>
              <w:rPr>
                <w:rFonts w:ascii="Aptos" w:hAnsi="Aptos"/>
                <w:sz w:val="17"/>
              </w:rPr>
              <w:t>Implementation question</w:t>
            </w:r>
          </w:p>
        </w:tc>
        <w:tc>
          <w:tcPr>
            <w:tcW w:type="dxa" w:w="3960"/>
            <w:vAlign w:val="center"/>
            <w:tcMar>
              <w:top w:w="75" w:type="dxa"/>
              <w:start w:w="75" w:type="dxa"/>
              <w:bottom w:w="75" w:type="dxa"/>
              <w:end w:w="75" w:type="dxa"/>
            </w:tcMar>
          </w:tcPr>
          <w:p>
            <w:pPr>
              <w:jc w:val="left"/>
            </w:pPr>
            <w:r>
              <w:rPr>
                <w:rFonts w:ascii="Aptos" w:hAnsi="Aptos"/>
                <w:sz w:val="17"/>
              </w:rPr>
              <w:t>Confirm whole versus proportional positions.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7"/>
              </w:rPr>
              <w:t>Selected Central Office bases</w:t>
            </w:r>
          </w:p>
        </w:tc>
        <w:tc>
          <w:tcPr>
            <w:tcW w:type="dxa" w:w="2015"/>
            <w:shd w:fill="EEF5FA"/>
            <w:vAlign w:val="center"/>
            <w:tcMar>
              <w:top w:w="75" w:type="dxa"/>
              <w:start w:w="75" w:type="dxa"/>
              <w:bottom w:w="75" w:type="dxa"/>
              <w:end w:w="75" w:type="dxa"/>
            </w:tcMar>
          </w:tcPr>
          <w:p>
            <w:pPr>
              <w:jc w:val="left"/>
            </w:pPr>
            <w:r>
              <w:rPr>
                <w:rFonts w:ascii="Aptos" w:hAnsi="Aptos"/>
                <w:sz w:val="17"/>
              </w:rPr>
              <w:t>Documented interpretation</w:t>
            </w:r>
          </w:p>
        </w:tc>
        <w:tc>
          <w:tcPr>
            <w:tcW w:type="dxa" w:w="3960"/>
            <w:shd w:fill="EEF5FA"/>
            <w:vAlign w:val="center"/>
            <w:tcMar>
              <w:top w:w="75" w:type="dxa"/>
              <w:start w:w="75" w:type="dxa"/>
              <w:bottom w:w="75" w:type="dxa"/>
              <w:end w:w="75" w:type="dxa"/>
            </w:tcMar>
          </w:tcPr>
          <w:p>
            <w:pPr>
              <w:jc w:val="left"/>
            </w:pPr>
            <w:r>
              <w:rPr>
                <w:rFonts w:ascii="Aptos" w:hAnsi="Aptos"/>
                <w:sz w:val="17"/>
              </w:rPr>
              <w:t>Formally confirm Total Base and Base Division I uses.</w:t>
            </w:r>
          </w:p>
        </w:tc>
      </w:tr>
      <w:tr>
        <w:trPr>
          <w:cantSplit/>
        </w:trPr>
        <w:tc>
          <w:tcPr>
            <w:tcW w:type="dxa" w:w="3096"/>
            <w:vAlign w:val="center"/>
            <w:tcMar>
              <w:top w:w="75" w:type="dxa"/>
              <w:start w:w="75" w:type="dxa"/>
              <w:bottom w:w="75" w:type="dxa"/>
              <w:end w:w="75" w:type="dxa"/>
            </w:tcMar>
          </w:tcPr>
          <w:p>
            <w:pPr>
              <w:jc w:val="left"/>
            </w:pPr>
            <w:r>
              <w:rPr>
                <w:rFonts w:ascii="Aptos" w:hAnsi="Aptos"/>
                <w:sz w:val="17"/>
              </w:rPr>
              <w:t>PEFC internal reconciliation</w:t>
            </w:r>
          </w:p>
        </w:tc>
        <w:tc>
          <w:tcPr>
            <w:tcW w:type="dxa" w:w="2015"/>
            <w:vAlign w:val="center"/>
            <w:tcMar>
              <w:top w:w="75" w:type="dxa"/>
              <w:start w:w="75" w:type="dxa"/>
              <w:bottom w:w="75" w:type="dxa"/>
              <w:end w:w="75" w:type="dxa"/>
            </w:tcMar>
          </w:tcPr>
          <w:p>
            <w:pPr>
              <w:jc w:val="left"/>
            </w:pPr>
            <w:r>
              <w:rPr>
                <w:rFonts w:ascii="Aptos" w:hAnsi="Aptos"/>
                <w:sz w:val="17"/>
              </w:rPr>
              <w:t>Workbook discrepancy</w:t>
            </w:r>
          </w:p>
        </w:tc>
        <w:tc>
          <w:tcPr>
            <w:tcW w:type="dxa" w:w="3960"/>
            <w:vAlign w:val="center"/>
            <w:tcMar>
              <w:top w:w="75" w:type="dxa"/>
              <w:start w:w="75" w:type="dxa"/>
              <w:bottom w:w="75" w:type="dxa"/>
              <w:end w:w="75" w:type="dxa"/>
            </w:tcMar>
          </w:tcPr>
          <w:p>
            <w:pPr>
              <w:jc w:val="left"/>
            </w:pPr>
            <w:r>
              <w:rPr>
                <w:rFonts w:ascii="Aptos" w:hAnsi="Aptos"/>
                <w:sz w:val="17"/>
              </w:rPr>
              <w:t>Confirm displayed statewide formulas or totals.</w:t>
            </w:r>
          </w:p>
        </w:tc>
      </w:tr>
      <w:tr>
        <w:trPr>
          <w:cantSplit/>
        </w:trPr>
        <w:tc>
          <w:tcPr>
            <w:tcW w:type="dxa" w:w="3096"/>
            <w:shd w:fill="EEF5FA"/>
            <w:vAlign w:val="center"/>
            <w:tcMar>
              <w:top w:w="75" w:type="dxa"/>
              <w:start w:w="75" w:type="dxa"/>
              <w:bottom w:w="75" w:type="dxa"/>
              <w:end w:w="75" w:type="dxa"/>
            </w:tcMar>
          </w:tcPr>
          <w:p>
            <w:pPr>
              <w:jc w:val="left"/>
            </w:pPr>
            <w:r>
              <w:rPr>
                <w:rFonts w:ascii="Aptos" w:hAnsi="Aptos"/>
                <w:sz w:val="17"/>
              </w:rPr>
              <w:t>ASPIRA input discrepancy</w:t>
            </w:r>
          </w:p>
        </w:tc>
        <w:tc>
          <w:tcPr>
            <w:tcW w:type="dxa" w:w="2015"/>
            <w:shd w:fill="EEF5FA"/>
            <w:vAlign w:val="center"/>
            <w:tcMar>
              <w:top w:w="75" w:type="dxa"/>
              <w:start w:w="75" w:type="dxa"/>
              <w:bottom w:w="75" w:type="dxa"/>
              <w:end w:w="75" w:type="dxa"/>
            </w:tcMar>
          </w:tcPr>
          <w:p>
            <w:pPr>
              <w:jc w:val="left"/>
            </w:pPr>
            <w:r>
              <w:rPr>
                <w:rFonts w:ascii="Aptos" w:hAnsi="Aptos"/>
                <w:sz w:val="17"/>
              </w:rPr>
              <w:t>Source discrepancy</w:t>
            </w:r>
          </w:p>
        </w:tc>
        <w:tc>
          <w:tcPr>
            <w:tcW w:type="dxa" w:w="3960"/>
            <w:shd w:fill="EEF5FA"/>
            <w:vAlign w:val="center"/>
            <w:tcMar>
              <w:top w:w="75" w:type="dxa"/>
              <w:start w:w="75" w:type="dxa"/>
              <w:bottom w:w="75" w:type="dxa"/>
              <w:end w:w="75" w:type="dxa"/>
            </w:tcMar>
          </w:tcPr>
          <w:p>
            <w:pPr>
              <w:jc w:val="left"/>
            </w:pPr>
            <w:r>
              <w:rPr>
                <w:rFonts w:ascii="Aptos" w:hAnsi="Aptos"/>
                <w:sz w:val="17"/>
              </w:rPr>
              <w:t>Confirm authoritative enrollment.</w:t>
            </w:r>
          </w:p>
        </w:tc>
      </w:tr>
      <w:tr>
        <w:trPr>
          <w:cantSplit/>
        </w:trPr>
        <w:tc>
          <w:tcPr>
            <w:tcW w:type="dxa" w:w="3096"/>
            <w:vAlign w:val="center"/>
            <w:tcMar>
              <w:top w:w="75" w:type="dxa"/>
              <w:start w:w="75" w:type="dxa"/>
              <w:bottom w:w="75" w:type="dxa"/>
              <w:end w:w="75" w:type="dxa"/>
            </w:tcMar>
          </w:tcPr>
          <w:p>
            <w:pPr>
              <w:jc w:val="left"/>
            </w:pPr>
            <w:r>
              <w:rPr>
                <w:rFonts w:ascii="Aptos" w:hAnsi="Aptos"/>
                <w:sz w:val="17"/>
              </w:rPr>
              <w:t>Current appropriation crosswalk</w:t>
            </w:r>
          </w:p>
        </w:tc>
        <w:tc>
          <w:tcPr>
            <w:tcW w:type="dxa" w:w="2015"/>
            <w:vAlign w:val="center"/>
            <w:tcMar>
              <w:top w:w="75" w:type="dxa"/>
              <w:start w:w="75" w:type="dxa"/>
              <w:bottom w:w="75" w:type="dxa"/>
              <w:end w:w="75" w:type="dxa"/>
            </w:tcMar>
          </w:tcPr>
          <w:p>
            <w:pPr>
              <w:jc w:val="left"/>
            </w:pPr>
            <w:r>
              <w:rPr>
                <w:rFonts w:ascii="Aptos" w:hAnsi="Aptos"/>
                <w:sz w:val="17"/>
              </w:rPr>
              <w:t>Not yet complete</w:t>
            </w:r>
          </w:p>
        </w:tc>
        <w:tc>
          <w:tcPr>
            <w:tcW w:type="dxa" w:w="3960"/>
            <w:vAlign w:val="center"/>
            <w:tcMar>
              <w:top w:w="75" w:type="dxa"/>
              <w:start w:w="75" w:type="dxa"/>
              <w:bottom w:w="75" w:type="dxa"/>
              <w:end w:w="75" w:type="dxa"/>
            </w:tcMar>
          </w:tcPr>
          <w:p>
            <w:pPr>
              <w:jc w:val="left"/>
            </w:pPr>
            <w:r>
              <w:rPr>
                <w:rFonts w:ascii="Aptos" w:hAnsi="Aptos"/>
                <w:sz w:val="17"/>
              </w:rPr>
              <w:t>Identify offsets and continuing funding before net fiscal conclusions.</w:t>
            </w:r>
          </w:p>
        </w:tc>
      </w:tr>
    </w:tbl>
    <w:p>
      <w:pPr>
        <w:spacing w:after="100" w:line="259" w:lineRule="auto"/>
      </w:pPr>
    </w:p>
    <w:p>
      <w:pPr>
        <w:spacing w:after="100" w:line="259" w:lineRule="auto"/>
      </w:pPr>
      <w:r>
        <w:rPr>
          <w:rFonts w:ascii="Aptos" w:hAnsi="Aptos"/>
          <w:i/>
          <w:color w:val="000000"/>
          <w:sz w:val="21"/>
        </w:rPr>
        <w:t>Source: 11_decision_discrepancy_log.csv; 04_current_model_issues.csv; 05_current_model_rate_issues.csv.</w:t>
      </w:r>
    </w:p>
    <w:p>
      <w:pPr>
        <w:pStyle w:val="Heading2"/>
        <w:keepNext/>
      </w:pPr>
      <w:r>
        <w:t>7.5 Recommended next steps</w:t>
      </w:r>
    </w:p>
    <w:p>
      <w:pPr>
        <w:spacing w:after="100" w:line="259" w:lineRule="auto"/>
        <w:ind w:left="403" w:hanging="317"/>
      </w:pPr>
      <w:r>
        <w:rPr>
          <w:rFonts w:ascii="Aptos" w:hAnsi="Aptos"/>
          <w:color w:val="000000"/>
          <w:sz w:val="21"/>
        </w:rPr>
        <w:t xml:space="preserve">1.  </w:t>
      </w:r>
      <w:r>
        <w:rPr>
          <w:rFonts w:ascii="Aptos" w:hAnsi="Aptos"/>
          <w:color w:val="000000"/>
          <w:sz w:val="21"/>
        </w:rPr>
        <w:t>Complete and validate the missing current custodial, facilities, lunch-program, and cafeteria inputs and rates, then rerun the full pipeline.</w:t>
      </w:r>
    </w:p>
    <w:p>
      <w:pPr>
        <w:spacing w:after="100" w:line="259" w:lineRule="auto"/>
        <w:ind w:left="403" w:hanging="317"/>
      </w:pPr>
      <w:r>
        <w:rPr>
          <w:rFonts w:ascii="Aptos" w:hAnsi="Aptos"/>
          <w:color w:val="000000"/>
          <w:sz w:val="21"/>
        </w:rPr>
        <w:t xml:space="preserve">2.  </w:t>
      </w:r>
      <w:r>
        <w:rPr>
          <w:rFonts w:ascii="Aptos" w:hAnsi="Aptos"/>
          <w:color w:val="000000"/>
          <w:sz w:val="21"/>
        </w:rPr>
        <w:t>Obtain written confirmation for the assistant-principal fractional rule, Assistant Superintendent fractional eligibility, selected Central Office position bases, and the current nurse fractional treatment.</w:t>
      </w:r>
    </w:p>
    <w:p>
      <w:pPr>
        <w:spacing w:after="100" w:line="259" w:lineRule="auto"/>
        <w:ind w:left="403" w:hanging="317"/>
      </w:pPr>
      <w:r>
        <w:rPr>
          <w:rFonts w:ascii="Aptos" w:hAnsi="Aptos"/>
          <w:color w:val="000000"/>
          <w:sz w:val="21"/>
        </w:rPr>
        <w:t xml:space="preserve">3.  </w:t>
      </w:r>
      <w:r>
        <w:rPr>
          <w:rFonts w:ascii="Aptos" w:hAnsi="Aptos"/>
          <w:color w:val="000000"/>
          <w:sz w:val="21"/>
        </w:rPr>
        <w:t>Resolve the PEFC Summary reconciliation items and confirm the intended charter calculation-unit universe.</w:t>
      </w:r>
    </w:p>
    <w:p>
      <w:pPr>
        <w:spacing w:after="100" w:line="259" w:lineRule="auto"/>
        <w:ind w:left="403" w:hanging="317"/>
      </w:pPr>
      <w:r>
        <w:rPr>
          <w:rFonts w:ascii="Aptos" w:hAnsi="Aptos"/>
          <w:color w:val="000000"/>
          <w:sz w:val="21"/>
        </w:rPr>
        <w:t xml:space="preserve">4.  </w:t>
      </w:r>
      <w:r>
        <w:rPr>
          <w:rFonts w:ascii="Aptos" w:hAnsi="Aptos"/>
          <w:color w:val="000000"/>
          <w:sz w:val="21"/>
        </w:rPr>
        <w:t>Create an appropriation-level current-to-proposed crosswalk before describing the gross modeled difference as a net fiscal effect.</w:t>
      </w:r>
    </w:p>
    <w:p>
      <w:pPr>
        <w:spacing w:after="100" w:line="259" w:lineRule="auto"/>
        <w:ind w:left="403" w:hanging="317"/>
      </w:pPr>
      <w:r>
        <w:rPr>
          <w:rFonts w:ascii="Aptos" w:hAnsi="Aptos"/>
          <w:color w:val="000000"/>
          <w:sz w:val="21"/>
        </w:rPr>
        <w:t xml:space="preserve">5.  </w:t>
      </w:r>
      <w:r>
        <w:rPr>
          <w:rFonts w:ascii="Aptos" w:hAnsi="Aptos"/>
          <w:color w:val="000000"/>
          <w:sz w:val="21"/>
        </w:rPr>
        <w:t>Maintain all future source corrections and policy decisions in the project inputs or settings, rerun Steps 01–11, and regenerate both the main report and companion appendices from the validated outputs.</w:t>
      </w:r>
    </w:p>
    <w:p>
      <w:pPr>
        <w:spacing w:after="100" w:line="259" w:lineRule="auto"/>
      </w:pPr>
      <w:r>
        <w:rPr>
          <w:rFonts w:ascii="Aptos" w:hAnsi="Aptos"/>
          <w:b/>
          <w:color w:val="000000"/>
          <w:sz w:val="21"/>
        </w:rPr>
        <w:t xml:space="preserve">Bottom line: </w:t>
      </w:r>
      <w:r>
        <w:rPr>
          <w:rFonts w:ascii="Aptos" w:hAnsi="Aptos"/>
          <w:color w:val="000000"/>
          <w:sz w:val="21"/>
        </w:rPr>
        <w:t>The analysis is ready to support technical and policy discussion about how the models differ. It is not yet ready to support a final statement of net statewide cost or final LEA gains and losses.</w:t>
      </w:r>
    </w:p>
    <w:p>
      <w:pPr>
        <w:pStyle w:val="Heading1"/>
        <w:keepNext/>
      </w:pPr>
      <w:r>
        <w:t>Companion Technical Appendices</w:t>
      </w:r>
    </w:p>
    <w:p>
      <w:pPr>
        <w:spacing w:after="100" w:line="259" w:lineRule="auto"/>
      </w:pPr>
      <w:r>
        <w:rPr>
          <w:rFonts w:ascii="Aptos" w:hAnsi="Aptos"/>
          <w:color w:val="000000"/>
          <w:sz w:val="21"/>
        </w:rPr>
        <w:t>The technical appendices will be delivered separately from this main report. They will provide the detailed proof behind the narrative without overwhelming the main document.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584"/>
            <w:vAlign w:val="center"/>
            <w:shd w:fill="1F4E78"/>
            <w:tcMar>
              <w:top w:w="75" w:type="dxa"/>
              <w:start w:w="75" w:type="dxa"/>
              <w:bottom w:w="75" w:type="dxa"/>
              <w:end w:w="75" w:type="dxa"/>
            </w:tcMar>
          </w:tcPr>
          <w:p>
            <w:pPr>
              <w:jc w:val="center"/>
            </w:pPr>
            <w:r>
              <w:rPr>
                <w:rFonts w:ascii="Aptos" w:hAnsi="Aptos"/>
                <w:b/>
                <w:color w:val="FFFFFF"/>
                <w:sz w:val="18"/>
              </w:rPr>
              <w:t>Appendix</w:t>
            </w:r>
          </w:p>
        </w:tc>
        <w:tc>
          <w:tcPr>
            <w:tcW w:type="dxa" w:w="7488"/>
            <w:vAlign w:val="center"/>
            <w:shd w:fill="1F4E78"/>
            <w:tcMar>
              <w:top w:w="75" w:type="dxa"/>
              <w:start w:w="75" w:type="dxa"/>
              <w:bottom w:w="75" w:type="dxa"/>
              <w:end w:w="75" w:type="dxa"/>
            </w:tcMar>
          </w:tcPr>
          <w:p>
            <w:pPr>
              <w:jc w:val="center"/>
            </w:pPr>
            <w:r>
              <w:rPr>
                <w:rFonts w:ascii="Aptos" w:hAnsi="Aptos"/>
                <w:b/>
                <w:color w:val="FFFFFF"/>
                <w:sz w:val="18"/>
              </w:rPr>
              <w:t>Planned content</w:t>
            </w:r>
          </w:p>
        </w:tc>
      </w:tr>
      <w:tr>
        <w:trPr>
          <w:cantSplit/>
        </w:trPr>
        <w:tc>
          <w:tcPr>
            <w:tcW w:type="dxa" w:w="1584"/>
            <w:vAlign w:val="center"/>
            <w:tcMar>
              <w:top w:w="75" w:type="dxa"/>
              <w:start w:w="75" w:type="dxa"/>
              <w:bottom w:w="75" w:type="dxa"/>
              <w:end w:w="75" w:type="dxa"/>
            </w:tcMar>
          </w:tcPr>
          <w:p>
            <w:pPr>
              <w:jc w:val="left"/>
            </w:pPr>
            <w:r>
              <w:rPr>
                <w:rFonts w:ascii="Aptos" w:hAnsi="Aptos"/>
                <w:sz w:val="18"/>
              </w:rPr>
              <w:t>Appendix A</w:t>
            </w:r>
          </w:p>
        </w:tc>
        <w:tc>
          <w:tcPr>
            <w:tcW w:type="dxa" w:w="7488"/>
            <w:vAlign w:val="center"/>
            <w:tcMar>
              <w:top w:w="75" w:type="dxa"/>
              <w:start w:w="75" w:type="dxa"/>
              <w:bottom w:w="75" w:type="dxa"/>
              <w:end w:w="75" w:type="dxa"/>
            </w:tcMar>
          </w:tcPr>
          <w:p>
            <w:pPr>
              <w:jc w:val="left"/>
            </w:pPr>
            <w:r>
              <w:rPr>
                <w:rFonts w:ascii="Aptos" w:hAnsi="Aptos"/>
                <w:sz w:val="18"/>
              </w:rPr>
              <w:t>Source lineage, analysis version, run settings, and manifest</w:t>
            </w:r>
          </w:p>
        </w:tc>
      </w:tr>
      <w:tr>
        <w:trPr>
          <w:cantSplit/>
        </w:trPr>
        <w:tc>
          <w:tcPr>
            <w:tcW w:type="dxa" w:w="1584"/>
            <w:shd w:fill="EEF5FA"/>
            <w:vAlign w:val="center"/>
            <w:tcMar>
              <w:top w:w="75" w:type="dxa"/>
              <w:start w:w="75" w:type="dxa"/>
              <w:bottom w:w="75" w:type="dxa"/>
              <w:end w:w="75" w:type="dxa"/>
            </w:tcMar>
          </w:tcPr>
          <w:p>
            <w:pPr>
              <w:jc w:val="left"/>
            </w:pPr>
            <w:r>
              <w:rPr>
                <w:rFonts w:ascii="Aptos" w:hAnsi="Aptos"/>
                <w:sz w:val="18"/>
              </w:rPr>
              <w:t>Appendix B</w:t>
            </w:r>
          </w:p>
        </w:tc>
        <w:tc>
          <w:tcPr>
            <w:tcW w:type="dxa" w:w="7488"/>
            <w:shd w:fill="EEF5FA"/>
            <w:vAlign w:val="center"/>
            <w:tcMar>
              <w:top w:w="75" w:type="dxa"/>
              <w:start w:w="75" w:type="dxa"/>
              <w:bottom w:w="75" w:type="dxa"/>
              <w:end w:w="75" w:type="dxa"/>
            </w:tcMar>
          </w:tcPr>
          <w:p>
            <w:pPr>
              <w:jc w:val="left"/>
            </w:pPr>
            <w:r>
              <w:rPr>
                <w:rFonts w:ascii="Aptos" w:hAnsi="Aptos"/>
                <w:sz w:val="18"/>
              </w:rPr>
              <w:t>Definitional tables for inputs, formulas, quantities, rates, and major differences</w:t>
            </w:r>
          </w:p>
        </w:tc>
      </w:tr>
      <w:tr>
        <w:trPr>
          <w:cantSplit/>
        </w:trPr>
        <w:tc>
          <w:tcPr>
            <w:tcW w:type="dxa" w:w="1584"/>
            <w:vAlign w:val="center"/>
            <w:tcMar>
              <w:top w:w="75" w:type="dxa"/>
              <w:start w:w="75" w:type="dxa"/>
              <w:bottom w:w="75" w:type="dxa"/>
              <w:end w:w="75" w:type="dxa"/>
            </w:tcMar>
          </w:tcPr>
          <w:p>
            <w:pPr>
              <w:jc w:val="left"/>
            </w:pPr>
            <w:r>
              <w:rPr>
                <w:rFonts w:ascii="Aptos" w:hAnsi="Aptos"/>
                <w:sz w:val="18"/>
              </w:rPr>
              <w:t>Appendix C</w:t>
            </w:r>
          </w:p>
        </w:tc>
        <w:tc>
          <w:tcPr>
            <w:tcW w:type="dxa" w:w="7488"/>
            <w:vAlign w:val="center"/>
            <w:tcMar>
              <w:top w:w="75" w:type="dxa"/>
              <w:start w:w="75" w:type="dxa"/>
              <w:bottom w:w="75" w:type="dxa"/>
              <w:end w:w="75" w:type="dxa"/>
            </w:tcMar>
          </w:tcPr>
          <w:p>
            <w:pPr>
              <w:jc w:val="left"/>
            </w:pPr>
            <w:r>
              <w:rPr>
                <w:rFonts w:ascii="Aptos" w:hAnsi="Aptos"/>
                <w:sz w:val="18"/>
              </w:rPr>
              <w:t>Full current-model formulas, quantities, rate mappings, and missing components</w:t>
            </w:r>
          </w:p>
        </w:tc>
      </w:tr>
      <w:tr>
        <w:trPr>
          <w:cantSplit/>
        </w:trPr>
        <w:tc>
          <w:tcPr>
            <w:tcW w:type="dxa" w:w="1584"/>
            <w:shd w:fill="EEF5FA"/>
            <w:vAlign w:val="center"/>
            <w:tcMar>
              <w:top w:w="75" w:type="dxa"/>
              <w:start w:w="75" w:type="dxa"/>
              <w:bottom w:w="75" w:type="dxa"/>
              <w:end w:w="75" w:type="dxa"/>
            </w:tcMar>
          </w:tcPr>
          <w:p>
            <w:pPr>
              <w:jc w:val="left"/>
            </w:pPr>
            <w:r>
              <w:rPr>
                <w:rFonts w:ascii="Aptos" w:hAnsi="Aptos"/>
                <w:sz w:val="18"/>
              </w:rPr>
              <w:t>Appendix D</w:t>
            </w:r>
          </w:p>
        </w:tc>
        <w:tc>
          <w:tcPr>
            <w:tcW w:type="dxa" w:w="7488"/>
            <w:shd w:fill="EEF5FA"/>
            <w:vAlign w:val="center"/>
            <w:tcMar>
              <w:top w:w="75" w:type="dxa"/>
              <w:start w:w="75" w:type="dxa"/>
              <w:bottom w:w="75" w:type="dxa"/>
              <w:end w:w="75" w:type="dxa"/>
            </w:tcMar>
          </w:tcPr>
          <w:p>
            <w:pPr>
              <w:jc w:val="left"/>
            </w:pPr>
            <w:r>
              <w:rPr>
                <w:rFonts w:ascii="Aptos" w:hAnsi="Aptos"/>
                <w:sz w:val="18"/>
              </w:rPr>
              <w:t>PEFC workbook extraction and internal reconciliation</w:t>
            </w:r>
          </w:p>
        </w:tc>
      </w:tr>
      <w:tr>
        <w:trPr>
          <w:cantSplit/>
        </w:trPr>
        <w:tc>
          <w:tcPr>
            <w:tcW w:type="dxa" w:w="1584"/>
            <w:vAlign w:val="center"/>
            <w:tcMar>
              <w:top w:w="75" w:type="dxa"/>
              <w:start w:w="75" w:type="dxa"/>
              <w:bottom w:w="75" w:type="dxa"/>
              <w:end w:w="75" w:type="dxa"/>
            </w:tcMar>
          </w:tcPr>
          <w:p>
            <w:pPr>
              <w:jc w:val="left"/>
            </w:pPr>
            <w:r>
              <w:rPr>
                <w:rFonts w:ascii="Aptos" w:hAnsi="Aptos"/>
                <w:sz w:val="18"/>
              </w:rPr>
              <w:t>Appendix E</w:t>
            </w:r>
          </w:p>
        </w:tc>
        <w:tc>
          <w:tcPr>
            <w:tcW w:type="dxa" w:w="7488"/>
            <w:vAlign w:val="center"/>
            <w:tcMar>
              <w:top w:w="75" w:type="dxa"/>
              <w:start w:w="75" w:type="dxa"/>
              <w:bottom w:w="75" w:type="dxa"/>
              <w:end w:w="75" w:type="dxa"/>
            </w:tcMar>
          </w:tcPr>
          <w:p>
            <w:pPr>
              <w:jc w:val="left"/>
            </w:pPr>
            <w:r>
              <w:rPr>
                <w:rFonts w:ascii="Aptos" w:hAnsi="Aptos"/>
                <w:sz w:val="18"/>
              </w:rPr>
              <w:t>Independent reproduction decisions and evidence classifications</w:t>
            </w:r>
          </w:p>
        </w:tc>
      </w:tr>
      <w:tr>
        <w:trPr>
          <w:cantSplit/>
        </w:trPr>
        <w:tc>
          <w:tcPr>
            <w:tcW w:type="dxa" w:w="1584"/>
            <w:shd w:fill="EEF5FA"/>
            <w:vAlign w:val="center"/>
            <w:tcMar>
              <w:top w:w="75" w:type="dxa"/>
              <w:start w:w="75" w:type="dxa"/>
              <w:bottom w:w="75" w:type="dxa"/>
              <w:end w:w="75" w:type="dxa"/>
            </w:tcMar>
          </w:tcPr>
          <w:p>
            <w:pPr>
              <w:jc w:val="left"/>
            </w:pPr>
            <w:r>
              <w:rPr>
                <w:rFonts w:ascii="Aptos" w:hAnsi="Aptos"/>
                <w:sz w:val="18"/>
              </w:rPr>
              <w:t>Appendix F</w:t>
            </w:r>
          </w:p>
        </w:tc>
        <w:tc>
          <w:tcPr>
            <w:tcW w:type="dxa" w:w="7488"/>
            <w:shd w:fill="EEF5FA"/>
            <w:vAlign w:val="center"/>
            <w:tcMar>
              <w:top w:w="75" w:type="dxa"/>
              <w:start w:w="75" w:type="dxa"/>
              <w:bottom w:w="75" w:type="dxa"/>
              <w:end w:w="75" w:type="dxa"/>
            </w:tcMar>
          </w:tcPr>
          <w:p>
            <w:pPr>
              <w:jc w:val="left"/>
            </w:pPr>
            <w:r>
              <w:rPr>
                <w:rFonts w:ascii="Aptos" w:hAnsi="Aptos"/>
                <w:sz w:val="18"/>
              </w:rPr>
              <w:t>Charter building allocation and reconciliation</w:t>
            </w:r>
          </w:p>
        </w:tc>
      </w:tr>
      <w:tr>
        <w:trPr>
          <w:cantSplit/>
        </w:trPr>
        <w:tc>
          <w:tcPr>
            <w:tcW w:type="dxa" w:w="1584"/>
            <w:vAlign w:val="center"/>
            <w:tcMar>
              <w:top w:w="75" w:type="dxa"/>
              <w:start w:w="75" w:type="dxa"/>
              <w:bottom w:w="75" w:type="dxa"/>
              <w:end w:w="75" w:type="dxa"/>
            </w:tcMar>
          </w:tcPr>
          <w:p>
            <w:pPr>
              <w:jc w:val="left"/>
            </w:pPr>
            <w:r>
              <w:rPr>
                <w:rFonts w:ascii="Aptos" w:hAnsi="Aptos"/>
                <w:sz w:val="18"/>
              </w:rPr>
              <w:t>Appendix G</w:t>
            </w:r>
          </w:p>
        </w:tc>
        <w:tc>
          <w:tcPr>
            <w:tcW w:type="dxa" w:w="7488"/>
            <w:vAlign w:val="center"/>
            <w:tcMar>
              <w:top w:w="75" w:type="dxa"/>
              <w:start w:w="75" w:type="dxa"/>
              <w:bottom w:w="75" w:type="dxa"/>
              <w:end w:w="75" w:type="dxa"/>
            </w:tcMar>
          </w:tcPr>
          <w:p>
            <w:pPr>
              <w:jc w:val="left"/>
            </w:pPr>
            <w:r>
              <w:rPr>
                <w:rFonts w:ascii="Aptos" w:hAnsi="Aptos"/>
                <w:sz w:val="18"/>
              </w:rPr>
              <w:t>Detailed three-way input, position, rate, funding, and scope comparisons</w:t>
            </w:r>
          </w:p>
        </w:tc>
      </w:tr>
      <w:tr>
        <w:trPr>
          <w:cantSplit/>
        </w:trPr>
        <w:tc>
          <w:tcPr>
            <w:tcW w:type="dxa" w:w="1584"/>
            <w:shd w:fill="EEF5FA"/>
            <w:vAlign w:val="center"/>
            <w:tcMar>
              <w:top w:w="75" w:type="dxa"/>
              <w:start w:w="75" w:type="dxa"/>
              <w:bottom w:w="75" w:type="dxa"/>
              <w:end w:w="75" w:type="dxa"/>
            </w:tcMar>
          </w:tcPr>
          <w:p>
            <w:pPr>
              <w:jc w:val="left"/>
            </w:pPr>
            <w:r>
              <w:rPr>
                <w:rFonts w:ascii="Aptos" w:hAnsi="Aptos"/>
                <w:sz w:val="18"/>
              </w:rPr>
              <w:t>Appendix H</w:t>
            </w:r>
          </w:p>
        </w:tc>
        <w:tc>
          <w:tcPr>
            <w:tcW w:type="dxa" w:w="7488"/>
            <w:shd w:fill="EEF5FA"/>
            <w:vAlign w:val="center"/>
            <w:tcMar>
              <w:top w:w="75" w:type="dxa"/>
              <w:start w:w="75" w:type="dxa"/>
              <w:bottom w:w="75" w:type="dxa"/>
              <w:end w:w="75" w:type="dxa"/>
            </w:tcMar>
          </w:tcPr>
          <w:p>
            <w:pPr>
              <w:jc w:val="left"/>
            </w:pPr>
            <w:r>
              <w:rPr>
                <w:rFonts w:ascii="Aptos" w:hAnsi="Aptos"/>
                <w:sz w:val="18"/>
              </w:rPr>
              <w:t>LEA-level results and distribution tables</w:t>
            </w:r>
          </w:p>
        </w:tc>
      </w:tr>
      <w:tr>
        <w:trPr>
          <w:cantSplit/>
        </w:trPr>
        <w:tc>
          <w:tcPr>
            <w:tcW w:type="dxa" w:w="1584"/>
            <w:vAlign w:val="center"/>
            <w:tcMar>
              <w:top w:w="75" w:type="dxa"/>
              <w:start w:w="75" w:type="dxa"/>
              <w:bottom w:w="75" w:type="dxa"/>
              <w:end w:w="75" w:type="dxa"/>
            </w:tcMar>
          </w:tcPr>
          <w:p>
            <w:pPr>
              <w:jc w:val="left"/>
            </w:pPr>
            <w:r>
              <w:rPr>
                <w:rFonts w:ascii="Aptos" w:hAnsi="Aptos"/>
                <w:sz w:val="18"/>
              </w:rPr>
              <w:t>Appendix I</w:t>
            </w:r>
          </w:p>
        </w:tc>
        <w:tc>
          <w:tcPr>
            <w:tcW w:type="dxa" w:w="7488"/>
            <w:vAlign w:val="center"/>
            <w:tcMar>
              <w:top w:w="75" w:type="dxa"/>
              <w:start w:w="75" w:type="dxa"/>
              <w:bottom w:w="75" w:type="dxa"/>
              <w:end w:w="75" w:type="dxa"/>
            </w:tcMar>
          </w:tcPr>
          <w:p>
            <w:pPr>
              <w:jc w:val="left"/>
            </w:pPr>
            <w:r>
              <w:rPr>
                <w:rFonts w:ascii="Aptos" w:hAnsi="Aptos"/>
                <w:sz w:val="18"/>
              </w:rPr>
              <w:t>Quality control, rounding rules, and exhibit traceability</w:t>
            </w:r>
          </w:p>
        </w:tc>
      </w:tr>
    </w:tbl>
    <w:p>
      <w:pPr>
        <w:spacing w:after="100" w:line="259" w:lineRule="auto"/>
      </w:pPr>
    </w:p>
    <w:p>
      <w:pPr>
        <w:spacing w:after="100" w:line="259" w:lineRule="auto"/>
      </w:pPr>
      <w:r>
        <w:rPr>
          <w:rFonts w:ascii="Aptos" w:hAnsi="Aptos"/>
          <w:color w:val="000000"/>
          <w:sz w:val="21"/>
        </w:rPr>
        <w:t>The main report and appendices should be treated as a matched set. The main report explains what the models do, what the independent review found, and why the differences matter. The appendices show exactly how the inputs, formulas, source choices, and quality checks support those conclusions.</w:t>
      </w:r>
    </w:p>
    <w:p>
      <w:pPr>
        <w:spacing w:before="360" w:after="100" w:line="259" w:lineRule="auto"/>
        <w:jc w:val="center"/>
      </w:pPr>
      <w:r>
        <w:rPr>
          <w:rFonts w:ascii="Aptos" w:hAnsi="Aptos"/>
          <w:b/>
          <w:color w:val="000000"/>
          <w:sz w:val="21"/>
        </w:rPr>
        <w:t>END OF FIRST FULL DRAFT</w:t>
      </w:r>
    </w:p>
    <w:sectPr w:rsidR="00FC693F" w:rsidRPr="0006063C" w:rsidSect="00034616">
      <w:headerReference w:type="default" r:id="rId9"/>
      <w:footerReference w:type="default" r:id="rId10"/>
      <w:pgSz w:w="12240" w:h="15840"/>
      <w:pgMar w:top="1037"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7"/>
      </w:rPr>
      <w:t xml:space="preserve">Page </w:t>
    </w:r>
    <w:fldSimple w:instr="PAGE">
      <w:r>
        <w:rPr>
          <w:rFonts w:ascii="Aptos" w:hAnsi="Aptos"/>
          <w:sz w:val="17"/>
          <w:color w:val="59595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95959"/>
        <w:sz w:val="17"/>
      </w:rPr>
      <w:t>DELAWARE SCHOOL FUNDING MODEL ANALYSIS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hibitTitle">
    <w:name w:val="Exhibit Title"/>
    <w:rPr>
      <w:rFonts w:ascii="Aptos" w:hAnsi="Aptos"/>
      <w:b/>
      <w:color w:val="1F4E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44C0F6-08F9-4549-9ECE-19D93EA5D384}"/>
</file>

<file path=customXml/itemProps3.xml><?xml version="1.0" encoding="utf-8"?>
<ds:datastoreItem xmlns:ds="http://schemas.openxmlformats.org/officeDocument/2006/customXml" ds:itemID="{06CAA5BF-6CFF-4EC8-9938-70F1894259EE}"/>
</file>

<file path=customXml/itemProps4.xml><?xml version="1.0" encoding="utf-8"?>
<ds:datastoreItem xmlns:ds="http://schemas.openxmlformats.org/officeDocument/2006/customXml" ds:itemID="{447F5EC5-A220-4EEA-A49A-31269041AFB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ies>
</file>