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ReportLabel"/>
      </w:pPr>
      <w:r>
        <w:t>PRELIMINARY SUMMARY</w:t>
      </w:r>
    </w:p>
    <w:p>
      <w:pPr>
        <w:pStyle w:val="Title"/>
      </w:pPr>
      <w:r>
        <w:t>Preliminary Comparison of the Current School Funding Model and Proposed Hybrid Funding Model</w:t>
      </w:r>
    </w:p>
    <w:p>
      <w:pPr>
        <w:pStyle w:val="Subtitle"/>
      </w:pPr>
      <w:r>
        <w:t>Updated model results with a complete technical appendix</w:t>
      </w:r>
    </w:p>
    <w:p>
      <w:pPr>
        <w:spacing w:after="160"/>
      </w:pPr>
      <w:r>
        <w:t>July 22, 2026</w:t>
      </w:r>
    </w:p>
    <w:p>
      <w:pPr>
        <w:widowControl/>
      </w:pPr>
      <w:r>
        <w:t>This report compares a recreated portion of Delaware's current school funding model with the four-section proposed hybrid model implemented in the attached R pipeline. It uses the latest completed run, reconciles the headline results to the code and source files, and documents the formulas in enough detail for technical review.</w:t>
      </w:r>
    </w:p>
    <w:tbl>
      <w:tblPr>
        <w:tblW w:type="auto" w:w="0"/>
        <w:jc w:val="center"/>
        <w:tblLayout w:type="fixed"/>
        <w:tblLook w:firstColumn="1" w:firstRow="1" w:lastColumn="0" w:lastRow="0" w:noHBand="0" w:noVBand="1" w:val="04A0"/>
        <w:tblBorders>
          <w:top w:val="single" w:sz="4" w:space="0" w:color="E6D18A"/>
          <w:left w:val="single" w:sz="4" w:space="0" w:color="E6D18A"/>
          <w:bottom w:val="single" w:sz="4" w:space="0" w:color="E6D18A"/>
          <w:right w:val="single" w:sz="4" w:space="0" w:color="E6D18A"/>
          <w:insideH w:val="single" w:sz="4" w:space="0" w:color="E6D18A"/>
          <w:insideV w:val="single" w:sz="4" w:space="0" w:color="E6D18A"/>
        </w:tblBorders>
      </w:tblPr>
      <w:tblGrid>
        <w:gridCol w:w="9792"/>
      </w:tblGrid>
      <w:tr>
        <w:tc>
          <w:tcPr>
            <w:tcW w:type="dxa" w:w="9792"/>
            <w:shd w:fill="FFF2CC"/>
            <w:tcMar>
              <w:top w:w="90" w:type="dxa"/>
              <w:start w:w="100" w:type="dxa"/>
              <w:bottom w:w="90" w:type="dxa"/>
              <w:end w:w="100" w:type="dxa"/>
            </w:tcMar>
          </w:tcPr>
          <w:p>
            <w:pPr>
              <w:spacing w:after="60"/>
            </w:pPr>
            <w:r/>
            <w:r>
              <w:rPr>
                <w:rFonts w:ascii="Aptos" w:hAnsi="Aptos"/>
                <w:b/>
                <w:color w:val="9C5700"/>
                <w:sz w:val="18"/>
              </w:rPr>
              <w:t>How to read the headline result</w:t>
            </w:r>
          </w:p>
          <w:p>
            <w:pPr>
              <w:spacing w:after="0"/>
            </w:pPr>
            <w:r>
              <w:rPr>
                <w:rFonts w:ascii="Aptos" w:hAnsi="Aptos"/>
                <w:sz w:val="17"/>
              </w:rPr>
              <w:t>The current-model total is partial, while the proposed total covers Base, Central Office, Opportunity, and Operational Funding. The full-model difference is therefore a gross modeled allocation difference. It is not a confirmed net increase in state spending.</w:t>
            </w:r>
          </w:p>
        </w:tc>
      </w:tr>
    </w:tbl>
    <w:p>
      <w:pPr>
        <w:spacing w:after="0"/>
      </w:pPr>
    </w:p>
    <w:p>
      <w:pPr>
        <w:pStyle w:val="Heading1"/>
        <w:keepNext/>
      </w:pPr>
      <w:r>
        <w:t>Main Takeaways</w:t>
      </w:r>
    </w:p>
    <w:p>
      <w:pPr>
        <w:pStyle w:val="ListBullet"/>
        <w:spacing w:after="60"/>
        <w:ind w:left="317" w:hanging="173"/>
      </w:pPr>
      <w:r>
        <w:t>The full proposed model allocates $2,049.3M in the adjusted statewide scope, compared with $1,562.2M captured in the partial recreated current model. The gross modeled allocation difference is $487.1M, or +31.2%.</w:t>
      </w:r>
    </w:p>
    <w:p>
      <w:pPr>
        <w:pStyle w:val="ListBullet"/>
        <w:spacing w:after="60"/>
        <w:ind w:left="317" w:hanging="173"/>
      </w:pPr>
      <w:r>
        <w:t>Proposed Base and Central Office Funding total $1,607.3M. This is $45.0M and +2.9% above the current modeled total.</w:t>
      </w:r>
    </w:p>
    <w:p>
      <w:pPr>
        <w:pStyle w:val="ListBullet"/>
        <w:spacing w:after="60"/>
        <w:ind w:left="317" w:hanging="173"/>
      </w:pPr>
      <w:r>
        <w:t>The position-based result changed materially from the draft because the latest run uses the confirmed 20-percent Instructional Supports rule. Instructional Supports also enter the Administrative Support Professional and Assistant Principal bases.</w:t>
      </w:r>
    </w:p>
    <w:p>
      <w:pPr>
        <w:pStyle w:val="ListBullet"/>
        <w:spacing w:after="60"/>
        <w:ind w:left="317" w:hanging="173"/>
      </w:pPr>
      <w:r>
        <w:t>All 42 included LEAs increase under the gross full-model comparison. Under the position-based comparison, 41 increase and 1 LEA decreases. Christina is the only decrease.</w:t>
      </w:r>
    </w:p>
    <w:p>
      <w:pPr>
        <w:pStyle w:val="ListBullet"/>
        <w:spacing w:after="60"/>
        <w:ind w:left="317" w:hanging="173"/>
      </w:pPr>
      <w:r>
        <w:t>Opportunity and Operational Funding use fixed pools of $163.0M and $279.0M. The weights stay fixed, but the per-weighted-student rates change when eligible weighted enrollment or the reporting scope changes. Possible current counterparts outside the recreated baseline include Division II operating support, the existing Opportunity Fund, and selected FY25 Other Items ($249.4M) and block grants ($74.9M). These broad categories are not treated as offsets until an FY26 appropriation-level crosswalk identifies what would continue or be replaced.</w:t>
      </w:r>
    </w:p>
    <w:p>
      <w:pPr>
        <w:pStyle w:val="ListBullet"/>
        <w:spacing w:after="60"/>
        <w:ind w:left="317" w:hanging="173"/>
      </w:pPr>
      <w:r>
        <w:t>The current recreation still lacks site-evaluated custodian positions and a custodian rate; custodial-unit counts for Buildings and Grounds Supervisor eligibility; school-lunch-program indicators needed to determine Food Services Supervisor eligibility in smaller LEAs; charter satellite-cafeteria counts; and rates for charter Cafeteria Managers and Workers. Only the base 0.73 Cafeteria Manager position is shown provisionally. The separate district cafeteria process is also outside the model. Missing information remains uncalculated, not zero.</w:t>
      </w:r>
    </w:p>
    <w:p>
      <w:pPr>
        <w:pStyle w:val="Heading1"/>
        <w:keepNext/>
      </w:pPr>
      <w:r>
        <w:t>Purpose and Scope</w:t>
      </w:r>
    </w:p>
    <w:p>
      <w:pPr>
        <w:widowControl/>
      </w:pPr>
      <w:r>
        <w:t>The analysis asks a practical question: if the current and proposed formulas are applied to one shared 2025-26 input file, how do the modeled allocations differ? It is a formula comparison, not a forecast of each LEA's final budget.</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3456"/>
            <w:shd w:fill="17365D"/>
            <w:tcMar>
              <w:top w:w="55" w:type="dxa"/>
              <w:start w:w="65" w:type="dxa"/>
              <w:bottom w:w="55" w:type="dxa"/>
              <w:end w:w="65" w:type="dxa"/>
            </w:tcMar>
            <w:vAlign w:val="center"/>
          </w:tcPr>
          <w:p>
            <w:pPr>
              <w:spacing w:after="0" w:before="0" w:line="240" w:lineRule="auto"/>
            </w:pPr>
            <w:r>
              <w:rPr>
                <w:rFonts w:ascii="Aptos" w:hAnsi="Aptos"/>
                <w:b/>
                <w:color w:val="FFFFFF"/>
                <w:sz w:val="17"/>
              </w:rPr>
              <w:t>Scope item</w:t>
            </w:r>
          </w:p>
        </w:tc>
        <w:tc>
          <w:tcPr>
            <w:tcW w:type="dxa" w:w="6048"/>
            <w:shd w:fill="17365D"/>
            <w:tcMar>
              <w:top w:w="55" w:type="dxa"/>
              <w:start w:w="65" w:type="dxa"/>
              <w:bottom w:w="55" w:type="dxa"/>
              <w:end w:w="65" w:type="dxa"/>
            </w:tcMar>
            <w:vAlign w:val="center"/>
          </w:tcPr>
          <w:p>
            <w:pPr>
              <w:spacing w:after="0" w:before="0" w:line="240" w:lineRule="auto"/>
            </w:pPr>
            <w:r>
              <w:rPr>
                <w:rFonts w:ascii="Aptos" w:hAnsi="Aptos"/>
                <w:b/>
                <w:color w:val="FFFFFF"/>
                <w:sz w:val="17"/>
              </w:rPr>
              <w:t>Latest run</w:t>
            </w:r>
          </w:p>
        </w:tc>
      </w:tr>
      <w:tr>
        <w:trPr>
          <w:cantSplit/>
        </w:trPr>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School year</w:t>
            </w:r>
          </w:p>
        </w:tc>
        <w:tc>
          <w:tcPr>
            <w:tcW w:type="dxa" w:w="60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2026</w:t>
            </w:r>
          </w:p>
        </w:tc>
      </w:tr>
      <w:tr>
        <w:trPr>
          <w:cantSplit/>
        </w:trPr>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Reporting date label</w:t>
            </w:r>
          </w:p>
        </w:tc>
        <w:tc>
          <w:tcPr>
            <w:tcW w:type="dxa" w:w="60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2025-09-30</w:t>
            </w:r>
          </w:p>
        </w:tc>
      </w:tr>
      <w:tr>
        <w:trPr>
          <w:cantSplit/>
        </w:trPr>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Reporting scope</w:t>
            </w:r>
          </w:p>
        </w:tc>
        <w:tc>
          <w:tcPr>
            <w:tcW w:type="dxa" w:w="60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Excludes DAFB and Bryan Allen Stevenson School of Excellence</w:t>
            </w:r>
          </w:p>
        </w:tc>
      </w:tr>
      <w:tr>
        <w:trPr>
          <w:cantSplit/>
        </w:trPr>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Enrollment</w:t>
            </w:r>
          </w:p>
        </w:tc>
        <w:tc>
          <w:tcPr>
            <w:tcW w:type="dxa" w:w="60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140,706</w:t>
            </w:r>
          </w:p>
        </w:tc>
      </w:tr>
      <w:tr>
        <w:trPr>
          <w:cantSplit/>
        </w:trPr>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LEAs</w:t>
            </w:r>
          </w:p>
        </w:tc>
        <w:tc>
          <w:tcPr>
            <w:tcW w:type="dxa" w:w="60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42 (19 districts; 23 charters)</w:t>
            </w:r>
          </w:p>
        </w:tc>
      </w:tr>
      <w:tr>
        <w:trPr>
          <w:cantSplit/>
        </w:trPr>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Coded schools</w:t>
            </w:r>
          </w:p>
        </w:tc>
        <w:tc>
          <w:tcPr>
            <w:tcW w:type="dxa" w:w="60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228</w:t>
            </w:r>
          </w:p>
        </w:tc>
      </w:tr>
      <w:tr>
        <w:trPr>
          <w:cantSplit/>
        </w:trPr>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No-code vocational/program records</w:t>
            </w:r>
          </w:p>
        </w:tc>
        <w:tc>
          <w:tcPr>
            <w:tcW w:type="dxa" w:w="60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5</w:t>
            </w:r>
          </w:p>
        </w:tc>
      </w:tr>
      <w:tr>
        <w:trPr>
          <w:cantSplit/>
        </w:trPr>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Proposed calculation units</w:t>
            </w:r>
          </w:p>
        </w:tc>
        <w:tc>
          <w:tcPr>
            <w:tcW w:type="dxa" w:w="60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252</w:t>
            </w:r>
          </w:p>
        </w:tc>
      </w:tr>
    </w:tbl>
    <w:p>
      <w:pPr>
        <w:spacing w:after="0"/>
      </w:pPr>
    </w:p>
    <w:p>
      <w:pPr>
        <w:pStyle w:val="Caption"/>
        <w:spacing w:before="20" w:after="100"/>
      </w:pPr>
      <w:r>
        <w:rPr>
          <w:b w:val="0"/>
          <w:i/>
          <w:color w:val="5B6573"/>
        </w:rPr>
        <w:t>Source: 10_report_summary.csv and 10_adjusted_state_summary.csv.</w:t>
      </w:r>
    </w:p>
    <w:p>
      <w:pPr>
        <w:widowControl/>
      </w:pPr>
      <w:r>
        <w:t>DAFB is calculated in the detailed model but excluded from statewide results. Step 10 then removes Bryan Allen Stevenson School of Excellence because 2025-26 was its final year of operation. The two fixed weighted pools are retained and redistributed across the remaining eligible weighted units.</w:t>
      </w:r>
    </w:p>
    <w:p>
      <w:pPr>
        <w:pStyle w:val="Heading1"/>
        <w:keepNext/>
      </w:pPr>
      <w:r>
        <w:t>How to Interpret the Comparison</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Term</w:t>
            </w:r>
          </w:p>
        </w:tc>
        <w:tc>
          <w:tcPr>
            <w:tcW w:type="dxa" w:w="662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Plain-language meaning</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Current modeled funding</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The known amount produced by the recreated current formulas and available rates. It excludes components that cannot yet be calculated or priced.</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position-based funding</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Base Funding plus Central Office Funding. This is the cleaner formula-to-formula comparison, although the current baseline is still partial.</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Weighted funding</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Opportunity plus Operational Funding. Weighted units are allocation units, not additional students or positions.</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Full proposed model</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Base, Central Office, Opportunity, and Operational Funding combined.</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Gross modeled allocation difference</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The full proposed amount minus the partial recreated current amount. Existing appropriations that may be replaced have not been netted out.</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Net fiscal effect</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Not yet known. It requires a program-by-program appropriation crosswalk and complete current-model costs.</w:t>
            </w:r>
          </w:p>
        </w:tc>
      </w:tr>
    </w:tbl>
    <w:p>
      <w:pPr>
        <w:spacing w:after="0"/>
      </w:pPr>
    </w:p>
    <w:tbl>
      <w:tblPr>
        <w:tblW w:type="auto" w:w="0"/>
        <w:jc w:val="center"/>
        <w:tblLayout w:type="fixed"/>
        <w:tblLook w:firstColumn="1" w:firstRow="1" w:lastColumn="0" w:lastRow="0" w:noHBand="0" w:noVBand="1" w:val="04A0"/>
        <w:tblBorders>
          <w:top w:val="single" w:sz="4" w:space="0" w:color="E6D18A"/>
          <w:left w:val="single" w:sz="4" w:space="0" w:color="E6D18A"/>
          <w:bottom w:val="single" w:sz="4" w:space="0" w:color="E6D18A"/>
          <w:right w:val="single" w:sz="4" w:space="0" w:color="E6D18A"/>
          <w:insideH w:val="single" w:sz="4" w:space="0" w:color="E6D18A"/>
          <w:insideV w:val="single" w:sz="4" w:space="0" w:color="E6D18A"/>
        </w:tblBorders>
      </w:tblPr>
      <w:tblGrid>
        <w:gridCol w:w="9792"/>
      </w:tblGrid>
      <w:tr>
        <w:tc>
          <w:tcPr>
            <w:tcW w:type="dxa" w:w="9792"/>
            <w:shd w:fill="FFF2CC"/>
            <w:tcMar>
              <w:top w:w="90" w:type="dxa"/>
              <w:start w:w="100" w:type="dxa"/>
              <w:bottom w:w="90" w:type="dxa"/>
              <w:end w:w="100" w:type="dxa"/>
            </w:tcMar>
          </w:tcPr>
          <w:p>
            <w:pPr>
              <w:spacing w:after="60"/>
            </w:pPr>
            <w:r/>
            <w:r>
              <w:rPr>
                <w:rFonts w:ascii="Aptos" w:hAnsi="Aptos"/>
                <w:b/>
                <w:color w:val="9C5700"/>
                <w:sz w:val="18"/>
              </w:rPr>
              <w:t>Two guardrails</w:t>
            </w:r>
          </w:p>
          <w:p>
            <w:pPr>
              <w:spacing w:after="0"/>
            </w:pPr>
            <w:r>
              <w:rPr>
                <w:rFonts w:ascii="Aptos" w:hAnsi="Aptos"/>
                <w:sz w:val="17"/>
              </w:rPr>
              <w:t>A blank or uncalculated current amount does not mean the component receives no funding. Likewise, a current position with no direct proposed position line may be consolidated into another proposed component rather than eliminated.</w:t>
            </w:r>
          </w:p>
        </w:tc>
      </w:tr>
    </w:tbl>
    <w:p>
      <w:pPr>
        <w:spacing w:after="0"/>
      </w:pPr>
    </w:p>
    <w:p>
      <w:pPr>
        <w:pStyle w:val="Heading1"/>
        <w:keepNext/>
      </w:pPr>
      <w:r>
        <w:t>Shared Modeling Inputs</w:t>
      </w:r>
    </w:p>
    <w:p>
      <w:pPr>
        <w:widowControl/>
      </w:pPr>
      <w:r>
        <w:t>Both models begin with the same adjusted-scope student and program inputs. The six base enrollment categories are mutually exclusive and add to total enrollment. Regular K-3 and Grades 4-12 total 113,569 students; Basic Pre-K, Basic K-12, Intensive, and Complex total 27,137. Low income, active multilingual learner, K-8, Grade 10, and vocational counts overlap with those base categories and should not be added to estimate total enrollment.</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3312"/>
            <w:shd w:fill="17365D"/>
            <w:tcMar>
              <w:top w:w="55" w:type="dxa"/>
              <w:start w:w="65" w:type="dxa"/>
              <w:bottom w:w="55" w:type="dxa"/>
              <w:end w:w="65" w:type="dxa"/>
            </w:tcMar>
            <w:vAlign w:val="center"/>
          </w:tcPr>
          <w:p>
            <w:pPr>
              <w:spacing w:after="0" w:before="0" w:line="240" w:lineRule="auto"/>
            </w:pPr>
            <w:r>
              <w:rPr>
                <w:rFonts w:ascii="Aptos" w:hAnsi="Aptos"/>
                <w:b/>
                <w:color w:val="FFFFFF"/>
                <w:sz w:val="16"/>
              </w:rPr>
              <w:t>Measure</w:t>
            </w:r>
          </w:p>
        </w:tc>
        <w:tc>
          <w:tcPr>
            <w:tcW w:type="dxa" w:w="1728"/>
            <w:shd w:fill="17365D"/>
            <w:tcMar>
              <w:top w:w="55" w:type="dxa"/>
              <w:start w:w="65" w:type="dxa"/>
              <w:bottom w:w="55" w:type="dxa"/>
              <w:end w:w="65" w:type="dxa"/>
            </w:tcMar>
            <w:vAlign w:val="center"/>
          </w:tcPr>
          <w:p>
            <w:pPr>
              <w:spacing w:after="0" w:before="0" w:line="240" w:lineRule="auto"/>
            </w:pPr>
            <w:r>
              <w:rPr>
                <w:rFonts w:ascii="Aptos" w:hAnsi="Aptos"/>
                <w:b/>
                <w:color w:val="FFFFFF"/>
                <w:sz w:val="16"/>
              </w:rPr>
              <w:t>Adjusted total</w:t>
            </w:r>
          </w:p>
        </w:tc>
        <w:tc>
          <w:tcPr>
            <w:tcW w:type="dxa" w:w="446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Definition or role</w:t>
            </w:r>
          </w:p>
        </w:tc>
      </w:tr>
      <w:tr>
        <w:trPr>
          <w:cantSplit/>
        </w:trPr>
        <w:tc>
          <w:tcPr>
            <w:tcW w:type="dxa" w:w="33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Total enrollment</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140,706</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Student headcount</w:t>
            </w:r>
          </w:p>
        </w:tc>
      </w:tr>
      <w:tr>
        <w:trPr>
          <w:cantSplit/>
        </w:trPr>
        <w:tc>
          <w:tcPr>
            <w:tcW w:type="dxa" w:w="33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Regular K-3 enrollment</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33,859</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Model input for K-3 regular education</w:t>
            </w:r>
          </w:p>
        </w:tc>
      </w:tr>
      <w:tr>
        <w:trPr>
          <w:cantSplit/>
        </w:trPr>
        <w:tc>
          <w:tcPr>
            <w:tcW w:type="dxa" w:w="33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Regular Grades 4-12 enrollment</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79,710</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Model input for Grades 4-12 regular education</w:t>
            </w:r>
          </w:p>
        </w:tc>
      </w:tr>
      <w:tr>
        <w:trPr>
          <w:cantSplit/>
        </w:trPr>
        <w:tc>
          <w:tcPr>
            <w:tcW w:type="dxa" w:w="33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Basic Pre-K special education</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1,103</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Reported unit-count category</w:t>
            </w:r>
          </w:p>
        </w:tc>
      </w:tr>
      <w:tr>
        <w:trPr>
          <w:cantSplit/>
        </w:trPr>
        <w:tc>
          <w:tcPr>
            <w:tcW w:type="dxa" w:w="33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Basic K-12 special education</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12,768</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Reported unit-count category</w:t>
            </w:r>
          </w:p>
        </w:tc>
      </w:tr>
      <w:tr>
        <w:trPr>
          <w:cantSplit/>
        </w:trPr>
        <w:tc>
          <w:tcPr>
            <w:tcW w:type="dxa" w:w="33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Intensive special education</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6,902</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Reported unit-count category</w:t>
            </w:r>
          </w:p>
        </w:tc>
      </w:tr>
      <w:tr>
        <w:trPr>
          <w:cantSplit/>
        </w:trPr>
        <w:tc>
          <w:tcPr>
            <w:tcW w:type="dxa" w:w="33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Complex special education</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6,364</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Reported unit-count category</w:t>
            </w:r>
          </w:p>
        </w:tc>
      </w:tr>
      <w:tr>
        <w:trPr>
          <w:cantSplit/>
        </w:trPr>
        <w:tc>
          <w:tcPr>
            <w:tcW w:type="dxa" w:w="33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Low income</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36,673</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LowIncome = LOWINC</w:t>
            </w:r>
          </w:p>
        </w:tc>
      </w:tr>
      <w:tr>
        <w:trPr>
          <w:cantSplit/>
        </w:trPr>
        <w:tc>
          <w:tcPr>
            <w:tcW w:type="dxa" w:w="33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Active multilingual learner</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17,355</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ELL = ELL; ELM and ELX excluded</w:t>
            </w:r>
          </w:p>
        </w:tc>
      </w:tr>
      <w:tr>
        <w:trPr>
          <w:cantSplit/>
        </w:trPr>
        <w:tc>
          <w:tcPr>
            <w:tcW w:type="dxa" w:w="33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K-8 enrollment</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92,756</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Kindergarten through Grade 8</w:t>
            </w:r>
          </w:p>
        </w:tc>
      </w:tr>
      <w:tr>
        <w:trPr>
          <w:cantSplit/>
        </w:trPr>
        <w:tc>
          <w:tcPr>
            <w:tcW w:type="dxa" w:w="33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Grade 10 enrollment</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11,449</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Grade 10</w:t>
            </w:r>
          </w:p>
        </w:tc>
      </w:tr>
      <w:tr>
        <w:trPr>
          <w:cantSplit/>
        </w:trPr>
        <w:tc>
          <w:tcPr>
            <w:tcW w:type="dxa" w:w="33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Operational vocational enrollment</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18,236</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Calculator vocational input in adjusted scope</w:t>
            </w:r>
          </w:p>
        </w:tc>
      </w:tr>
      <w:tr>
        <w:trPr>
          <w:cantSplit/>
        </w:trPr>
        <w:tc>
          <w:tcPr>
            <w:tcW w:type="dxa" w:w="33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Vocational Division I positions</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838.83</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Continuous reported position quantity</w:t>
            </w:r>
          </w:p>
        </w:tc>
      </w:tr>
      <w:tr>
        <w:trPr>
          <w:cantSplit/>
        </w:trPr>
        <w:tc>
          <w:tcPr>
            <w:tcW w:type="dxa" w:w="33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Vocational deduct</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−419.61</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Continuous negative reported position quantity</w:t>
            </w:r>
          </w:p>
        </w:tc>
      </w:tr>
    </w:tbl>
    <w:p>
      <w:pPr>
        <w:spacing w:after="0"/>
      </w:pPr>
    </w:p>
    <w:p>
      <w:pPr>
        <w:pStyle w:val="Caption"/>
        <w:spacing w:before="20" w:after="100"/>
      </w:pPr>
      <w:r>
        <w:rPr>
          <w:b w:val="0"/>
          <w:i/>
          <w:color w:val="5B6573"/>
        </w:rPr>
        <w:t>Source: 06_proposed_weighted_input.csv, 10_adjusted_state_summary.csv, 10_adjusted_weighted_component_summary.csv, and the adjusted position detail derived from 05_current_model_funding_detail.csv.</w:t>
      </w:r>
    </w:p>
    <w:p>
      <w:pPr>
        <w:pStyle w:val="Heading1"/>
        <w:keepNext/>
      </w:pPr>
      <w:r>
        <w:t>How the Two Models Differ</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5"/>
              </w:rPr>
              <w:t>Area</w:t>
            </w:r>
          </w:p>
        </w:tc>
        <w:tc>
          <w:tcPr>
            <w:tcW w:type="dxa" w:w="367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Current model as recreated</w:t>
            </w:r>
          </w:p>
        </w:tc>
        <w:tc>
          <w:tcPr>
            <w:tcW w:type="dxa" w:w="3744"/>
            <w:shd w:fill="17365D"/>
            <w:tcMar>
              <w:top w:w="55" w:type="dxa"/>
              <w:start w:w="65" w:type="dxa"/>
              <w:bottom w:w="55" w:type="dxa"/>
              <w:end w:w="65" w:type="dxa"/>
            </w:tcMar>
            <w:vAlign w:val="center"/>
          </w:tcPr>
          <w:p>
            <w:pPr>
              <w:spacing w:after="0" w:before="0" w:line="240" w:lineRule="auto"/>
            </w:pPr>
            <w:r>
              <w:rPr>
                <w:rFonts w:ascii="Aptos" w:hAnsi="Aptos"/>
                <w:b/>
                <w:color w:val="FFFFFF"/>
                <w:sz w:val="15"/>
              </w:rPr>
              <w:t>Proposed model as implemented</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Base teachers</w:t>
            </w:r>
          </w:p>
        </w:tc>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Uses reported unit-count positions.</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Recalculates K-3, Grades 4-12, Basic, Intensive, and Complex positions from enrollment ratios; retains vocational units and deducts.</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School calculation unit</w:t>
            </w:r>
          </w:p>
        </w:tc>
        <w:tc>
          <w:tcPr>
            <w:tcW w:type="dxa" w:w="367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Uses one coded school for school-based formulas; no-code rows keep only vocational adjustments.</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Uses district and DAFB school codes, but uses calculator building rows for charter organizations.</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Principals</w:t>
            </w:r>
          </w:p>
        </w:tc>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One at 15 or more Division I units.</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One per proposed calculation unit.</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Support positions</w:t>
            </w:r>
          </w:p>
        </w:tc>
        <w:tc>
          <w:tcPr>
            <w:tcW w:type="dxa" w:w="367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Funds separate counselors, psychologists, nurses, Academic Excellence, Driver Education, Related Services, Visiting Teachers, secretaries, and other lines.</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Consolidates many functions into Instructional Supports at 20 percent of Base Division I positions and Administrative Support Professionals under tiered thresholds.</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Central office</w:t>
            </w:r>
          </w:p>
        </w:tc>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Uses legacy formulas and eligibility; several roles are district-only.</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Calculates nine central-office components once per LEA, including charter LEAs.</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Student-weighted funding</w:t>
            </w:r>
          </w:p>
        </w:tc>
        <w:tc>
          <w:tcPr>
            <w:tcW w:type="dxa" w:w="367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Not represented as a comparable statewide weighted pool in this recreated baseline.</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Distributes fixed Opportunity and Operational pools using policy weights and recalculated rates.</w:t>
            </w:r>
          </w:p>
        </w:tc>
      </w:tr>
    </w:tbl>
    <w:p>
      <w:pPr>
        <w:spacing w:after="0"/>
      </w:pPr>
    </w:p>
    <w:p>
      <w:pPr>
        <w:pStyle w:val="Heading1"/>
        <w:keepNext/>
      </w:pPr>
      <w:r>
        <w:t>Statewide Funding Results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3672"/>
            <w:shd w:fill="17365D"/>
            <w:tcMar>
              <w:top w:w="55" w:type="dxa"/>
              <w:start w:w="65" w:type="dxa"/>
              <w:bottom w:w="55" w:type="dxa"/>
              <w:end w:w="65" w:type="dxa"/>
            </w:tcMar>
            <w:vAlign w:val="center"/>
          </w:tcPr>
          <w:p>
            <w:pPr>
              <w:spacing w:after="0" w:before="0" w:line="240" w:lineRule="auto"/>
            </w:pPr>
            <w:r>
              <w:rPr>
                <w:rFonts w:ascii="Aptos" w:hAnsi="Aptos"/>
                <w:b/>
                <w:color w:val="FFFFFF"/>
                <w:sz w:val="16"/>
              </w:rPr>
              <w:t>Measure</w:t>
            </w:r>
          </w:p>
        </w:tc>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6"/>
              </w:rPr>
              <w:t>Amount</w:t>
            </w:r>
          </w:p>
        </w:tc>
        <w:tc>
          <w:tcPr>
            <w:tcW w:type="dxa" w:w="374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Interpretation</w:t>
            </w:r>
          </w:p>
        </w:tc>
      </w:tr>
      <w:tr>
        <w:trPr>
          <w:cantSplit/>
        </w:trPr>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Current modeled funding</w:t>
            </w:r>
          </w:p>
        </w:tc>
        <w:tc>
          <w:tcPr>
            <w:tcW w:type="dxa" w:w="208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$1,562.2M</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Partial known current baseline</w:t>
            </w:r>
          </w:p>
        </w:tc>
      </w:tr>
      <w:tr>
        <w:trPr>
          <w:cantSplit/>
        </w:trPr>
        <w:tc>
          <w:tcPr>
            <w:tcW w:type="dxa" w:w="367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Base Funding</w:t>
            </w:r>
          </w:p>
        </w:tc>
        <w:tc>
          <w:tcPr>
            <w:tcW w:type="dxa" w:w="208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$1,555.6M</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Position-based</w:t>
            </w:r>
          </w:p>
        </w:tc>
      </w:tr>
      <w:tr>
        <w:trPr>
          <w:cantSplit/>
        </w:trPr>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Central Office Funding</w:t>
            </w:r>
          </w:p>
        </w:tc>
        <w:tc>
          <w:tcPr>
            <w:tcW w:type="dxa" w:w="208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$51.7M</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Position-based</w:t>
            </w:r>
          </w:p>
        </w:tc>
      </w:tr>
      <w:tr>
        <w:trPr>
          <w:cantSplit/>
        </w:trPr>
        <w:tc>
          <w:tcPr>
            <w:tcW w:type="dxa" w:w="367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position-based funding</w:t>
            </w:r>
          </w:p>
        </w:tc>
        <w:tc>
          <w:tcPr>
            <w:tcW w:type="dxa" w:w="208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$1,607.3M</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Base + Central Office</w:t>
            </w:r>
          </w:p>
        </w:tc>
      </w:tr>
      <w:tr>
        <w:trPr>
          <w:cantSplit/>
        </w:trPr>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Position-based difference</w:t>
            </w:r>
          </w:p>
        </w:tc>
        <w:tc>
          <w:tcPr>
            <w:tcW w:type="dxa" w:w="208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$45.0M</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+2.9%</w:t>
            </w:r>
          </w:p>
        </w:tc>
      </w:tr>
      <w:tr>
        <w:trPr>
          <w:cantSplit/>
        </w:trPr>
        <w:tc>
          <w:tcPr>
            <w:tcW w:type="dxa" w:w="367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Opportunity Funding</w:t>
            </w:r>
          </w:p>
        </w:tc>
        <w:tc>
          <w:tcPr>
            <w:tcW w:type="dxa" w:w="208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$163.0M</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Fixed pool</w:t>
            </w:r>
          </w:p>
        </w:tc>
      </w:tr>
      <w:tr>
        <w:trPr>
          <w:cantSplit/>
        </w:trPr>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Operational Funding</w:t>
            </w:r>
          </w:p>
        </w:tc>
        <w:tc>
          <w:tcPr>
            <w:tcW w:type="dxa" w:w="208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$279.0M</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Fixed pool</w:t>
            </w:r>
          </w:p>
        </w:tc>
      </w:tr>
      <w:tr>
        <w:trPr>
          <w:cantSplit/>
        </w:trPr>
        <w:tc>
          <w:tcPr>
            <w:tcW w:type="dxa" w:w="367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Full proposed model</w:t>
            </w:r>
          </w:p>
        </w:tc>
        <w:tc>
          <w:tcPr>
            <w:tcW w:type="dxa" w:w="208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$2,049.3M</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All four sections</w:t>
            </w:r>
          </w:p>
        </w:tc>
      </w:tr>
      <w:tr>
        <w:trPr>
          <w:cantSplit/>
        </w:trPr>
        <w:tc>
          <w:tcPr>
            <w:tcW w:type="dxa" w:w="367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Gross full-model difference</w:t>
            </w:r>
          </w:p>
        </w:tc>
        <w:tc>
          <w:tcPr>
            <w:tcW w:type="dxa" w:w="208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$487.1M</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+31.2%</w:t>
            </w:r>
          </w:p>
        </w:tc>
      </w:tr>
    </w:tbl>
    <w:p>
      <w:pPr>
        <w:spacing w:after="0"/>
      </w:pPr>
    </w:p>
    <w:p>
      <w:pPr>
        <w:pStyle w:val="Caption"/>
        <w:spacing w:before="20" w:after="100"/>
      </w:pPr>
      <w:r>
        <w:rPr>
          <w:b w:val="0"/>
          <w:i/>
          <w:color w:val="5B6573"/>
        </w:rPr>
        <w:t>Source: 10_report_summary.csv. Full-precision values are used before presentation rounding.</w:t>
      </w:r>
    </w:p>
    <w:p>
      <w:pPr>
        <w:pStyle w:val="Heading2"/>
        <w:keepNext/>
      </w:pPr>
      <w:r>
        <w:t>Proposed funding sections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4608"/>
            <w:shd w:fill="17365D"/>
            <w:tcMar>
              <w:top w:w="55" w:type="dxa"/>
              <w:start w:w="65" w:type="dxa"/>
              <w:bottom w:w="55" w:type="dxa"/>
              <w:end w:w="65" w:type="dxa"/>
            </w:tcMar>
            <w:vAlign w:val="center"/>
          </w:tcPr>
          <w:p>
            <w:pPr>
              <w:spacing w:after="0" w:before="0" w:line="240" w:lineRule="auto"/>
            </w:pPr>
            <w:r>
              <w:rPr>
                <w:rFonts w:ascii="Aptos" w:hAnsi="Aptos"/>
                <w:b/>
                <w:color w:val="FFFFFF"/>
                <w:sz w:val="17"/>
              </w:rPr>
              <w:t>Funding section</w:t>
            </w:r>
          </w:p>
        </w:tc>
        <w:tc>
          <w:tcPr>
            <w:tcW w:type="dxa" w:w="2304"/>
            <w:shd w:fill="17365D"/>
            <w:tcMar>
              <w:top w:w="55" w:type="dxa"/>
              <w:start w:w="65" w:type="dxa"/>
              <w:bottom w:w="55" w:type="dxa"/>
              <w:end w:w="65" w:type="dxa"/>
            </w:tcMar>
            <w:vAlign w:val="center"/>
          </w:tcPr>
          <w:p>
            <w:pPr>
              <w:spacing w:after="0" w:before="0" w:line="240" w:lineRule="auto"/>
            </w:pPr>
            <w:r>
              <w:rPr>
                <w:rFonts w:ascii="Aptos" w:hAnsi="Aptos"/>
                <w:b/>
                <w:color w:val="FFFFFF"/>
                <w:sz w:val="17"/>
              </w:rPr>
              <w:t>Amount</w:t>
            </w:r>
          </w:p>
        </w:tc>
        <w:tc>
          <w:tcPr>
            <w:tcW w:type="dxa" w:w="2592"/>
            <w:shd w:fill="17365D"/>
            <w:tcMar>
              <w:top w:w="55" w:type="dxa"/>
              <w:start w:w="65" w:type="dxa"/>
              <w:bottom w:w="55" w:type="dxa"/>
              <w:end w:w="65" w:type="dxa"/>
            </w:tcMar>
            <w:vAlign w:val="center"/>
          </w:tcPr>
          <w:p>
            <w:pPr>
              <w:spacing w:after="0" w:before="0" w:line="240" w:lineRule="auto"/>
            </w:pPr>
            <w:r>
              <w:rPr>
                <w:rFonts w:ascii="Aptos" w:hAnsi="Aptos"/>
                <w:b/>
                <w:color w:val="FFFFFF"/>
                <w:sz w:val="17"/>
              </w:rPr>
              <w:t>Share of total</w:t>
            </w:r>
          </w:p>
        </w:tc>
      </w:tr>
      <w:tr>
        <w:trPr>
          <w:cantSplit/>
        </w:trPr>
        <w:tc>
          <w:tcPr>
            <w:tcW w:type="dxa" w:w="460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Base Funding</w:t>
            </w:r>
          </w:p>
        </w:tc>
        <w:tc>
          <w:tcPr>
            <w:tcW w:type="dxa" w:w="230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7"/>
              </w:rPr>
              <w:t>$1,555.6M</w:t>
            </w:r>
          </w:p>
        </w:tc>
        <w:tc>
          <w:tcPr>
            <w:tcW w:type="dxa" w:w="25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7"/>
              </w:rPr>
              <w:t>75.9%</w:t>
            </w:r>
          </w:p>
        </w:tc>
      </w:tr>
      <w:tr>
        <w:trPr>
          <w:cantSplit/>
        </w:trPr>
        <w:tc>
          <w:tcPr>
            <w:tcW w:type="dxa" w:w="460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Opportunity Funding</w:t>
            </w:r>
          </w:p>
        </w:tc>
        <w:tc>
          <w:tcPr>
            <w:tcW w:type="dxa" w:w="230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7"/>
              </w:rPr>
              <w:t>$163.0M</w:t>
            </w:r>
          </w:p>
        </w:tc>
        <w:tc>
          <w:tcPr>
            <w:tcW w:type="dxa" w:w="25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7"/>
              </w:rPr>
              <w:t>8.0%</w:t>
            </w:r>
          </w:p>
        </w:tc>
      </w:tr>
      <w:tr>
        <w:trPr>
          <w:cantSplit/>
        </w:trPr>
        <w:tc>
          <w:tcPr>
            <w:tcW w:type="dxa" w:w="460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Operational Funding</w:t>
            </w:r>
          </w:p>
        </w:tc>
        <w:tc>
          <w:tcPr>
            <w:tcW w:type="dxa" w:w="230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7"/>
              </w:rPr>
              <w:t>$279.0M</w:t>
            </w:r>
          </w:p>
        </w:tc>
        <w:tc>
          <w:tcPr>
            <w:tcW w:type="dxa" w:w="25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7"/>
              </w:rPr>
              <w:t>13.6%</w:t>
            </w:r>
          </w:p>
        </w:tc>
      </w:tr>
      <w:tr>
        <w:trPr>
          <w:cantSplit/>
        </w:trPr>
        <w:tc>
          <w:tcPr>
            <w:tcW w:type="dxa" w:w="460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7"/>
              </w:rPr>
              <w:t>Central Office Funding</w:t>
            </w:r>
          </w:p>
        </w:tc>
        <w:tc>
          <w:tcPr>
            <w:tcW w:type="dxa" w:w="230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7"/>
              </w:rPr>
              <w:t>$51.7M</w:t>
            </w:r>
          </w:p>
        </w:tc>
        <w:tc>
          <w:tcPr>
            <w:tcW w:type="dxa" w:w="25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7"/>
              </w:rPr>
              <w:t>2.5%</w:t>
            </w:r>
          </w:p>
        </w:tc>
      </w:tr>
      <w:tr>
        <w:trPr>
          <w:cantSplit/>
        </w:trPr>
        <w:tc>
          <w:tcPr>
            <w:tcW w:type="dxa" w:w="460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7"/>
              </w:rPr>
              <w:t>Total proposed funding</w:t>
            </w:r>
          </w:p>
        </w:tc>
        <w:tc>
          <w:tcPr>
            <w:tcW w:type="dxa" w:w="230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7"/>
              </w:rPr>
              <w:t>$2,049.3M</w:t>
            </w:r>
          </w:p>
        </w:tc>
        <w:tc>
          <w:tcPr>
            <w:tcW w:type="dxa" w:w="25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7"/>
              </w:rPr>
              <w:t>100.0%</w:t>
            </w:r>
          </w:p>
        </w:tc>
      </w:tr>
    </w:tbl>
    <w:p>
      <w:pPr>
        <w:spacing w:after="0"/>
      </w:pPr>
    </w:p>
    <w:p>
      <w:pPr>
        <w:pStyle w:val="Heading2"/>
        <w:keepNext/>
      </w:pPr>
      <w:r>
        <w:t>Current modeled funding by rate evidence</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338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Rate evidence</w:t>
            </w:r>
          </w:p>
        </w:tc>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6"/>
              </w:rPr>
              <w:t>Known amount</w:t>
            </w:r>
          </w:p>
        </w:tc>
        <w:tc>
          <w:tcPr>
            <w:tcW w:type="dxa" w:w="4032"/>
            <w:shd w:fill="17365D"/>
            <w:tcMar>
              <w:top w:w="55" w:type="dxa"/>
              <w:start w:w="65" w:type="dxa"/>
              <w:bottom w:w="55" w:type="dxa"/>
              <w:end w:w="65" w:type="dxa"/>
            </w:tcMar>
            <w:vAlign w:val="center"/>
          </w:tcPr>
          <w:p>
            <w:pPr>
              <w:spacing w:after="0" w:before="0" w:line="240" w:lineRule="auto"/>
            </w:pPr>
            <w:r>
              <w:rPr>
                <w:rFonts w:ascii="Aptos" w:hAnsi="Aptos"/>
                <w:b/>
                <w:color w:val="FFFFFF"/>
                <w:sz w:val="16"/>
              </w:rPr>
              <w:t>Meaning</w:t>
            </w:r>
          </w:p>
        </w:tc>
      </w:tr>
      <w:tr>
        <w:trPr>
          <w:cantSplit/>
        </w:trPr>
        <w:tc>
          <w:tcPr>
            <w:tcW w:type="dxa" w:w="33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Confirmed Direct/Shared rates</w:t>
            </w:r>
          </w:p>
        </w:tc>
        <w:tc>
          <w:tcPr>
            <w:tcW w:type="dxa" w:w="208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$1,247.5M</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Uses direct or shared rate matches in the maintained map</w:t>
            </w:r>
          </w:p>
        </w:tc>
      </w:tr>
      <w:tr>
        <w:trPr>
          <w:cantSplit/>
        </w:trPr>
        <w:tc>
          <w:tcPr>
            <w:tcW w:type="dxa" w:w="33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Documented rate mappings</w:t>
            </w:r>
          </w:p>
        </w:tc>
        <w:tc>
          <w:tcPr>
            <w:tcW w:type="dxa" w:w="208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$184.0M</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Uses a documented consolidation relationship</w:t>
            </w:r>
          </w:p>
        </w:tc>
      </w:tr>
      <w:tr>
        <w:trPr>
          <w:cantSplit/>
        </w:trPr>
        <w:tc>
          <w:tcPr>
            <w:tcW w:type="dxa" w:w="33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Broader analytical rate assumptions</w:t>
            </w:r>
          </w:p>
        </w:tc>
        <w:tc>
          <w:tcPr>
            <w:tcW w:type="dxa" w:w="208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$130.8M</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Uses an analyst-selected related proposed rate</w:t>
            </w:r>
          </w:p>
        </w:tc>
      </w:tr>
      <w:tr>
        <w:trPr>
          <w:cantSplit/>
        </w:trPr>
        <w:tc>
          <w:tcPr>
            <w:tcW w:type="dxa" w:w="33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Known current modeled funding</w:t>
            </w:r>
          </w:p>
        </w:tc>
        <w:tc>
          <w:tcPr>
            <w:tcW w:type="dxa" w:w="208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6"/>
              </w:rPr>
              <w:t>$1,562.2M</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Partial total; missing items remain outside the amount</w:t>
            </w:r>
          </w:p>
        </w:tc>
      </w:tr>
    </w:tbl>
    <w:p>
      <w:pPr>
        <w:spacing w:after="0"/>
      </w:pPr>
    </w:p>
    <w:p>
      <w:pPr>
        <w:pStyle w:val="Heading1"/>
        <w:keepNext/>
      </w:pPr>
      <w:r>
        <w:t>Current and Proposed Component Comparison</w:t>
      </w:r>
    </w:p>
    <w:p>
      <w:pPr>
        <w:widowControl/>
      </w:pPr>
      <w:r>
        <w:t>The proposed model does not preserve a one-to-one position line for every current component. Several current support functions are combined into broader proposed components. This table shows the most consequential changes in the latest run; the technical appendix lists every line.</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48"/>
        <w:gridCol w:w="2448"/>
        <w:gridCol w:w="2448"/>
        <w:gridCol w:w="2448"/>
      </w:tblGrid>
      <w:tr>
        <w:trPr>
          <w:tblHeader w:val="true"/>
        </w:trPr>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5"/>
              </w:rPr>
              <w:t>Component group</w:t>
            </w:r>
          </w:p>
        </w:tc>
        <w:tc>
          <w:tcPr>
            <w:tcW w:type="dxa" w:w="252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Current implementation</w:t>
            </w:r>
          </w:p>
        </w:tc>
        <w:tc>
          <w:tcPr>
            <w:tcW w:type="dxa" w:w="237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Proposed implementation</w:t>
            </w:r>
          </w:p>
        </w:tc>
        <w:tc>
          <w:tcPr>
            <w:tcW w:type="dxa" w:w="252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Key point</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Regular and special education teachers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Reported current positions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Recalculated from the same enrollment ratios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Generally similar; Basic combines Basic Pre-K and Basic K-12</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Vocational Division I and deduct</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Reported continuous units</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Retained as continuous units</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general rounding</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Principals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223</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252</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Proposed: one per calculation unit</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Assistant Principals</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361.75</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494.60</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Proposed base includes Administrative and Instructional Supports</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Instructional Supports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direct current line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2,347.92</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20% of Base Division I positions</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Administrative Support Professionals</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Secretary line: 1,052 known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1,291</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Tiered completed-position rule</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Current separate support functions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Counselors, psychologists, nurses, Academic Excellence, Driver Education, Related Services, and Visiting Teachers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direct proposed position line</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Functions may be funded through consolidated supports; this is not evidence of elimination</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Central Office</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$35.6M known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$51.7M</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Current section labels follow mapped rate sources and are not a clean appropriation crosswalk</w:t>
            </w:r>
          </w:p>
        </w:tc>
      </w:tr>
    </w:tbl>
    <w:p>
      <w:pPr>
        <w:spacing w:after="0"/>
      </w:pPr>
    </w:p>
    <w:p>
      <w:pPr>
        <w:widowControl/>
      </w:pPr>
      <w:r>
        <w:t>The latest 20-percent rule produces 2,347.92 Instructional Support positions, 1,291 Administrative Support Professional positions, and 494.60 Assistant Principal positions in the adjusted reporting scope. Proposed Base Funding is $1,555.6 million.</w:t>
      </w:r>
    </w:p>
    <w:p>
      <w:pPr>
        <w:pStyle w:val="Heading1"/>
        <w:keepNext/>
      </w:pPr>
      <w:r>
        <w:t>Relationship to Existing Current Funding</w:t>
      </w:r>
    </w:p>
    <w:p>
      <w:pPr>
        <w:widowControl/>
      </w:pPr>
      <w:r>
        <w:t>The recreated current baseline does not include the full set of Delaware education appropriations. The FY25 finance overview shows several funding streams outside the position-based lines modeled here. Some may overlap conceptually with the proposed weighted pools, but the source materials do not establish which programs would continue, end, or move. FY25 amounts are context only and should not be inserted as FY26 offsets.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48"/>
        <w:gridCol w:w="2448"/>
        <w:gridCol w:w="2448"/>
        <w:gridCol w:w="2448"/>
      </w:tblGrid>
      <w:tr>
        <w:trPr>
          <w:tblHeader w:val="true"/>
        </w:trPr>
        <w:tc>
          <w:tcPr>
            <w:tcW w:type="dxa" w:w="2304"/>
            <w:shd w:fill="17365D"/>
            <w:tcMar>
              <w:top w:w="55" w:type="dxa"/>
              <w:start w:w="65" w:type="dxa"/>
              <w:bottom w:w="55" w:type="dxa"/>
              <w:end w:w="65" w:type="dxa"/>
            </w:tcMar>
            <w:vAlign w:val="center"/>
          </w:tcPr>
          <w:p>
            <w:pPr>
              <w:spacing w:after="0" w:before="0" w:line="240" w:lineRule="auto"/>
            </w:pPr>
            <w:r>
              <w:rPr>
                <w:rFonts w:ascii="Aptos" w:hAnsi="Aptos"/>
                <w:b/>
                <w:color w:val="FFFFFF"/>
                <w:sz w:val="15"/>
              </w:rPr>
              <w:t>Current stream</w:t>
            </w:r>
          </w:p>
        </w:tc>
        <w:tc>
          <w:tcPr>
            <w:tcW w:type="dxa" w:w="259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Source context</w:t>
            </w:r>
          </w:p>
        </w:tc>
        <w:tc>
          <w:tcPr>
            <w:tcW w:type="dxa" w:w="2448"/>
            <w:shd w:fill="17365D"/>
            <w:tcMar>
              <w:top w:w="55" w:type="dxa"/>
              <w:start w:w="65" w:type="dxa"/>
              <w:bottom w:w="55" w:type="dxa"/>
              <w:end w:w="65" w:type="dxa"/>
            </w:tcMar>
            <w:vAlign w:val="center"/>
          </w:tcPr>
          <w:p>
            <w:pPr>
              <w:spacing w:after="0" w:before="0" w:line="240" w:lineRule="auto"/>
            </w:pPr>
            <w:r>
              <w:rPr>
                <w:rFonts w:ascii="Aptos" w:hAnsi="Aptos"/>
                <w:b/>
                <w:color w:val="FFFFFF"/>
                <w:sz w:val="15"/>
              </w:rPr>
              <w:t>Analytical classification</w:t>
            </w:r>
          </w:p>
        </w:tc>
        <w:tc>
          <w:tcPr>
            <w:tcW w:type="dxa" w:w="216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Possible relationship</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Division II All Other Costs and Energy</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$2,925 and $2,387 per Division II unit in the FY25 overview</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Potential offset, not yet quantified</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Operational Funding</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Division III Equalization</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Separate flexible equalization funding</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confirmed direct analogue</w:t>
            </w:r>
          </w:p>
        </w:tc>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Policy treatment unresolved</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Existing Opportunity Fund</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Included within the FY25 Other Items presentation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Likely conceptual overlap; replacement unconfirmed</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Opportunity Funding</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Other Items</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$249.4M in FY25 across many programs</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Review program by program</w:t>
            </w:r>
          </w:p>
        </w:tc>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Possible Opportunity or Operational overlap</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Block grants</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$74.9M in FY25</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Review program by program</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Possible Opportunity or Operational overlap</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Transportation</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$180.4M in FY25</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unless explicitly replaced</w:t>
            </w:r>
          </w:p>
        </w:tc>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replacement assumed</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Special needs, driver training, scholarships, pass-throughs, adult/workforce, and capital</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Separate categorical or capital streams</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unless explicitly replaced</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replacement assumed</w:t>
            </w:r>
          </w:p>
        </w:tc>
      </w:tr>
    </w:tbl>
    <w:p>
      <w:pPr>
        <w:spacing w:after="0"/>
      </w:pPr>
    </w:p>
    <w:p>
      <w:pPr>
        <w:pStyle w:val="Caption"/>
        <w:spacing w:before="20" w:after="100"/>
      </w:pPr>
      <w:r>
        <w:rPr>
          <w:b w:val="0"/>
          <w:i/>
          <w:color w:val="5B6573"/>
        </w:rPr>
        <w:t>Source: 0924_Education-101.pdf, slides 10-17; PEFC Hybrid Corsswalk_DDOE Funding Input.xlsx. Potential relationships are analytical inferences, not confirmed policy decisions.</w:t>
      </w:r>
    </w:p>
    <w:p>
      <w:pPr>
        <w:pStyle w:val="Heading1"/>
        <w:keepNext/>
      </w:pPr>
      <w:r>
        <w:t>LEA-Level Distribution</w:t>
      </w:r>
    </w:p>
    <w:p>
      <w:pPr>
        <w:widowControl/>
      </w:pPr>
      <w:r>
        <w:t>The statewide aggregate answers the fiscal question by comparing summed dollars. The median and interquartile range describe a typical LEA without allowing very small LEAs to dominate. Unweighted means are included only as supplementary context.</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399"/>
        <w:gridCol w:w="1399"/>
        <w:gridCol w:w="1399"/>
        <w:gridCol w:w="1399"/>
        <w:gridCol w:w="1399"/>
        <w:gridCol w:w="1399"/>
        <w:gridCol w:w="1399"/>
      </w:tblGrid>
      <w:tr>
        <w:trPr>
          <w:tblHeader w:val="true"/>
        </w:trPr>
        <w:tc>
          <w:tcPr>
            <w:tcW w:type="dxa" w:w="244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Comparison</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Statewide</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Median LEA</w:t>
            </w:r>
          </w:p>
        </w:tc>
        <w:tc>
          <w:tcPr>
            <w:tcW w:type="dxa" w:w="151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Middle 50%</w:t>
            </w:r>
          </w:p>
        </w:tc>
        <w:tc>
          <w:tcPr>
            <w:tcW w:type="dxa" w:w="151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Range</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Mean LEA</w:t>
            </w:r>
          </w:p>
        </w:tc>
        <w:tc>
          <w:tcPr>
            <w:tcW w:type="dxa" w:w="136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Enrollment-weighted mean</w:t>
            </w:r>
          </w:p>
        </w:tc>
      </w:tr>
      <w:tr>
        <w:trPr>
          <w:cantSplit/>
        </w:trPr>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Position-based: proposed Base plus Central Office</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+2.9%</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+9.2%</w:t>
            </w:r>
          </w:p>
        </w:tc>
        <w:tc>
          <w:tcPr>
            <w:tcW w:type="dxa" w:w="151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+2.6% to +15.1%</w:t>
            </w:r>
          </w:p>
        </w:tc>
        <w:tc>
          <w:tcPr>
            <w:tcW w:type="dxa" w:w="151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−0.6% to +24.8%</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+9.4%</w:t>
            </w:r>
          </w:p>
        </w:tc>
        <w:tc>
          <w:tcPr>
            <w:tcW w:type="dxa" w:w="136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+3.3%</w:t>
            </w:r>
          </w:p>
        </w:tc>
      </w:tr>
      <w:tr>
        <w:trPr>
          <w:cantSplit/>
        </w:trPr>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Gross full model: all four proposed sections</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+31.2%</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+39.0%</w:t>
            </w:r>
          </w:p>
        </w:tc>
        <w:tc>
          <w:tcPr>
            <w:tcW w:type="dxa" w:w="151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+29.4% to +48.2%</w:t>
            </w:r>
          </w:p>
        </w:tc>
        <w:tc>
          <w:tcPr>
            <w:tcW w:type="dxa" w:w="151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+20.6% to +66.9%</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+40.1%</w:t>
            </w:r>
          </w:p>
        </w:tc>
        <w:tc>
          <w:tcPr>
            <w:tcW w:type="dxa" w:w="136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+31.5%</w:t>
            </w:r>
          </w:p>
        </w:tc>
      </w:tr>
    </w:tbl>
    <w:p>
      <w:pPr>
        <w:spacing w:after="0"/>
      </w:pPr>
    </w:p>
    <w:p>
      <w:pPr>
        <w:pStyle w:val="Heading2"/>
        <w:keepNext/>
      </w:pPr>
      <w:r>
        <w:t>Results by LEA type</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224"/>
        <w:gridCol w:w="1224"/>
        <w:gridCol w:w="1224"/>
        <w:gridCol w:w="1224"/>
        <w:gridCol w:w="1224"/>
        <w:gridCol w:w="1224"/>
        <w:gridCol w:w="1224"/>
        <w:gridCol w:w="1224"/>
      </w:tblGrid>
      <w:tr>
        <w:trPr>
          <w:tblHeader w:val="true"/>
        </w:trPr>
        <w:tc>
          <w:tcPr>
            <w:tcW w:type="dxa" w:w="165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LEA type</w:t>
            </w:r>
          </w:p>
        </w:tc>
        <w:tc>
          <w:tcPr>
            <w:tcW w:type="dxa" w:w="79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LEAs</w:t>
            </w:r>
          </w:p>
        </w:tc>
        <w:tc>
          <w:tcPr>
            <w:tcW w:type="dxa" w:w="129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Enrollment</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Position aggregate</w:t>
            </w:r>
          </w:p>
        </w:tc>
        <w:tc>
          <w:tcPr>
            <w:tcW w:type="dxa" w:w="100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Up / down</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Position median</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Gross aggregate</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Gross median</w:t>
            </w:r>
          </w:p>
        </w:tc>
      </w:tr>
      <w:tr>
        <w:trPr>
          <w:cantSplit/>
        </w:trPr>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Charter</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23</w:t>
            </w:r>
          </w:p>
        </w:tc>
        <w:tc>
          <w:tcPr>
            <w:tcW w:type="dxa" w:w="129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18,926</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+11.1%</w:t>
            </w:r>
          </w:p>
        </w:tc>
        <w:tc>
          <w:tcPr>
            <w:tcW w:type="dxa" w:w="100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23 / 0</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+14.1%</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+40.4%</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+47.7%</w:t>
            </w:r>
          </w:p>
        </w:tc>
      </w:tr>
      <w:tr>
        <w:trPr>
          <w:cantSplit/>
        </w:trPr>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District</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19</w:t>
            </w:r>
          </w:p>
        </w:tc>
        <w:tc>
          <w:tcPr>
            <w:tcW w:type="dxa" w:w="129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121,780</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+1.9%</w:t>
            </w:r>
          </w:p>
        </w:tc>
        <w:tc>
          <w:tcPr>
            <w:tcW w:type="dxa" w:w="100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18 / 1</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+1.8%</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+30.1%</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+32.4%</w:t>
            </w:r>
          </w:p>
        </w:tc>
      </w:tr>
    </w:tbl>
    <w:p>
      <w:pPr>
        <w:spacing w:after="0"/>
      </w:pPr>
    </w:p>
    <w:p>
      <w:pPr>
        <w:pStyle w:val="Heading2"/>
        <w:keepNext/>
      </w:pPr>
      <w:r>
        <w:t>Largest gross full-model percentage increases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088"/>
        <w:gridCol w:w="1088"/>
        <w:gridCol w:w="1088"/>
        <w:gridCol w:w="1088"/>
        <w:gridCol w:w="1088"/>
        <w:gridCol w:w="1088"/>
        <w:gridCol w:w="1088"/>
        <w:gridCol w:w="1088"/>
        <w:gridCol w:w="1088"/>
      </w:tblGrid>
      <w:tr>
        <w:trPr>
          <w:tblHeader w:val="true"/>
        </w:trPr>
        <w:tc>
          <w:tcPr>
            <w:tcW w:type="dxa" w:w="576"/>
            <w:shd w:fill="17365D"/>
            <w:tcMar>
              <w:top w:w="55" w:type="dxa"/>
              <w:start w:w="65" w:type="dxa"/>
              <w:bottom w:w="55" w:type="dxa"/>
              <w:end w:w="65" w:type="dxa"/>
            </w:tcMar>
            <w:vAlign w:val="center"/>
          </w:tcPr>
          <w:p>
            <w:pPr>
              <w:spacing w:after="0" w:before="0" w:line="240" w:lineRule="auto"/>
            </w:pPr>
            <w:r>
              <w:rPr>
                <w:rFonts w:ascii="Aptos" w:hAnsi="Aptos"/>
                <w:b/>
                <w:color w:val="FFFFFF"/>
                <w:sz w:val="13"/>
              </w:rPr>
              <w:t>Rank</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3"/>
              </w:rPr>
              <w:t>LEA</w:t>
            </w:r>
          </w:p>
        </w:tc>
        <w:tc>
          <w:tcPr>
            <w:tcW w:type="dxa" w:w="792"/>
            <w:shd w:fill="17365D"/>
            <w:tcMar>
              <w:top w:w="55" w:type="dxa"/>
              <w:start w:w="65" w:type="dxa"/>
              <w:bottom w:w="55" w:type="dxa"/>
              <w:end w:w="65" w:type="dxa"/>
            </w:tcMar>
            <w:vAlign w:val="center"/>
          </w:tcPr>
          <w:p>
            <w:pPr>
              <w:spacing w:after="0" w:before="0" w:line="240" w:lineRule="auto"/>
            </w:pPr>
            <w:r>
              <w:rPr>
                <w:rFonts w:ascii="Aptos" w:hAnsi="Aptos"/>
                <w:b/>
                <w:color w:val="FFFFFF"/>
                <w:sz w:val="13"/>
              </w:rPr>
              <w:t>Type</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3"/>
              </w:rPr>
              <w:t>Current</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3"/>
              </w:rPr>
              <w:t>Position</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3"/>
              </w:rPr>
              <w:t>Weighted</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3"/>
              </w:rPr>
              <w:t>Full model</w:t>
            </w:r>
          </w:p>
        </w:tc>
        <w:tc>
          <w:tcPr>
            <w:tcW w:type="dxa" w:w="792"/>
            <w:shd w:fill="17365D"/>
            <w:tcMar>
              <w:top w:w="55" w:type="dxa"/>
              <w:start w:w="65" w:type="dxa"/>
              <w:bottom w:w="55" w:type="dxa"/>
              <w:end w:w="65" w:type="dxa"/>
            </w:tcMar>
            <w:vAlign w:val="center"/>
          </w:tcPr>
          <w:p>
            <w:pPr>
              <w:spacing w:after="0" w:before="0" w:line="240" w:lineRule="auto"/>
            </w:pPr>
            <w:r>
              <w:rPr>
                <w:rFonts w:ascii="Aptos" w:hAnsi="Aptos"/>
                <w:b/>
                <w:color w:val="FFFFFF"/>
                <w:sz w:val="13"/>
              </w:rPr>
              <w:t>Position %</w:t>
            </w:r>
          </w:p>
        </w:tc>
        <w:tc>
          <w:tcPr>
            <w:tcW w:type="dxa" w:w="792"/>
            <w:shd w:fill="17365D"/>
            <w:tcMar>
              <w:top w:w="55" w:type="dxa"/>
              <w:start w:w="65" w:type="dxa"/>
              <w:bottom w:w="55" w:type="dxa"/>
              <w:end w:w="65" w:type="dxa"/>
            </w:tcMar>
            <w:vAlign w:val="center"/>
          </w:tcPr>
          <w:p>
            <w:pPr>
              <w:spacing w:after="0" w:before="0" w:line="240" w:lineRule="auto"/>
            </w:pPr>
            <w:r>
              <w:rPr>
                <w:rFonts w:ascii="Aptos" w:hAnsi="Aptos"/>
                <w:b/>
                <w:color w:val="FFFFFF"/>
                <w:sz w:val="13"/>
              </w:rPr>
              <w:t>Gross %</w:t>
            </w:r>
          </w:p>
        </w:tc>
      </w:tr>
      <w:tr>
        <w:trPr>
          <w:cantSplit/>
        </w:trPr>
        <w:tc>
          <w:tcPr>
            <w:tcW w:type="dxa" w:w="57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East Side Charter School</w:t>
            </w:r>
          </w:p>
        </w:tc>
        <w:tc>
          <w:tcPr>
            <w:tcW w:type="dxa" w:w="7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$4.5M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$5.2M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$2.3M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$7.5M</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+16.1%</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+66.9%</w:t>
            </w:r>
          </w:p>
        </w:tc>
      </w:tr>
      <w:tr>
        <w:trPr>
          <w:cantSplit/>
        </w:trPr>
        <w:tc>
          <w:tcPr>
            <w:tcW w:type="dxa" w:w="57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Academia Antonia Alonso</w:t>
            </w:r>
          </w:p>
        </w:tc>
        <w:tc>
          <w:tcPr>
            <w:tcW w:type="dxa" w:w="7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$7.7M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$8.5M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$4.3M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$12.8M</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+10.4%</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+66.8%</w:t>
            </w:r>
          </w:p>
        </w:tc>
      </w:tr>
      <w:tr>
        <w:trPr>
          <w:cantSplit/>
        </w:trPr>
        <w:tc>
          <w:tcPr>
            <w:tcW w:type="dxa" w:w="57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3</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Kuumba Academy Charter School</w:t>
            </w:r>
          </w:p>
        </w:tc>
        <w:tc>
          <w:tcPr>
            <w:tcW w:type="dxa" w:w="7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$5.2M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$6.0M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$2.4M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$8.5M</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+15.4%</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+62.4%</w:t>
            </w:r>
          </w:p>
        </w:tc>
      </w:tr>
      <w:tr>
        <w:trPr>
          <w:cantSplit/>
        </w:trPr>
        <w:tc>
          <w:tcPr>
            <w:tcW w:type="dxa" w:w="57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Edison (Thomas A.) Charter School</w:t>
            </w:r>
          </w:p>
        </w:tc>
        <w:tc>
          <w:tcPr>
            <w:tcW w:type="dxa" w:w="7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$5.5M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$6.1M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$2.8M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$9.0M</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+11.0%</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+62.1%</w:t>
            </w:r>
          </w:p>
        </w:tc>
      </w:tr>
      <w:tr>
        <w:trPr>
          <w:cantSplit/>
        </w:trPr>
        <w:tc>
          <w:tcPr>
            <w:tcW w:type="dxa" w:w="57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Great Oaks Charter School</w:t>
            </w:r>
          </w:p>
        </w:tc>
        <w:tc>
          <w:tcPr>
            <w:tcW w:type="dxa" w:w="7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$2.1M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$2.6M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$0.8M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$3.4M</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+24.8%</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+60.6%</w:t>
            </w:r>
          </w:p>
        </w:tc>
      </w:tr>
      <w:tr>
        <w:trPr>
          <w:cantSplit/>
        </w:trPr>
        <w:tc>
          <w:tcPr>
            <w:tcW w:type="dxa" w:w="57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Campus Community School</w:t>
            </w:r>
          </w:p>
        </w:tc>
        <w:tc>
          <w:tcPr>
            <w:tcW w:type="dxa" w:w="7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$3.7M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$4.4M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$1.3M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$5.8M</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+18.7%</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+54.7%</w:t>
            </w:r>
          </w:p>
        </w:tc>
      </w:tr>
      <w:tr>
        <w:trPr>
          <w:cantSplit/>
        </w:trPr>
        <w:tc>
          <w:tcPr>
            <w:tcW w:type="dxa" w:w="57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7</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Freire Charter School Wilmington</w:t>
            </w:r>
          </w:p>
        </w:tc>
        <w:tc>
          <w:tcPr>
            <w:tcW w:type="dxa" w:w="7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$4.0M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$4.7M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$1.5M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$6.2M</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+15.6%</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+53.1%</w:t>
            </w:r>
          </w:p>
        </w:tc>
      </w:tr>
      <w:tr>
        <w:trPr>
          <w:cantSplit/>
        </w:trPr>
        <w:tc>
          <w:tcPr>
            <w:tcW w:type="dxa" w:w="57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8</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Gateway Charter School</w:t>
            </w:r>
          </w:p>
        </w:tc>
        <w:tc>
          <w:tcPr>
            <w:tcW w:type="dxa" w:w="7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$2.9M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$3.6M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$0.9M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$4.5M</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+22.6%</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+52.8%</w:t>
            </w:r>
          </w:p>
        </w:tc>
      </w:tr>
      <w:tr>
        <w:trPr>
          <w:cantSplit/>
        </w:trPr>
        <w:tc>
          <w:tcPr>
            <w:tcW w:type="dxa" w:w="57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9</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Early College High School at Del State</w:t>
            </w:r>
          </w:p>
        </w:tc>
        <w:tc>
          <w:tcPr>
            <w:tcW w:type="dxa" w:w="7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$4.6M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$5.4M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$1.7M</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$7.0M</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+15.9%</w:t>
            </w:r>
          </w:p>
        </w:tc>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+51.9%</w:t>
            </w:r>
          </w:p>
        </w:tc>
      </w:tr>
      <w:tr>
        <w:trPr>
          <w:cantSplit/>
        </w:trPr>
        <w:tc>
          <w:tcPr>
            <w:tcW w:type="dxa" w:w="57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Academy of Dover Charter School</w:t>
            </w:r>
          </w:p>
        </w:tc>
        <w:tc>
          <w:tcPr>
            <w:tcW w:type="dxa" w:w="7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Charter</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$4.7M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$5.4M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$1.7M</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$7.1M</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+13.6%</w:t>
            </w:r>
          </w:p>
        </w:tc>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3"/>
              </w:rPr>
              <w:t>+49.7%</w:t>
            </w:r>
          </w:p>
        </w:tc>
      </w:tr>
    </w:tbl>
    <w:p>
      <w:pPr>
        <w:spacing w:after="0"/>
      </w:pPr>
    </w:p>
    <w:p>
      <w:pPr>
        <w:pStyle w:val="Caption"/>
        <w:widowControl/>
      </w:pPr>
      <w:r>
        <w:t>These rankings describe the distribution of the gross proposed allocation relative to the partial current baseline. They should not be read as confirmed net LEA gains.</w:t>
      </w:r>
    </w:p>
    <w:p>
      <w:pPr>
        <w:pStyle w:val="Heading1"/>
        <w:keepNext/>
      </w:pPr>
      <w:r>
        <w:t>Major Assumptions and Limitations</w:t>
      </w:r>
    </w:p>
    <w:p>
      <w:pPr>
        <w:pStyle w:val="ListBullet"/>
        <w:spacing w:after="60"/>
        <w:ind w:left="317" w:hanging="173"/>
      </w:pPr>
      <w:r>
        <w:t>The current-model recreation is partial. Custodial, facilities, lunch-program, and cafeteria information or rates remain missing. Known totals use available amounts only.</w:t>
      </w:r>
    </w:p>
    <w:p>
      <w:pPr>
        <w:pStyle w:val="ListBullet"/>
        <w:spacing w:after="60"/>
        <w:ind w:left="317" w:hanging="173"/>
      </w:pPr>
      <w:r>
        <w:t>Current rates come from the maintained shared rate file derived from the proposed calculator. Direct/shared, documented mapping, broader assumption, and missing-rate categories must remain visible.</w:t>
      </w:r>
    </w:p>
    <w:p>
      <w:pPr>
        <w:pStyle w:val="ListBullet"/>
        <w:spacing w:after="60"/>
        <w:ind w:left="317" w:hanging="173"/>
      </w:pPr>
      <w:r>
        <w:t>The proposed model is calculation-complete only within the four sections implemented here. That does not mean the policies or transition plan have been formally approved.</w:t>
      </w:r>
    </w:p>
    <w:p>
      <w:pPr>
        <w:pStyle w:val="ListBullet"/>
        <w:spacing w:after="60"/>
        <w:ind w:left="317" w:hanging="173"/>
      </w:pPr>
      <w:r>
        <w:t>The full proposed model has a broader funding scope than the recreated current baseline. Potential current-funding offsets have not been netted against the weighted pools.</w:t>
      </w:r>
    </w:p>
    <w:p>
      <w:pPr>
        <w:pStyle w:val="ListBullet"/>
        <w:spacing w:after="60"/>
        <w:ind w:left="317" w:hanging="173"/>
      </w:pPr>
      <w:r>
        <w:t>DAFB is calculated but excluded from statewide results. Bryan Allen Stevenson is removed in Step 10, and the fixed weighted pools are redistributed across the remaining eligible weighted units.</w:t>
      </w:r>
    </w:p>
    <w:p>
      <w:pPr>
        <w:pStyle w:val="ListBullet"/>
        <w:spacing w:after="60"/>
        <w:ind w:left="317" w:hanging="173"/>
      </w:pPr>
      <w:r>
        <w:t>District and DAFB school codes are proposed calculation units; charter organizations use calculator building rows. Official charter totals remain authoritative.</w:t>
      </w:r>
    </w:p>
    <w:p>
      <w:pPr>
        <w:pStyle w:val="ListBullet"/>
        <w:spacing w:after="60"/>
        <w:ind w:left="317" w:hanging="173"/>
      </w:pPr>
      <w:r>
        <w:t>Intermediate calculations retain full precision. Completed-threshold rules and largest-remainder allocations use explicit floors; final report values are rounded only for presentation.</w:t>
      </w:r>
    </w:p>
    <w:p>
      <w:pPr>
        <w:pStyle w:val="ListBullet"/>
        <w:spacing w:after="60"/>
        <w:ind w:left="317" w:hanging="173"/>
      </w:pPr>
      <w:r>
        <w:t>The actual calculator used by the run differs from the older documentation copy only in three Notes cells. Numeric values and formulas are otherwise identical in the inspected cells.</w:t>
      </w:r>
    </w:p>
    <w:p>
      <w:pPr>
        <w:pStyle w:val="Heading1"/>
        <w:keepNext/>
      </w:pPr>
      <w:r>
        <w:t>Highest-Priority Outstanding Questions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48"/>
        <w:gridCol w:w="2448"/>
        <w:gridCol w:w="2448"/>
        <w:gridCol w:w="2448"/>
      </w:tblGrid>
      <w:tr>
        <w:trPr>
          <w:tblHeader w:val="true"/>
        </w:trPr>
        <w:tc>
          <w:tcPr>
            <w:tcW w:type="dxa" w:w="79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Priority</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5"/>
              </w:rPr>
              <w:t>Type</w:t>
            </w:r>
          </w:p>
        </w:tc>
        <w:tc>
          <w:tcPr>
            <w:tcW w:type="dxa" w:w="403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Question</w:t>
            </w:r>
          </w:p>
        </w:tc>
        <w:tc>
          <w:tcPr>
            <w:tcW w:type="dxa" w:w="345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Next action</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Fiscal</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Which existing appropriations continue, end, or move into Base, Central Office, Opportunity, or Operational Funding?</w:t>
            </w:r>
          </w:p>
        </w:tc>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Build an FY26 appropriation-level crosswalk before describing a net fiscal effect.</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Rate</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What are the authoritative current-model rates for every legacy component?</w:t>
            </w:r>
          </w:p>
        </w:tc>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Replace mapped and assumption-based proposed rates with verified current rates and document salary, benefit, and state-share treatment.</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3</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Data</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What values complete custodial, facilities, lunch-program, cafeteria satellite, and cafeteria-rate inputs?</w:t>
            </w:r>
          </w:p>
        </w:tc>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Populate maintained supplemental files and rerun the model.</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Data</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What source produces the official September 30 Basic Pre-K, Basic K-12, Intensive, and Complex classifications?</w:t>
            </w:r>
          </w:p>
        </w:tc>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Document the source table or extract so the input can be recreated consistently.</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5</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Policy / data</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How is Operational vocational enrollment defined and produced?</w:t>
            </w:r>
          </w:p>
        </w:tc>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Confirm eligible courses, students, count date, aggregation, and charter treatment.</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6</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Implementation</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Should calculator and code differences remain as implemented?</w:t>
            </w:r>
          </w:p>
        </w:tc>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Confirm Assistant Principal fractional awards, Assistant Superintendent completed thresholds, and the Division I bases for Director and 11-Month Supervisor.</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7</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Data / policy</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What do the repeated NCCVT and no-code vocational records represent?</w:t>
            </w:r>
          </w:p>
        </w:tc>
        <w:tc>
          <w:tcPr>
            <w:tcW w:type="dxa" w:w="34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Confirm the lower-value NCCVT selection and the treatment of DAFB-named no-code records assigned to Caesar Rodney.</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8</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Policy</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Should the calculation-unit and largest-remainder rules be formally adopted?</w:t>
            </w:r>
          </w:p>
        </w:tc>
        <w:tc>
          <w:tcPr>
            <w:tcW w:type="dxa" w:w="34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Confirm district school-code units, charter building units, principal generation, and tie-breaking.</w:t>
            </w:r>
          </w:p>
        </w:tc>
      </w:tr>
    </w:tbl>
    <w:p>
      <w:pPr>
        <w:spacing w:after="0"/>
      </w:pPr>
    </w:p>
    <w:p>
      <w:pPr>
        <w:pStyle w:val="Caption"/>
        <w:widowControl/>
      </w:pPr>
      <w:r>
        <w:t>The detailed formulas, source lineage, discrepancy log, rate evidence, quality checks, and code cross-reference follow in the technical appendix.</w:t>
      </w:r>
    </w:p>
    <w:p>
      <w:r>
        <w:br w:type="page"/>
      </w:r>
    </w:p>
    <w:p>
      <w:pPr>
        <w:pStyle w:val="Heading1"/>
        <w:keepNext/>
      </w:pPr>
      <w:r>
        <w:t>Technical Appendix: Current and Proposed Models as Implemented</w:t>
      </w:r>
    </w:p>
    <w:p>
      <w:pPr>
        <w:widowControl/>
      </w:pPr>
      <w:r>
        <w:t>This appendix documents the code that produced the completed July 22, 2026 run. It is an implementation record, not a restatement of what the formulas might become. Where written materials, the calculator, and the code differ, the tables identify the implemented treatment and its evidence status.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3168"/>
            <w:shd w:fill="17365D"/>
            <w:tcMar>
              <w:top w:w="55" w:type="dxa"/>
              <w:start w:w="65" w:type="dxa"/>
              <w:bottom w:w="55" w:type="dxa"/>
              <w:end w:w="65" w:type="dxa"/>
            </w:tcMar>
            <w:vAlign w:val="center"/>
          </w:tcPr>
          <w:p>
            <w:pPr>
              <w:spacing w:after="0" w:before="0" w:line="240" w:lineRule="auto"/>
            </w:pPr>
            <w:r>
              <w:rPr>
                <w:rFonts w:ascii="Aptos" w:hAnsi="Aptos"/>
                <w:b/>
                <w:color w:val="FFFFFF"/>
                <w:sz w:val="16"/>
              </w:rPr>
              <w:t>Item</w:t>
            </w:r>
          </w:p>
        </w:tc>
        <w:tc>
          <w:tcPr>
            <w:tcW w:type="dxa" w:w="6336"/>
            <w:shd w:fill="17365D"/>
            <w:tcMar>
              <w:top w:w="55" w:type="dxa"/>
              <w:start w:w="65" w:type="dxa"/>
              <w:bottom w:w="55" w:type="dxa"/>
              <w:end w:w="65" w:type="dxa"/>
            </w:tcMar>
            <w:vAlign w:val="center"/>
          </w:tcPr>
          <w:p>
            <w:pPr>
              <w:spacing w:after="0" w:before="0" w:line="240" w:lineRule="auto"/>
            </w:pPr>
            <w:r>
              <w:rPr>
                <w:rFonts w:ascii="Aptos" w:hAnsi="Aptos"/>
                <w:b/>
                <w:color w:val="FFFFFF"/>
                <w:sz w:val="16"/>
              </w:rPr>
              <w:t>Documented run</w:t>
            </w:r>
          </w:p>
        </w:tc>
      </w:tr>
      <w:tr>
        <w:trPr>
          <w:cantSplit/>
        </w:trPr>
        <w:tc>
          <w:tcPr>
            <w:tcW w:type="dxa" w:w="316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Run start</w:t>
            </w:r>
          </w:p>
        </w:tc>
        <w:tc>
          <w:tcPr>
            <w:tcW w:type="dxa" w:w="63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2026-07-22 12:37:41 EDT</w:t>
            </w:r>
          </w:p>
        </w:tc>
      </w:tr>
      <w:tr>
        <w:trPr>
          <w:cantSplit/>
        </w:trPr>
        <w:tc>
          <w:tcPr>
            <w:tcW w:type="dxa" w:w="316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Run completion</w:t>
            </w:r>
          </w:p>
        </w:tc>
        <w:tc>
          <w:tcPr>
            <w:tcW w:type="dxa" w:w="63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2026-07-22 12:37:42 EDT; Completed</w:t>
            </w:r>
          </w:p>
        </w:tc>
      </w:tr>
      <w:tr>
        <w:trPr>
          <w:cantSplit/>
        </w:trPr>
        <w:tc>
          <w:tcPr>
            <w:tcW w:type="dxa" w:w="316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School year</w:t>
            </w:r>
          </w:p>
        </w:tc>
        <w:tc>
          <w:tcPr>
            <w:tcW w:type="dxa" w:w="63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2026</w:t>
            </w:r>
          </w:p>
        </w:tc>
      </w:tr>
      <w:tr>
        <w:trPr>
          <w:cantSplit/>
        </w:trPr>
        <w:tc>
          <w:tcPr>
            <w:tcW w:type="dxa" w:w="316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Reporting date label</w:t>
            </w:r>
          </w:p>
        </w:tc>
        <w:tc>
          <w:tcPr>
            <w:tcW w:type="dxa" w:w="63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2025-09-30</w:t>
            </w:r>
          </w:p>
        </w:tc>
      </w:tr>
      <w:tr>
        <w:trPr>
          <w:cantSplit/>
        </w:trPr>
        <w:tc>
          <w:tcPr>
            <w:tcW w:type="dxa" w:w="316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Detailed statewide scope</w:t>
            </w:r>
          </w:p>
        </w:tc>
        <w:tc>
          <w:tcPr>
            <w:tcW w:type="dxa" w:w="63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DAFB calculated; excluded from statewide summaries</w:t>
            </w:r>
          </w:p>
        </w:tc>
      </w:tr>
      <w:tr>
        <w:trPr>
          <w:cantSplit/>
        </w:trPr>
        <w:tc>
          <w:tcPr>
            <w:tcW w:type="dxa" w:w="316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Adjusted report scope</w:t>
            </w:r>
          </w:p>
        </w:tc>
        <w:tc>
          <w:tcPr>
            <w:tcW w:type="dxa" w:w="63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Excludes DAFB and Bryan Allen Stevenson School of Excellence</w:t>
            </w:r>
          </w:p>
        </w:tc>
      </w:tr>
      <w:tr>
        <w:trPr>
          <w:cantSplit/>
        </w:trPr>
        <w:tc>
          <w:tcPr>
            <w:tcW w:type="dxa" w:w="316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Current-model status</w:t>
            </w:r>
          </w:p>
        </w:tc>
        <w:tc>
          <w:tcPr>
            <w:tcW w:type="dxa" w:w="63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Partial because required inputs and rates remain missing</w:t>
            </w:r>
          </w:p>
        </w:tc>
      </w:tr>
      <w:tr>
        <w:trPr>
          <w:cantSplit/>
        </w:trPr>
        <w:tc>
          <w:tcPr>
            <w:tcW w:type="dxa" w:w="316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Proposed-model status</w:t>
            </w:r>
          </w:p>
        </w:tc>
        <w:tc>
          <w:tcPr>
            <w:tcW w:type="dxa" w:w="63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Calculation-complete for the four implemented funding sections; not policy approval</w:t>
            </w:r>
          </w:p>
        </w:tc>
      </w:tr>
      <w:tr>
        <w:trPr>
          <w:cantSplit/>
        </w:trPr>
        <w:tc>
          <w:tcPr>
            <w:tcW w:type="dxa" w:w="316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Run reproduction</w:t>
            </w:r>
          </w:p>
        </w:tc>
        <w:tc>
          <w:tcPr>
            <w:tcW w:type="dxa" w:w="63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Independent isolated rerun completed; generated CSVs matched the supplied run</w:t>
            </w:r>
          </w:p>
        </w:tc>
      </w:tr>
      <w:tr>
        <w:trPr>
          <w:cantSplit/>
        </w:trPr>
        <w:tc>
          <w:tcPr>
            <w:tcW w:type="dxa" w:w="316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Manifest verification</w:t>
            </w:r>
          </w:p>
        </w:tc>
        <w:tc>
          <w:tcPr>
            <w:tcW w:type="dxa" w:w="63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70 manifested entries reviewed; supplied file hashes matched</w:t>
            </w:r>
          </w:p>
        </w:tc>
      </w:tr>
    </w:tbl>
    <w:p>
      <w:pPr>
        <w:spacing w:after="0"/>
      </w:pPr>
    </w:p>
    <w:p>
      <w:pPr>
        <w:pStyle w:val="Caption"/>
        <w:spacing w:before="20" w:after="100"/>
      </w:pPr>
      <w:r>
        <w:rPr>
          <w:b w:val="0"/>
          <w:i/>
          <w:color w:val="5B6573"/>
        </w:rPr>
        <w:t>Source: 00_run_settings.csv, 00_run_manifest.csv, 10_reporting_qc.csv, and isolated rerun.</w:t>
      </w:r>
    </w:p>
    <w:p>
      <w:pPr>
        <w:pStyle w:val="Heading2"/>
        <w:keepNext/>
      </w:pPr>
      <w:r>
        <w:t>Evidence hierarchy</w:t>
      </w:r>
    </w:p>
    <w:p>
      <w:pPr>
        <w:pStyle w:val="ListBullet"/>
        <w:spacing w:after="60"/>
        <w:ind w:left="317" w:hanging="173"/>
      </w:pPr>
      <w:r>
        <w:t>Calculated amounts, counts, percentages, and rankings: latest completed pipeline outputs that pass the reporting checks.</w:t>
      </w:r>
    </w:p>
    <w:p>
      <w:pPr>
        <w:pStyle w:val="ListBullet"/>
        <w:spacing w:after="60"/>
        <w:ind w:left="317" w:hanging="173"/>
      </w:pPr>
      <w:r>
        <w:t>Implemented model logic: 00_settings.R and Scripts 02 through 10, with the input and lookup files those scripts actually read.</w:t>
      </w:r>
    </w:p>
    <w:p>
      <w:pPr>
        <w:pStyle w:val="ListBullet"/>
        <w:spacing w:after="60"/>
        <w:ind w:left="317" w:hanging="173"/>
      </w:pPr>
      <w:r>
        <w:t>Intended policy rules: written funding rules, crosswalks, supporting workbooks, and presentations.</w:t>
      </w:r>
    </w:p>
    <w:p>
      <w:pPr>
        <w:pStyle w:val="ListBullet"/>
        <w:spacing w:after="60"/>
        <w:ind w:left="317" w:hanging="173"/>
      </w:pPr>
      <w:r>
        <w:t>Calculator: a reference, validation source, and source of required building, vocational, pool, and rate information. It does not silently override confirmed written or implemented logic.</w:t>
      </w:r>
    </w:p>
    <w:p>
      <w:pPr>
        <w:pStyle w:val="ListBullet"/>
        <w:spacing w:after="60"/>
        <w:ind w:left="317" w:hanging="173"/>
      </w:pPr>
      <w:r>
        <w:t>Preliminary Word draft: purpose, terminology, structure, and design only; stale calculations are replaced.</w:t>
      </w:r>
    </w:p>
    <w:p>
      <w:pPr>
        <w:pStyle w:val="Heading2"/>
        <w:keepNext/>
      </w:pPr>
      <w:r>
        <w:t>Source reconciliation: most consequential draft changes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958"/>
        <w:gridCol w:w="1958"/>
        <w:gridCol w:w="1958"/>
        <w:gridCol w:w="1958"/>
        <w:gridCol w:w="1958"/>
      </w:tblGrid>
      <w:tr>
        <w:trPr>
          <w:tblHeader w:val="true"/>
        </w:trPr>
        <w:tc>
          <w:tcPr>
            <w:tcW w:type="dxa" w:w="172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Topic</w:t>
            </w:r>
          </w:p>
        </w:tc>
        <w:tc>
          <w:tcPr>
            <w:tcW w:type="dxa" w:w="180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Draft</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Latest treatment</w:t>
            </w:r>
          </w:p>
        </w:tc>
        <w:tc>
          <w:tcPr>
            <w:tcW w:type="dxa" w:w="194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Source</w:t>
            </w:r>
          </w:p>
        </w:tc>
        <w:tc>
          <w:tcPr>
            <w:tcW w:type="dxa" w:w="180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Reason</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Proposed Base Funding</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$1,492.2M</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$1,555.6M</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Latest 20% Instructional Supports run</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Position-based total</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$1,543.9M</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$1,607.3M</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Base increase flows into the total</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Position difference</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−$18.3M (−1.2%)</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+$45.0M (+2.9%)</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Updated numerator and denominator</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Full proposed model</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$1,985.9M</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$2,049.3M</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Updated Base; fixed weighted pools unchanged</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Gross difference</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+$423.7M (+27.1%)</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+$487.1M (+31.2%)</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Updated full proposed total</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Instructional Supports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15%; 1,760.94 positions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20%; 2,347.92 positions</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07; calculator G16/Data Q; 08 detail</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Confirmed policy and current code</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Administrative Support Professionals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1,244</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1,291</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08 proposed funding detail</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20% supports change threshold bases</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Assistant Principals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468.85</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494.60</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08 proposed funding detail</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20% supports change threshold bases</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Position LEAs up/down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29 / 13</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41 / 1</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Latest adjusted run</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District position finding</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13 of 19 decrease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 of 19 decreases</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10_lea_type_summary.csv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Christina is the only decrease</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Weighted share of proposed total</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22.3%</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21.6%</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Weighted dollars unchanged; Base increased</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Operational Enrollment</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Debated; lookup says regular education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Confirmed total enrollment × 0.20</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06/07; calculator B25/G25</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Code and current calculator agree; compiled lookup is stale</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Funding pool shorthand</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Approximately $450M</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$442,026,800 exact</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Calculator State Totals; settings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Use exact $163.0M and $279.0268M pools</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Calculator workbook</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Older documentation copy</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Copy of Calculator for 25-26 w Charter (003).xlsm</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00_settings.R</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Actual file used by the run</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Calculator-to-calculator change</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Not documented</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Only Notes G16, G25, and G31 changed</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Artifact-tool cell comparison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No inspected numeric or formula change</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incompleteness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4/306 input rows; 2/48 rate rows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4/303 input rows; 2/46 rate rows</w:t>
            </w:r>
          </w:p>
        </w:tc>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Bryan exclusion changes row counts</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Full-model interpretation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Preliminary increase</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Gross expanded-scope difference, not net spending</w:t>
            </w:r>
          </w:p>
        </w:tc>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Finance context and scope review</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offsets are not crosswalked</w:t>
            </w:r>
          </w:p>
        </w:tc>
      </w:tr>
    </w:tbl>
    <w:p>
      <w:pPr>
        <w:spacing w:after="0"/>
      </w:pPr>
    </w:p>
    <w:p>
      <w:pPr>
        <w:pStyle w:val="Heading1"/>
        <w:keepNext/>
      </w:pPr>
      <w:r>
        <w:t>A. Data Lineage and Source Files</w:t>
      </w:r>
    </w:p>
    <w:p>
      <w:pPr>
        <w:widowControl/>
      </w:pPr>
      <w:r>
        <w:t>The pipeline separates source preparation, model calculations, rate application, comparison, and reporting. That separation makes it possible to audit a quantity before a rate is applied and to preserve a shared input file across both models.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48"/>
        <w:gridCol w:w="2448"/>
        <w:gridCol w:w="2448"/>
        <w:gridCol w:w="2448"/>
      </w:tblGrid>
      <w:tr>
        <w:trPr>
          <w:tblHeader w:val="true"/>
        </w:trPr>
        <w:tc>
          <w:tcPr>
            <w:tcW w:type="dxa" w:w="151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Stage</w:t>
            </w:r>
          </w:p>
        </w:tc>
        <w:tc>
          <w:tcPr>
            <w:tcW w:type="dxa" w:w="252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Source or object</w:t>
            </w:r>
          </w:p>
        </w:tc>
        <w:tc>
          <w:tcPr>
            <w:tcW w:type="dxa" w:w="309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Role and key fields</w:t>
            </w:r>
          </w:p>
        </w:tc>
        <w:tc>
          <w:tcPr>
            <w:tcW w:type="dxa" w:w="237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Important limitation</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 Student counts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PUBLICREPORTMART.details.P20_STUDENT_ENROLLMENT_UNITCOUNT via 01_student_counts.sql</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Enrollment, LI, active MLL, K-8, Grade 10, unit-count district/school identifiers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SQL export must exist before R run; reporting date is a label, not an SQL date filter</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2. Unit-count workbook</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data/input/unit_count.xlsx</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Reported student categories and position units, vocational units/deducts, district/state totals</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Preserves workbook district totals and no-code vocational records</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3. Crosswalks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lea_crosswalk.csv; entity_crosswalk.csv</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LEA type, calculator name, statewide inclusion, school-name exceptions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DAFB excluded by LEA code; only listed name exceptions are applied</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4. Shared model input</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02 -&gt; 02_shared_model_input.csv</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One school/program row plus LEA/state rollups</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Reconciles school to district and district to state</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5. Current supplements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current_school_supplement.csv; current_lea_supplement.csv</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Custodians, cafeteria satellites, school-lunch indicators, custodial units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Missing values stay missing</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6. Current model</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Scripts 03-05</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quantities, rate mapping, known partial funding</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32 components; confidence categories preserved</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7. Proposed calculator</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Copy of Calculator for 25-26 w Charter (003).xlsm, Data and CTE Data</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Charter building structure/shares, vocational enrollment, reference formulas and rates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06 reads the Data sheet; fixed pools and rate cells are maintained separately</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8. Proposed model</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Scripts 06-08</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Calculation units, position quantities, weighted units, rates, amounts</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29 components; DAFB calculated then excluded from statewide outputs</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9. Model comparison</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09</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School, LEA, and state current/proposed comparisons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Official percentages remain blank while either model is incomplete</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 Adjusted reporting</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10</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Removes Bryan, recalculates weighted rates, produces report tables</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Fixed pools are retained and redistributed</w:t>
            </w:r>
          </w:p>
        </w:tc>
      </w:tr>
    </w:tbl>
    <w:p>
      <w:pPr>
        <w:spacing w:after="0"/>
      </w:pPr>
    </w:p>
    <w:p>
      <w:pPr>
        <w:pStyle w:val="Heading2"/>
        <w:keepNext/>
      </w:pPr>
      <w:r>
        <w:t>Process flow</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230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Flow step</w:t>
            </w:r>
          </w:p>
        </w:tc>
        <w:tc>
          <w:tcPr>
            <w:tcW w:type="dxa" w:w="720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What happens</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Source files and SQL export</w:t>
            </w:r>
          </w:p>
        </w:tc>
        <w:tc>
          <w:tcPr>
            <w:tcW w:type="dxa" w:w="72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Student counts + unit-count categories/units + calculator inputs + maintained crosswalks</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Shared input</w:t>
            </w:r>
          </w:p>
        </w:tc>
        <w:tc>
          <w:tcPr>
            <w:tcW w:type="dxa" w:w="72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Standardized school/program records -&gt; LEA totals -&gt; state totals; all rollups checked</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Current branch</w:t>
            </w:r>
          </w:p>
        </w:tc>
        <w:tc>
          <w:tcPr>
            <w:tcW w:type="dxa" w:w="72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Attach supplements -&gt; calculate 32 quantities -&gt; map/apply rates -&gt; partial school/LEA/state funding</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branch</w:t>
            </w:r>
          </w:p>
        </w:tc>
        <w:tc>
          <w:tcPr>
            <w:tcW w:type="dxa" w:w="72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Create calculation units -&gt; allocate charter counts -&gt; calculate 29 quantities -&gt; recalculate weighted rates -&gt; complete funding</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Comparison</w:t>
            </w:r>
          </w:p>
        </w:tc>
        <w:tc>
          <w:tcPr>
            <w:tcW w:type="dxa" w:w="72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Join current/proposed school and LEA summaries -&gt; preserve completeness status -&gt; aggregate to state</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Reporting</w:t>
            </w:r>
          </w:p>
        </w:tc>
        <w:tc>
          <w:tcPr>
            <w:tcW w:type="dxa" w:w="72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Exclude Bryan -&gt; recalculate fixed-pool rates -&gt; produce adjusted state, distribution, rankings, audit, and QC files</w:t>
            </w:r>
          </w:p>
        </w:tc>
      </w:tr>
    </w:tbl>
    <w:p>
      <w:pPr>
        <w:spacing w:after="0"/>
      </w:pPr>
    </w:p>
    <w:p>
      <w:pPr>
        <w:pStyle w:val="Heading1"/>
        <w:keepNext/>
      </w:pPr>
      <w:r>
        <w:t>B. Run Settings and Reproducibility</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252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Setting</w:t>
            </w:r>
          </w:p>
        </w:tc>
        <w:tc>
          <w:tcPr>
            <w:tcW w:type="dxa" w:w="309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Implemented value</w:t>
            </w:r>
          </w:p>
        </w:tc>
        <w:tc>
          <w:tcPr>
            <w:tcW w:type="dxa" w:w="3888"/>
            <w:shd w:fill="17365D"/>
            <w:tcMar>
              <w:top w:w="55" w:type="dxa"/>
              <w:start w:w="65" w:type="dxa"/>
              <w:bottom w:w="55" w:type="dxa"/>
              <w:end w:w="65" w:type="dxa"/>
            </w:tcMar>
            <w:vAlign w:val="center"/>
          </w:tcPr>
          <w:p>
            <w:pPr>
              <w:spacing w:after="0" w:before="0" w:line="240" w:lineRule="auto"/>
            </w:pPr>
            <w:r>
              <w:rPr>
                <w:rFonts w:ascii="Aptos" w:hAnsi="Aptos"/>
                <w:b/>
                <w:color w:val="FFFFFF"/>
                <w:sz w:val="15"/>
              </w:rPr>
              <w:t>Effect</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School year</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2026</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Source-year filter/label</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Count date</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2025-09-30</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Official unit-count snapshot label</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DAFB district code</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14</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Calculated, then excluded from statewide totals and rate denominators</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Operational enrollment basis</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total</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Total enrollment × 0.20</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Weighted rate method</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recalculated</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Fixed pool ÷ eligible weighted units</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Opportunity pool</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$163,000,000</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Retained after reporting exclusions</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Operational pool</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$279,026,800</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Retained after reporting exclusions</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Charter whole-student categories</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K-3, Grades 4-12, Basic Pre-K-12, Intensive, Complex</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Largest remainder</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Charter continuous categories</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Vocational Division I and Vocational Deduct</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Full-precision proportional allocation</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Calculation-unit policy</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District/DAFB school codes; charter calculator building rows</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Principal and school support basis</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Rounding</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general calculation rounding</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Only explicit floors/thresholds and terminal display formatting</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Optional Additional State Funding</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$0; excluded</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supporting written rule identified</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Randomness</w:t>
            </w:r>
          </w:p>
        </w:tc>
        <w:tc>
          <w:tcPr>
            <w:tcW w:type="dxa" w:w="30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None</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 seed required</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 environment</w:t>
            </w:r>
          </w:p>
        </w:tc>
        <w:tc>
          <w:tcPr>
            <w:tcW w:type="dxa" w:w="30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 4.6.0; tidyverse 2.0.0; readxl 1.5.0</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Recorded in run settings</w:t>
            </w:r>
          </w:p>
        </w:tc>
      </w:tr>
    </w:tbl>
    <w:p>
      <w:pPr>
        <w:spacing w:after="0"/>
      </w:pPr>
    </w:p>
    <w:p>
      <w:pPr>
        <w:widowControl/>
      </w:pPr>
      <w:r>
        <w:t>The pipeline writes a run manifest with file path, row count where applicable, file size, and MD5 hash. The supplied manifest has 70 entries. The archived project was rerun in an isolated copy, and the generated CSVs matched the supplied outputs.</w:t>
      </w:r>
    </w:p>
    <w:p>
      <w:pPr>
        <w:pStyle w:val="Heading1"/>
        <w:keepNext/>
      </w:pPr>
      <w:r>
        <w:t>C. Shared Input Construction</w:t>
      </w:r>
    </w:p>
    <w:p>
      <w:pPr>
        <w:pStyle w:val="Heading2"/>
        <w:keepNext/>
      </w:pPr>
      <w:r>
        <w:t>Units of observation</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Stage</w:t>
            </w:r>
          </w:p>
        </w:tc>
        <w:tc>
          <w:tcPr>
            <w:tcW w:type="dxa" w:w="662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Unit of observation</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Unit-count source</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School/program detail rows, predefined District Totals, and statewide rows</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Shared school input</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One row per retained coded school or no-code vocational/program record</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Shared LEA input</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One row per LEA after school/program rollup</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Current school model</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One row per shared school/program record; only coded schools earn nonvocational school positions</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Base model</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District/DAFB school code or charter calculator building</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weighted model</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One official shared school/charter record; building-expanded charter rows are not reused</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Central Office</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One row per LEA</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Adjusted reporting</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42 LEAs after DAFB and Bryan exclusions</w:t>
            </w:r>
          </w:p>
        </w:tc>
      </w:tr>
    </w:tbl>
    <w:p>
      <w:pPr>
        <w:spacing w:after="0"/>
      </w:pPr>
    </w:p>
    <w:p>
      <w:pPr>
        <w:pStyle w:val="Heading2"/>
        <w:keepNext/>
      </w:pPr>
      <w:r>
        <w:t>Duplicate and no-code treatment</w:t>
      </w:r>
    </w:p>
    <w:p>
      <w:pPr>
        <w:widowControl/>
      </w:pPr>
      <w:r>
        <w:t>The unit-count workbook contains repeated NCCVT school rows with identical enrollment and nonvocational fields but different vocational calculations. Script 02 confirms that the base fields agree and keeps the row with the smallest absolute vocational value because that row reproduces the predefined district total. This treatment is reproducible but still needs source-owner confirmation.</w:t>
      </w:r>
    </w:p>
    <w:p>
      <w:pPr>
        <w:widowControl/>
      </w:pPr>
      <w:r>
        <w:t>Five no-code records remain in the adjusted scope. They carry zero enrollment and vocational positions or deductions. They do not generate principals or other school-based positions. Two records have DAFB-related names but are assigned to Caesar Rodney in the unit-count source, so the code-based DAFB exclusion does not remove them.</w:t>
      </w:r>
    </w:p>
    <w:p>
      <w:pPr>
        <w:pStyle w:val="Heading2"/>
        <w:keepNext/>
      </w:pPr>
      <w:r>
        <w:t>Charter building allocation</w:t>
      </w:r>
    </w:p>
    <w:p>
      <w:pPr>
        <w:widowControl/>
      </w:pPr>
      <w:r>
        <w:t>Official shared charter organization totals remain authoritative. Calculator building rows set the building structure and the initial category shares. Whole-student categories use largest remainder; vocational units and deductions keep full precision.</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86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Step</w:t>
            </w:r>
          </w:p>
        </w:tc>
        <w:tc>
          <w:tcPr>
            <w:tcW w:type="dxa" w:w="864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Largest-remainder procedure</w:t>
            </w:r>
          </w:p>
        </w:tc>
      </w:tr>
      <w:tr>
        <w:trPr>
          <w:cantSplit/>
        </w:trPr>
        <w:tc>
          <w:tcPr>
            <w:tcW w:type="dxa" w:w="8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1</w:t>
            </w:r>
          </w:p>
        </w:tc>
        <w:tc>
          <w:tcPr>
            <w:tcW w:type="dxa" w:w="86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Compute each building's proportional value from calculator category shares.</w:t>
            </w:r>
          </w:p>
        </w:tc>
      </w:tr>
      <w:tr>
        <w:trPr>
          <w:cantSplit/>
        </w:trPr>
        <w:tc>
          <w:tcPr>
            <w:tcW w:type="dxa" w:w="8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2</w:t>
            </w:r>
          </w:p>
        </w:tc>
        <w:tc>
          <w:tcPr>
            <w:tcW w:type="dxa" w:w="86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Take the floor of each proportional student count.</w:t>
            </w:r>
          </w:p>
        </w:tc>
      </w:tr>
      <w:tr>
        <w:trPr>
          <w:cantSplit/>
        </w:trPr>
        <w:tc>
          <w:tcPr>
            <w:tcW w:type="dxa" w:w="8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3</w:t>
            </w:r>
          </w:p>
        </w:tc>
        <w:tc>
          <w:tcPr>
            <w:tcW w:type="dxa" w:w="86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Subtract the sum of floors from the official charter total.</w:t>
            </w:r>
          </w:p>
        </w:tc>
      </w:tr>
      <w:tr>
        <w:trPr>
          <w:cantSplit/>
        </w:trPr>
        <w:tc>
          <w:tcPr>
            <w:tcW w:type="dxa" w:w="8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4</w:t>
            </w:r>
          </w:p>
        </w:tc>
        <w:tc>
          <w:tcPr>
            <w:tcW w:type="dxa" w:w="86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Rank buildings by the fractional remainder, largest first.</w:t>
            </w:r>
          </w:p>
        </w:tc>
      </w:tr>
      <w:tr>
        <w:trPr>
          <w:cantSplit/>
        </w:trPr>
        <w:tc>
          <w:tcPr>
            <w:tcW w:type="dxa" w:w="8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5</w:t>
            </w:r>
          </w:p>
        </w:tc>
        <w:tc>
          <w:tcPr>
            <w:tcW w:type="dxa" w:w="86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Add one student to the highest-ranked buildings until the official total is reached.</w:t>
            </w:r>
          </w:p>
        </w:tc>
      </w:tr>
      <w:tr>
        <w:trPr>
          <w:cantSplit/>
        </w:trPr>
        <w:tc>
          <w:tcPr>
            <w:tcW w:type="dxa" w:w="8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6</w:t>
            </w:r>
          </w:p>
        </w:tc>
        <w:tc>
          <w:tcPr>
            <w:tcW w:type="dxa" w:w="86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Resolve exact ties using CalculationUnitSequence.</w:t>
            </w:r>
          </w:p>
        </w:tc>
      </w:tr>
      <w:tr>
        <w:trPr>
          <w:cantSplit/>
        </w:trPr>
        <w:tc>
          <w:tcPr>
            <w:tcW w:type="dxa" w:w="8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7</w:t>
            </w:r>
          </w:p>
        </w:tc>
        <w:tc>
          <w:tcPr>
            <w:tcW w:type="dxa" w:w="86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Verify integer building counts and exact charter-category reconciliation.</w:t>
            </w:r>
          </w:p>
        </w:tc>
      </w:tr>
    </w:tbl>
    <w:p>
      <w:pPr>
        <w:spacing w:after="0"/>
      </w:pPr>
    </w:p>
    <w:p>
      <w:pPr>
        <w:pStyle w:val="Caption"/>
        <w:widowControl/>
      </w:pPr>
      <w:r>
        <w:t>Pseudocode: proportional = official total × share; floor value = floor(proportional); remaining = official total − sum(floor values); final = floor value + 1 for the first remaining rows in descending remainder order.</w:t>
      </w:r>
    </w:p>
    <w:p>
      <w:pPr>
        <w:pStyle w:val="Heading1"/>
        <w:keepNext/>
      </w:pPr>
      <w:r>
        <w:t>D. Student and Program Measures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632"/>
        <w:gridCol w:w="1632"/>
        <w:gridCol w:w="1632"/>
        <w:gridCol w:w="1632"/>
        <w:gridCol w:w="1632"/>
        <w:gridCol w:w="1632"/>
      </w:tblGrid>
      <w:tr>
        <w:trPr>
          <w:tblHeader w:val="true"/>
        </w:trPr>
        <w:tc>
          <w:tcPr>
            <w:tcW w:type="dxa" w:w="1512"/>
            <w:shd w:fill="17365D"/>
            <w:tcMar>
              <w:top w:w="55" w:type="dxa"/>
              <w:start w:w="65" w:type="dxa"/>
              <w:bottom w:w="55" w:type="dxa"/>
              <w:end w:w="65" w:type="dxa"/>
            </w:tcMar>
            <w:vAlign w:val="center"/>
          </w:tcPr>
          <w:p>
            <w:pPr>
              <w:spacing w:after="0" w:before="0" w:line="240" w:lineRule="auto"/>
            </w:pPr>
            <w:r>
              <w:rPr>
                <w:rFonts w:ascii="Aptos" w:hAnsi="Aptos"/>
                <w:b/>
                <w:color w:val="FFFFFF"/>
                <w:sz w:val="13"/>
              </w:rPr>
              <w:t>Measure</w:t>
            </w:r>
          </w:p>
        </w:tc>
        <w:tc>
          <w:tcPr>
            <w:tcW w:type="dxa" w:w="1656"/>
            <w:shd w:fill="17365D"/>
            <w:tcMar>
              <w:top w:w="55" w:type="dxa"/>
              <w:start w:w="65" w:type="dxa"/>
              <w:bottom w:w="55" w:type="dxa"/>
              <w:end w:w="65" w:type="dxa"/>
            </w:tcMar>
            <w:vAlign w:val="center"/>
          </w:tcPr>
          <w:p>
            <w:pPr>
              <w:spacing w:after="0" w:before="0" w:line="240" w:lineRule="auto"/>
            </w:pPr>
            <w:r>
              <w:rPr>
                <w:rFonts w:ascii="Aptos" w:hAnsi="Aptos"/>
                <w:b/>
                <w:color w:val="FFFFFF"/>
                <w:sz w:val="13"/>
              </w:rPr>
              <w:t>Analytical field</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3"/>
              </w:rPr>
              <w:t>Definition</w:t>
            </w:r>
          </w:p>
        </w:tc>
        <w:tc>
          <w:tcPr>
            <w:tcW w:type="dxa" w:w="1800"/>
            <w:shd w:fill="17365D"/>
            <w:tcMar>
              <w:top w:w="55" w:type="dxa"/>
              <w:start w:w="65" w:type="dxa"/>
              <w:bottom w:w="55" w:type="dxa"/>
              <w:end w:w="65" w:type="dxa"/>
            </w:tcMar>
            <w:vAlign w:val="center"/>
          </w:tcPr>
          <w:p>
            <w:pPr>
              <w:spacing w:after="0" w:before="0" w:line="240" w:lineRule="auto"/>
            </w:pPr>
            <w:r>
              <w:rPr>
                <w:rFonts w:ascii="Aptos" w:hAnsi="Aptos"/>
                <w:b/>
                <w:color w:val="FFFFFF"/>
                <w:sz w:val="13"/>
              </w:rPr>
              <w:t>Source</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3"/>
              </w:rPr>
              <w:t>Type</w:t>
            </w:r>
          </w:p>
        </w:tc>
        <w:tc>
          <w:tcPr>
            <w:tcW w:type="dxa" w:w="1656"/>
            <w:shd w:fill="17365D"/>
            <w:tcMar>
              <w:top w:w="55" w:type="dxa"/>
              <w:start w:w="65" w:type="dxa"/>
              <w:bottom w:w="55" w:type="dxa"/>
              <w:end w:w="65" w:type="dxa"/>
            </w:tcMar>
            <w:vAlign w:val="center"/>
          </w:tcPr>
          <w:p>
            <w:pPr>
              <w:spacing w:after="0" w:before="0" w:line="240" w:lineRule="auto"/>
            </w:pPr>
            <w:r>
              <w:rPr>
                <w:rFonts w:ascii="Aptos" w:hAnsi="Aptos"/>
                <w:b/>
                <w:color w:val="FFFFFF"/>
                <w:sz w:val="13"/>
              </w:rPr>
              <w:t>Overlap or caveat</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Distinct students in unit-count school assignment</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01_student_counts.sql / student_counts.csv</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Raw headcount</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Base categories sum to it</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Regular K-3</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EnrollmentK3</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Regular education in KN-03</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Raw headcount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Mutually exclusive base category</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Regular 4-12</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Enrollment4_12</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Regular education in Grades 04-12</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Raw headcount</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Mutually exclusive base category</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Basic Pre-K</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EnrollmentPreK</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Reported Basic Pre-K special education</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Raw headcount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Combined with Basic K-12 in proposed Basic</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Basic K-12</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EnrollmentBasicK12</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Reported Basic K-12 special education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Raw headcount</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Combined with Basic Pre-K in proposed Basic</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Intensive</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EnrollmentIntense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Reported Intensive special education</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Raw headcount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Mutually exclusive base category</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Complex</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EnrollmentComplex</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Reported Complex special education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Raw headcount</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Mutually exclusive base category</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Low income</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LI</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LowIncome = LOWINC</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01_student_counts.sql</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Overlapping headcount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Can overlap all base categories and MLL</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Active multilingual learner</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MLL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ELL = ELL</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01_student_counts.sql</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Overlapping headcount</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ELM, ELX, and N_ELL excluded</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K-8</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K8Enrollment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KN through Grade 08</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01_student_counts.sql</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Overlapping headcount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Used by current counselor/psychologist</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Grade 10</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Grade10Enrollment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Grade 10</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01_student_counts.sql</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Overlapping headcount</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Used by current Driver Education</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Vocational enrollment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VocationalEnrollment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Calculator-derived eligible vocational enrollment</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Calculator Data/CTE Data</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Overlapping headcount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Operational weight; definition still needs confirmation</w:t>
            </w:r>
          </w:p>
        </w:tc>
      </w:tr>
      <w:tr>
        <w:trPr>
          <w:cantSplit/>
        </w:trPr>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Vocational Division I</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UnitsVocational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Reported vocational position quantity</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Position quantity</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Continuous; includes no-code adjustments</w:t>
            </w:r>
          </w:p>
        </w:tc>
      </w:tr>
      <w:tr>
        <w:trPr>
          <w:cantSplit/>
        </w:trPr>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Vocational Deduct</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UnitsVocationalDeduct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Reported negative vocational offset</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w:t>
            </w:r>
          </w:p>
        </w:tc>
        <w:tc>
          <w:tcPr>
            <w:tcW w:type="dxa" w:w="12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Position quantity</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Continuous negative value</w:t>
            </w:r>
          </w:p>
        </w:tc>
      </w:tr>
    </w:tbl>
    <w:p>
      <w:pPr>
        <w:spacing w:after="0"/>
      </w:pPr>
    </w:p>
    <w:tbl>
      <w:tblPr>
        <w:tblW w:type="auto" w:w="0"/>
        <w:jc w:val="center"/>
        <w:tblLayout w:type="fixed"/>
        <w:tblLook w:firstColumn="1" w:firstRow="1" w:lastColumn="0" w:lastRow="0" w:noHBand="0" w:noVBand="1" w:val="04A0"/>
        <w:tblBorders>
          <w:top w:val="single" w:sz="4" w:space="0" w:color="E6D18A"/>
          <w:left w:val="single" w:sz="4" w:space="0" w:color="E6D18A"/>
          <w:bottom w:val="single" w:sz="4" w:space="0" w:color="E6D18A"/>
          <w:right w:val="single" w:sz="4" w:space="0" w:color="E6D18A"/>
          <w:insideH w:val="single" w:sz="4" w:space="0" w:color="E6D18A"/>
          <w:insideV w:val="single" w:sz="4" w:space="0" w:color="E6D18A"/>
        </w:tblBorders>
      </w:tblPr>
      <w:tblGrid>
        <w:gridCol w:w="9792"/>
      </w:tblGrid>
      <w:tr>
        <w:tc>
          <w:tcPr>
            <w:tcW w:type="dxa" w:w="9792"/>
            <w:shd w:fill="FFF2CC"/>
            <w:tcMar>
              <w:top w:w="90" w:type="dxa"/>
              <w:start w:w="100" w:type="dxa"/>
              <w:bottom w:w="90" w:type="dxa"/>
              <w:end w:w="100" w:type="dxa"/>
            </w:tcMar>
          </w:tcPr>
          <w:p>
            <w:pPr>
              <w:spacing w:after="60"/>
            </w:pPr>
            <w:r/>
            <w:r>
              <w:rPr>
                <w:rFonts w:ascii="Aptos" w:hAnsi="Aptos"/>
                <w:b/>
                <w:color w:val="9C5700"/>
                <w:sz w:val="18"/>
              </w:rPr>
              <w:t>Do not add overlapping measures</w:t>
            </w:r>
          </w:p>
          <w:p>
            <w:pPr>
              <w:spacing w:after="0"/>
            </w:pPr>
            <w:r>
              <w:rPr>
                <w:rFonts w:ascii="Aptos" w:hAnsi="Aptos"/>
                <w:sz w:val="17"/>
              </w:rPr>
              <w:t>LI, MLL, K-8, Grade 10, and vocational enrollment describe characteristics or subsets of students already counted in total enrollment. Weighted units are also not headcounts or positions.</w:t>
            </w:r>
          </w:p>
        </w:tc>
      </w:tr>
    </w:tbl>
    <w:p>
      <w:pPr>
        <w:spacing w:after="0"/>
      </w:pPr>
    </w:p>
    <w:p>
      <w:pPr>
        <w:sectPr>
          <w:headerReference w:type="default" r:id="rId10"/>
          <w:footerReference w:type="default" r:id="rId11"/>
          <w:pgSz w:w="12240" w:h="15840"/>
          <w:pgMar w:top="1224" w:right="1224" w:bottom="1152" w:left="1224" w:header="288" w:footer="360" w:gutter="0"/>
          <w:cols w:space="720"/>
          <w:docGrid w:linePitch="360"/>
        </w:sectPr>
      </w:pPr>
    </w:p>
    <w:p>
      <w:pPr>
        <w:pStyle w:val="Heading1"/>
        <w:keepNext/>
      </w:pPr>
      <w:r>
        <w:t>E. Current Model as Implemented</w:t>
      </w:r>
    </w:p>
    <w:p>
      <w:pPr>
        <w:widowControl/>
      </w:pPr>
      <w:r>
        <w:t>The current branch implements 32 components: 19 school-level and 13 LEA-level lines. Reported Division I and vocational quantities come from unit count; other positions are calculated from enrollment, unit, threshold, or maintained supplemental inputs. Script 05 then joins rates and keeps evidence categories visible.</w:t>
      </w:r>
    </w:p>
    <w:tbl>
      <w:tblPr>
        <w:tblW w:type="auto" w:w="0"/>
        <w:jc w:val="center"/>
        <w:tblLayout w:type="fixed"/>
        <w:tblLook w:firstColumn="1" w:firstRow="1" w:lastColumn="0" w:lastRow="0" w:noHBand="0" w:noVBand="1" w:val="04A0"/>
        <w:tblBorders>
          <w:top w:val="single" w:sz="4" w:space="0" w:color="E6D18A"/>
          <w:left w:val="single" w:sz="4" w:space="0" w:color="E6D18A"/>
          <w:bottom w:val="single" w:sz="4" w:space="0" w:color="E6D18A"/>
          <w:right w:val="single" w:sz="4" w:space="0" w:color="E6D18A"/>
          <w:insideH w:val="single" w:sz="4" w:space="0" w:color="E6D18A"/>
          <w:insideV w:val="single" w:sz="4" w:space="0" w:color="E6D18A"/>
        </w:tblBorders>
      </w:tblPr>
      <w:tblGrid>
        <w:gridCol w:w="14544"/>
      </w:tblGrid>
      <w:tr>
        <w:tc>
          <w:tcPr>
            <w:tcW w:type="dxa" w:w="14544"/>
            <w:shd w:fill="FFF2CC"/>
            <w:tcMar>
              <w:top w:w="90" w:type="dxa"/>
              <w:start w:w="100" w:type="dxa"/>
              <w:bottom w:w="90" w:type="dxa"/>
              <w:end w:w="100" w:type="dxa"/>
            </w:tcMar>
          </w:tcPr>
          <w:p>
            <w:pPr>
              <w:spacing w:after="60"/>
            </w:pPr>
            <w:r/>
            <w:r>
              <w:rPr>
                <w:rFonts w:ascii="Aptos" w:hAnsi="Aptos"/>
                <w:b/>
                <w:color w:val="9C5700"/>
                <w:sz w:val="18"/>
              </w:rPr>
              <w:t>Current total is partial</w:t>
            </w:r>
          </w:p>
          <w:p>
            <w:pPr>
              <w:spacing w:after="0"/>
            </w:pPr>
            <w:r>
              <w:rPr>
                <w:rFonts w:ascii="Aptos" w:hAnsi="Aptos"/>
                <w:sz w:val="17"/>
              </w:rPr>
              <w:t>Known funding is summed with missing items excluded. Custodians and Buildings and Grounds Supervisor are not calculated where required inputs are missing. Cafeteria Manager and Worker amounts are not calculated without rates. None of those blanks should be read as zero funding.</w:t>
            </w:r>
          </w:p>
        </w:tc>
      </w:tr>
    </w:tbl>
    <w:p>
      <w:pPr>
        <w:spacing w:after="0"/>
      </w:pPr>
    </w:p>
    <w:p>
      <w:pPr>
        <w:pStyle w:val="Heading2"/>
        <w:keepNext/>
      </w:pPr>
      <w:r>
        <w:t>Current component implementation matrix: quantities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24"/>
        <w:gridCol w:w="2424"/>
        <w:gridCol w:w="2424"/>
        <w:gridCol w:w="2424"/>
        <w:gridCol w:w="2424"/>
        <w:gridCol w:w="2424"/>
      </w:tblGrid>
      <w:tr>
        <w:trPr>
          <w:tblHeader w:val="true"/>
        </w:trPr>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2"/>
              </w:rPr>
              <w:t>Component</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Purpose / level</w:t>
            </w:r>
          </w:p>
        </w:tc>
        <w:tc>
          <w:tcPr>
            <w:tcW w:type="dxa" w:w="3024"/>
            <w:shd w:fill="17365D"/>
            <w:tcMar>
              <w:top w:w="55" w:type="dxa"/>
              <w:start w:w="65" w:type="dxa"/>
              <w:bottom w:w="55" w:type="dxa"/>
              <w:end w:w="65" w:type="dxa"/>
            </w:tcMar>
            <w:vAlign w:val="center"/>
          </w:tcPr>
          <w:p>
            <w:pPr>
              <w:spacing w:after="0" w:before="0" w:line="240" w:lineRule="auto"/>
            </w:pPr>
            <w:r>
              <w:rPr>
                <w:rFonts w:ascii="Aptos" w:hAnsi="Aptos"/>
                <w:b/>
                <w:color w:val="FFFFFF"/>
                <w:sz w:val="12"/>
              </w:rPr>
              <w:t>Input, source, eligibility</w:t>
            </w:r>
          </w:p>
        </w:tc>
        <w:tc>
          <w:tcPr>
            <w:tcW w:type="dxa" w:w="2376"/>
            <w:shd w:fill="17365D"/>
            <w:tcMar>
              <w:top w:w="55" w:type="dxa"/>
              <w:start w:w="65" w:type="dxa"/>
              <w:bottom w:w="55" w:type="dxa"/>
              <w:end w:w="65" w:type="dxa"/>
            </w:tcMar>
            <w:vAlign w:val="center"/>
          </w:tcPr>
          <w:p>
            <w:pPr>
              <w:spacing w:after="0" w:before="0" w:line="240" w:lineRule="auto"/>
            </w:pPr>
            <w:r>
              <w:rPr>
                <w:rFonts w:ascii="Aptos" w:hAnsi="Aptos"/>
                <w:b/>
                <w:color w:val="FFFFFF"/>
                <w:sz w:val="12"/>
              </w:rPr>
              <w:t>Implemented formula</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Threshold / rounding</w:t>
            </w:r>
          </w:p>
        </w:tc>
        <w:tc>
          <w:tcPr>
            <w:tcW w:type="dxa" w:w="259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Implementation source</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Pre-K</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UnitsPreK; treated as Basic Pre-K special education</w:t>
              <w:br/>
              <w:t>Eligibility: Value is copied for every school/program row; policy intends non-school-code rows to retain vocational adjustments only, and current no-code source values are zero for this component.</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UnitsPreK (reported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uses the reported workbook quantity.</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scripts/04_calculate_current_quantities.R:165-166,343; scripts/02_build_shared_input.R:64-88</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K-3 Regular Education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UnitsK3</w:t>
              <w:br/>
              <w:t>Eligibility: Value is copied for every school/program row; current no-code source values are zero.</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UnitsK3 (reported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uses the reported workbook quantity.</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scripts/04_calculate_current_quantities.R:168-169,344</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- 4-12 Regular Education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Units4_12</w:t>
              <w:br/>
              <w:t>Eligibility: Value is copied for every school/program row; current no-code source values are zero.</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Units4_12 (reported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uses the reported workbook quantity.</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scripts/04_calculate_current_quantities.R:171-172,345</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Basic Special Education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UnitsBasicK12</w:t>
              <w:br/>
              <w:t>Eligibility: Value is copied for every school/program row; current no-code source values are zero.</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UnitsBasicK12 (reported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uses the reported workbook quantity.</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scripts/04_calculate_current_quantities.R:174-175,346</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Intensive Special Education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UnitsIntense</w:t>
              <w:br/>
              <w:t>Eligibility: Value is copied for every school/program row; current no-code source values are zero.</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UnitsIntense (reported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uses the reported workbook quantity.</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scripts/04_calculate_current_quantities.R:177-178,347</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Complex Special Education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UnitsComplex</w:t>
              <w:br/>
              <w:t>Eligibility: Value is copied for every school/program row; current no-code source values are zero.</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UnitsComplex (reported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uses the reported workbook quantity.</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scripts/04_calculate_current_quantities.R:180-181,348</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Division I</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reported vocational Division I positions.</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UnitsVocational after duplicate-row selection</w:t>
              <w:br/>
              <w:t>Eligibility: Retained for coded schools and the five no-code vocational/program records.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UnitsVocational (reported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uses the reported workbook quantity.</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scripts/04_calculate_current_quantities.R:183-184,349; scripts/02_build_shared_input.R:154-218</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Deduct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Reduces vocational position funding by the reported deduct.</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unit_count.xlsx -&gt; UnitsVocationalDeduct after duplicate-row selection</w:t>
              <w:br/>
              <w:t>Eligibility: Retained for coded schools and the five no-code vocational/program records.</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UnitsVocationalDeduct (reported negative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R rounding; negative quantity is preserved.</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scripts/04_calculate_current_quantities.R:186-187,350; scripts/02_build_shared_input.R:154-218</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Principal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school leadership positions.</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input -&gt; UnitsTotal and IsSchool</w:t>
              <w:br/>
              <w:t>Eligibility: Coded-school rows only; no-code records receive 0.</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 if IsSchool and UnitsTotal &gt;= 15; otherwise 0</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Hard threshold; integer 0/1; no general rounding.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scripts/04_calculate_current_quantities.R:189-190,267-271</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Principal</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school leadership positions.</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input -&gt; UnitsTotal and IsSchool</w:t>
              <w:br/>
              <w:t>Eligibility: Coded-school rows only; no-code records receive 0.</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&lt;25=0; 25-&lt;30=0.65; 30-&lt;50=1; 50-&lt;55=1.65; &gt;=55=2 + floor((UnitsTotal-55)/20)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Explicit 0.65/1.65 awards plus floor for completed 20-unit increments.</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scripts/04_calculate_current_quantities.R:48-55,192-193,272-275</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Counselor / Social Worker</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Counselor / Social Worker position quantity.</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student_counts.csv -&gt; K8Enrollment</w:t>
              <w:br/>
              <w:t>Eligibility: Coded-school rows only; no-code records receive 0.</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K8Enrollment / 250</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scripts/04_calculate_current_quantities.R:195-196,276-279</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School Psychologist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School Psychologist position quantity.</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student_counts.csv -&gt; K8Enrollment</w:t>
              <w:br/>
              <w:t>Eligibility: Coded-school rows only; no-code records receive 0.</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K8Enrollment / 700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scripts/04_calculate_current_quantities.R:198-199,280-283</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Nurse</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Nurse position quantity.</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input -&gt; UnitsTotal</w:t>
              <w:br/>
              <w:t>Eligibility: Coded-school rows only; no-code records receive 0.</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raw = UnitsTotal/40; FundingQuantity = floor(raw) + (raw-floor(raw))*0.30</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floor for whole positions; only 30% of the fractional remainder is retained; no further rounding.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scripts/04_calculate_current_quantities.R:72-77,201-202,284-287</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Academic Excellence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Academic Excellence position quantity.</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student_counts.csv -&gt; Enrollment</w:t>
              <w:br/>
              <w:t>Eligibility: Coded-school rows only; no-code records receive 0.</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Enrollment / 250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scripts/04_calculate_current_quantities.R:204-205,288-291</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Secretary</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Secretary position quantity.</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input -&gt; UnitsTotal</w:t>
              <w:br/>
              <w:t>Eligibility: Coded-school rows only; no-code records receive 0.</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If UnitsTotal &lt;100: floor(UnitsTotal/10); else 10 + floor((UnitsTotal-100)/12)</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floor for completed 10- and 12-unit thresholds.</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scripts/04_calculate_current_quantities.R:58-63,207-208,292-295</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Driver Education Teacher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student_counts.csv -&gt; Grade10Enrollment</w:t>
              <w:br/>
              <w:t>Eligibility: Coded-school rows only; no-code records receive 0.</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Grade10Enrollment / 125</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scripts/04_calculate_current_quantities.R:210-211,296-299</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Custodians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named school operations position.</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current_school_supplement.csv -&gt; CustodianPositions</w:t>
              <w:br/>
              <w:t>Eligibility: Coded-school rows only; no-code records receive 0.</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manually supplied CustodianPositions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calculation rounding; use supplied site-evaluated quantity.</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scripts/03_prepare_current_inputs.R:101-113,280-297; scripts/04_calculate_current_quantities.R:213-214,300-303</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Cafeteria Manager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named school operations position.</w:t>
              <w:br/>
              <w:t>Level: School</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current_school_supplement.csv -&gt; SatelliteCafeteriaCount</w:t>
              <w:br/>
              <w:t>Eligibility: Charter coded-school rows only; district/DAFB and no-code rows receive 0.</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For coded charter schools: 0.73 * (1 + coalesce(SatelliteCafeteriaCount,0)); otherwise 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 no R rounding.</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scripts/03_prepare_current_inputs.R:101-113,280-297; scripts/04_calculate_current_quantities.R:216-217,304-307</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Cafeteria Worker</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named school operations position.</w:t>
              <w:br/>
              <w:t>Level: School</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student_counts.csv -&gt; Enrollment</w:t>
              <w:br/>
              <w:t>Eligibility: Charter coded-school rows only; district/DAFB and no-code rows receive 0.</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For coded charter schools: Enrollment * 0.0062; otherwise 0</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scripts/04_calculate_current_quantities.R:219-220,308-311</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Superintendent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Superintendent position quantity.</w:t>
              <w:br/>
              <w:t>Level: LEA</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lea_crosswalk.csv -&gt; LEAType</w:t>
              <w:br/>
              <w:t>Eligibility: Districts and DAFB only; charters ineligible. DAFB is excluded from statewide output.</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 for LEAType District or Dover Air Force Base; otherwise 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integer 0/1.</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scripts/04_calculate_current_quantities.R:222-223,465-469</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Superintendent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Assistant Superintendent position quantity.</w:t>
              <w:br/>
              <w:t>Level: LEA</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UnitsTotal; lea_crosswalk.csv -&gt; LEAType</w:t>
              <w:br/>
              <w:t>Eligibility: Districts and DAFB only; charters ineligible. DAFB excluded statewide.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For district/DAFB: pmin(floor(UnitsTotal/300),2); otherwise 0</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floor completed 300-unit thresholds; cap 2.</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scripts/04_calculate_current_quantities.R:225-226,465-472</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Director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Director position quantity.</w:t>
              <w:br/>
              <w:t>Level: LEA</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UnitsTotal</w:t>
              <w:br/>
              <w:t>Eligibility: All LEAs, including charters and DAFB; DAFB excluded statewide.</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If UnitsTotal &lt;200: 0; else min(6,1+floor((UnitsTotal-200)/100))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floor completed additional 100-unit thresholds; cap 6.</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scripts/04_calculate_current_quantities.R:65-69,228-229,473</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Administrative Assistant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Administrative Assistant position quantity.</w:t>
              <w:br/>
              <w:t>Level: LEA</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 row</w:t>
              <w:br/>
              <w:t>Eligibility: One per LEA, including charters and DAFB; DAFB excluded statewide.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1</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integer 1.</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scripts/04_calculate_current_quantities.R:231-232,474</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11-Month Supervisor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11-Month Supervisor position quantity.</w:t>
              <w:br/>
              <w:t>Level: LEA</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UnitsTotal</w:t>
              <w:br/>
              <w:t>Eligibility: All LEAs, including charters and DAFB; DAFB excluded statewide.</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UnitsTotal / 150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scripts/04_calculate_current_quantities.R:234-235,475</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Related Services Specialist - Basic</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Related Services Specialist - Basic position quantity.</w:t>
              <w:br/>
              <w:t>Level: LEA</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UnitsBasicK12</w:t>
              <w:br/>
              <w:t>Eligibility: All LEAs, including charters and DAFB; DAFB excluded statewide.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UnitsBasicK12 / 57</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scripts/04_calculate_current_quantities.R:237-238,476</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Related Services Specialist - Intensive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Related Services Specialist - Intensive position quantity.</w:t>
              <w:br/>
              <w:t>Level: LEA</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UnitsIntense</w:t>
              <w:br/>
              <w:t>Eligibility: All LEAs, including charters and DAFB; DAFB excluded statewide.</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UnitsIntense / 5.5</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scripts/04_calculate_current_quantities.R:240-241,477</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Related Services Specialist - Complex</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Related Services Specialist - Complex position quantity.</w:t>
              <w:br/>
              <w:t>Level: LEA</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UnitsComplex</w:t>
              <w:br/>
              <w:t>Eligibility: All LEAs, including charters and DAFB; DAFB excluded statewide.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UnitsComplex / 3</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scripts/04_calculate_current_quantities.R:243-244,478</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Visiting Teacher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Level: LEA</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UnitsTotal</w:t>
              <w:br/>
              <w:t>Eligibility: All LEAs, including charters and DAFB; DAFB excluded statewide.</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UnitsTotal / 250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scripts/04_calculate_current_quantities.R:246-247,479</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Buildings and Grounds Supervisor</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Buildings and Grounds Supervisor position quantity.</w:t>
              <w:br/>
              <w:t>Level: LEA</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current_lea_supplement.csv -&gt; CustodialUnits</w:t>
              <w:br/>
              <w:t>Eligibility: All LEAs, including charters and DAFB; DAFB excluded statewide.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If CustodialUnits is missing: NA; else 1 when CustodialUnits &gt;=95, otherwise 0</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Hard 95-unit threshold; integer 0/1.</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scripts/03_prepare_current_inputs.R:128-148,337-347; scripts/04_calculate_current_quantities.R:249-250,480-484</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Food Services Supervisor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Food Services Supervisor position quantity.</w:t>
              <w:br/>
              <w:t>Level: LEA</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Shared LEA input -&gt; UnitsTotal plus current_school_supplement.csv -&gt; HasSchoolLunchProgram aggregated to SchoolLunchBuildingCount</w:t>
              <w:br/>
              <w:t>Eligibility: Districts and DAFB only; charters ineligible. DAFB excluded statewide.</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Charter: 0; district/DAFB: 1 if UnitsTotal &gt;=500; otherwise NA if lunch count missing; otherwise 1 if SchoolLunchBuildingCount &gt;=4, else 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Hard 500-unit and four-building thresholds; integer 0/1.</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scripts/03_prepare_current_inputs.R:271-347; scripts/04_calculate_current_quantities.R:252-253,485-491</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Transportation Supervisor</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Transportation Supervisor position quantity.</w:t>
              <w:br/>
              <w:t>Level: LEA</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student_counts.csv aggregated to LEA Enrollment</w:t>
              <w:br/>
              <w:t>Eligibility: All LEAs, including charters and DAFB; DAFB excluded statewide.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FundingQuantity = Enrollment / 7500</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full precision; no R rounding.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scripts/04_calculate_current_quantities.R:255-256,492</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Reading Cadre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Reading Cadre position quantity.</w:t>
              <w:br/>
              <w:t>Level: LEA</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lea_crosswalk.csv -&gt; LEAType</w:t>
              <w:br/>
              <w:t>Eligibility: Districts and DAFB only; charters ineligible. DAFB excluded statewide.</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 for LEAType District or Dover Air Force Base; otherwise 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integer 0/1.</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scripts/04_calculate_current_quantities.R:258-259,493</w:t>
            </w:r>
          </w:p>
        </w:tc>
      </w:tr>
    </w:tbl>
    <w:p>
      <w:pPr>
        <w:spacing w:after="0"/>
      </w:pPr>
    </w:p>
    <w:p>
      <w:pPr>
        <w:pStyle w:val="Heading2"/>
        <w:keepNext/>
      </w:pPr>
      <w:r>
        <w:t>Current component implementation matrix: rates, amounts, and limitations (adjusted 42-LEA scope)</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078"/>
        <w:gridCol w:w="2078"/>
        <w:gridCol w:w="2078"/>
        <w:gridCol w:w="2078"/>
        <w:gridCol w:w="2078"/>
        <w:gridCol w:w="2078"/>
        <w:gridCol w:w="2078"/>
      </w:tblGrid>
      <w:tr>
        <w:trPr>
          <w:tblHeader w:val="true"/>
        </w:trPr>
        <w:tc>
          <w:tcPr>
            <w:tcW w:type="dxa" w:w="2016"/>
            <w:shd w:fill="17365D"/>
            <w:tcMar>
              <w:top w:w="55" w:type="dxa"/>
              <w:start w:w="65" w:type="dxa"/>
              <w:bottom w:w="55" w:type="dxa"/>
              <w:end w:w="65" w:type="dxa"/>
            </w:tcMar>
            <w:vAlign w:val="center"/>
          </w:tcPr>
          <w:p>
            <w:pPr>
              <w:spacing w:after="0" w:before="0" w:line="240" w:lineRule="auto"/>
            </w:pPr>
            <w:r>
              <w:rPr>
                <w:rFonts w:ascii="Aptos" w:hAnsi="Aptos"/>
                <w:b/>
                <w:color w:val="FFFFFF"/>
                <w:sz w:val="12"/>
              </w:rPr>
              <w:t>Component</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Rate / unit</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Evidence and source</w:t>
            </w:r>
          </w:p>
        </w:tc>
        <w:tc>
          <w:tcPr>
            <w:tcW w:type="dxa" w:w="151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Amount formula</w:t>
            </w:r>
          </w:p>
        </w:tc>
        <w:tc>
          <w:tcPr>
            <w:tcW w:type="dxa" w:w="1584"/>
            <w:shd w:fill="17365D"/>
            <w:tcMar>
              <w:top w:w="55" w:type="dxa"/>
              <w:start w:w="65" w:type="dxa"/>
              <w:bottom w:w="55" w:type="dxa"/>
              <w:end w:w="65" w:type="dxa"/>
            </w:tcMar>
            <w:vAlign w:val="center"/>
          </w:tcPr>
          <w:p>
            <w:pPr>
              <w:spacing w:after="0" w:before="0" w:line="240" w:lineRule="auto"/>
            </w:pPr>
            <w:r>
              <w:rPr>
                <w:rFonts w:ascii="Aptos" w:hAnsi="Aptos"/>
                <w:b/>
                <w:color w:val="FFFFFF"/>
                <w:sz w:val="12"/>
              </w:rPr>
              <w:t>Adjusted quantity</w:t>
            </w:r>
          </w:p>
        </w:tc>
        <w:tc>
          <w:tcPr>
            <w:tcW w:type="dxa" w:w="1296"/>
            <w:shd w:fill="17365D"/>
            <w:tcMar>
              <w:top w:w="55" w:type="dxa"/>
              <w:start w:w="65" w:type="dxa"/>
              <w:bottom w:w="55" w:type="dxa"/>
              <w:end w:w="65" w:type="dxa"/>
            </w:tcMar>
            <w:vAlign w:val="center"/>
          </w:tcPr>
          <w:p>
            <w:pPr>
              <w:spacing w:after="0" w:before="0" w:line="240" w:lineRule="auto"/>
            </w:pPr>
            <w:r>
              <w:rPr>
                <w:rFonts w:ascii="Aptos" w:hAnsi="Aptos"/>
                <w:b/>
                <w:color w:val="FFFFFF"/>
                <w:sz w:val="12"/>
              </w:rPr>
              <w:t>Known amount</w:t>
            </w:r>
          </w:p>
        </w:tc>
        <w:tc>
          <w:tcPr>
            <w:tcW w:type="dxa" w:w="4464"/>
            <w:shd w:fill="17365D"/>
            <w:tcMar>
              <w:top w:w="55" w:type="dxa"/>
              <w:start w:w="65" w:type="dxa"/>
              <w:bottom w:w="55" w:type="dxa"/>
              <w:end w:w="65" w:type="dxa"/>
            </w:tcMar>
            <w:vAlign w:val="center"/>
          </w:tcPr>
          <w:p>
            <w:pPr>
              <w:spacing w:after="0" w:before="0" w:line="240" w:lineRule="auto"/>
            </w:pPr>
            <w:r>
              <w:rPr>
                <w:rFonts w:ascii="Aptos" w:hAnsi="Aptos"/>
                <w:b/>
                <w:color w:val="FFFFFF"/>
                <w:sz w:val="12"/>
              </w:rPr>
              <w:t>Missing treatment / limitations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Pre-K</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 Calculator!E6</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131.310</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$12.63M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If the reported input were missing, CalculationComplete would be FALSE and funding would be blank. No explicit core-input completeness check exists. Charter Pre-K eligibility cannot be isolated and remains a policy question; shared Division I teacher rate is used.</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K-3 Regular Education</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 Calculator!E6</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2,090.010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$200.96M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reported quantity would yield incomplete calculation and blank funding. Rate is an exact component match in the supplied proposed-calculator rate file, not an independently sourced legacy appropriation rate.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- 4-12 Regular Education</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funding_rates.csv:3; Calculator!E7</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3,985.500</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$383.23M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reported quantity would yield incomplete calculation and blank funding. Rate is from the proposed-calculator rate table.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Basic Special Education</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funding_rates.csv:4; Calculator!E8</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1,519.930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$146.15M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reported quantity would yield incomplete calculation and blank funding. Pre-K is modeled separately; the rate is from the proposed-calculator rate table.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Intensive Special Education</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funding_rates.csv:5; Calculator!E9</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1,150.300</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$110.61M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reported quantity would yield incomplete calculation and blank funding. Rate is from the proposed-calculator rate table.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Complex Special Education</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funding_rates.csv:6; Calculator!E10</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2,447.580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$235.35M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reported quantity would yield incomplete calculation and blank funding. Rate is from the proposed-calculator rate table.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Division I</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funding_rates.csv:7; Calculator!E11 and E12</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838.830</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$80.66M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reported quantity would yield incomplete calculation and blank funding. Repeated NCCVT rows use the source row with the lowest absolute vocational amount; the interpretation remains a documented source-selection assumption.</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Deduct</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funding_rates.csv:7; Calculator!E11 and E12</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-419.610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−$40.35M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reported quantity would yield incomplete calculation and blank funding. Produces negative funding by design; same shared vocational rate as positive Vocational Division I.</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Principal</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$153,065.00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funding_rates.csv:8; Calculator!E13</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223</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$34.13M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manual input. Zero quantity is funded at $0 even if a rate were missing. Current model uses one school code as one school; DAFB schools are calculated but excluded statewide.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Principal</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$134,266.00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funding_rates.csv:9; Calculator!E14</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361.750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$48.57M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manual input; missing UnitsTotal would make the quantity incomplete. Written threshold interpretation is implemented directly.</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Counselor / Social Worker</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Broader analytical rate assumption. funding_rates.csv:11; Calculator!E16</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371.024</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$35.68M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Funding would be blank if calculation were incomplete. Legacy component is assumed to use the proposed Instructional Supports rate.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School Psychologist</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Broader analytical rate assumption. funding_rates.csv:11; Calculator!E16</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132.509</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$12.74M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Legacy component is assumed to use the proposed Instructional Supports rate.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Nurse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rate mapping. funding_rates.csv:11; Calculator!E16</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207.045</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$19.91M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Interpretation of the 30-percent fractional rule remains an open policy question; proposed model documents nursing as consolidated into Instructional Supports.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Academic Excellence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rate mapping. funding_rates.csv:11; Calculator!E16</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562.824</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$54.12M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Proposed model documents Academic Excellence as consolidated into Instructional Supports.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Secretary</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$74,017.00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Broader analytical rate assumption. funding_rates.csv:10; Calculator!E15</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1,052</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$77.87M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Legacy Secretary is assumed to use the proposed Administrative Support Professionals rate.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Driver Education Teacher</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rate mapping. funding_rates.csv:11; Calculator!E16</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91.592</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$8.81M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Proposed model documents Driver Education as consolidated into Instructional Supports.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Custodians</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rate. No rate supplied</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0; 228 input rows missing</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Not calculated</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Adjusted scope: all 228 coded-school rows lack site-evaluated positions. Quantity and amount remain blank, and a funding rate is also unavailable. These blanks are missing values, not zeros.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Cafeteria Manager</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rate. No rate supplied</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16.790; 23 input rows missing; 23 provisional</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Not calculated</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Adjusted scope: all 23 charter rows lack satellite cafeteria counts. The displayed 0.73 base quantity is provisional, and no amount is calculated because the rate is missing. The separate district cafeteria process is outside this recreation.</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Cafeteria Worker</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rate. No rate supplied</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117.341</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Not calculated</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Quantity is complete, but every nonzero charter row has blank funding because no rate is supplied. District cafeteria process is not modeled; charter worker funding cannot be calculated without a rate.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Superintendent</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$188,319.00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funding_rates.csv:21; Calculator!E35</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19</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$3.58M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ineligible charter rows are complete zeros. DAFB treatment as district-like is a documented assumption.</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Superintendent</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$167,858.00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funding_rates.csv:23; Calculator!E37</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19</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$3.19M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ineligible charter rows are complete zeros. Uses completed thresholds, not proportional positions; DAFB district-like assumption applies.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Director</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$166,369.00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funding_rates.csv:24; Calculator!E38</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60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$9.98M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No eligibility restriction is coded beyond statewide scope.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Administrative Assistant</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$111,365.00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funding_rates.csv:22; Calculator!E36</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42</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$4.68M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No eligibility restriction is coded beyond statewide scope.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11-Month Supervisor</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$113,281.67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funding_rates.csv:25; Calculator!E39</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78.294</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$8.87M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No eligibility restriction is coded beyond statewide scope.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Related Services Specialist - Basic</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rate mapping. funding_rates.csv:11; Calculator!E16</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26.666</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$2.56M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Proposed model documents Related Services as consolidated into Instructional Supports.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Related Services Specialist - Intensive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rate mapping. funding_rates.csv:11; Calculator!E16</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209.145</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$20.11M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Proposed model documents Related Services as consolidated into Instructional Supports.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Related Services Specialist - Complex</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rate mapping. funding_rates.csv:11; Calculator!E16</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815.893</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$78.45M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Proposed model documents Related Services as consolidated into Instructional Supports.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Visiting Teacher</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Broader analytical rate assumption. funding_rates.csv:11; Calculator!E16</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46.977</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$4.52M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Legacy component is assumed to use the proposed Instructional Supports rate.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Buildings and Grounds Supervisor</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$123,580.00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funding_rates.csv:26; Calculator!E40</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0; 42 input rows missing</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Not calculated</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Adjusted scope: all 42 LEAs lack custodial units, so quantities and amounts remain blank. The available rate cannot be applied until the 95-unit eligibility input is supplied.</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Food Services Supervisor</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$123,580.00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funding_rates.csv:27; Calculator!E41</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 10 input rows missing</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$1.11M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Adjusted scope: 10 formula-relevant district LEAs lack complete lunch-building indicators; nine other district quantities are known and funded. Charter LEAs are ineligible and remain complete zeros.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Transportation Supervisor</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$123,580.00 per position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funding_rates.csv:28; Calculator!E42</w:t>
            </w:r>
          </w:p>
        </w:tc>
        <w:tc>
          <w:tcPr>
            <w:tcW w:type="dxa" w:w="151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18.761</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$2.32M</w:t>
            </w:r>
          </w:p>
        </w:tc>
        <w:tc>
          <w:tcPr>
            <w:tcW w:type="dxa" w:w="446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 current run. Fractional positions are explicitly allowed.</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Reading Cadre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 per position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rate. funding_rates.csv:29; Calculator!E43</w:t>
            </w:r>
          </w:p>
        </w:tc>
        <w:tc>
          <w:tcPr>
            <w:tcW w:type="dxa" w:w="151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funding rate</w:t>
            </w:r>
          </w:p>
        </w:tc>
        <w:tc>
          <w:tcPr>
            <w:tcW w:type="dxa" w:w="15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19</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$1.83M</w:t>
            </w:r>
          </w:p>
        </w:tc>
        <w:tc>
          <w:tcPr>
            <w:tcW w:type="dxa" w:w="446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missing input; ineligible charter rows are complete zeros. DAFB district-like treatment is a documented assumption.</w:t>
            </w:r>
          </w:p>
        </w:tc>
      </w:tr>
    </w:tbl>
    <w:p>
      <w:pPr>
        <w:spacing w:after="0"/>
      </w:pPr>
    </w:p>
    <w:p>
      <w:pPr>
        <w:pStyle w:val="Heading2"/>
        <w:keepNext/>
      </w:pPr>
      <w:r>
        <w:t>Adjusted current funding by rate-evidence category</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636"/>
        <w:gridCol w:w="3636"/>
        <w:gridCol w:w="3636"/>
        <w:gridCol w:w="3636"/>
      </w:tblGrid>
      <w:tr>
        <w:trPr>
          <w:tblHeader w:val="true"/>
        </w:trPr>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Evidence category</w:t>
            </w:r>
          </w:p>
        </w:tc>
        <w:tc>
          <w:tcPr>
            <w:tcW w:type="dxa" w:w="115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Components</w:t>
            </w:r>
          </w:p>
        </w:tc>
        <w:tc>
          <w:tcPr>
            <w:tcW w:type="dxa" w:w="194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Known adjusted amount</w:t>
            </w:r>
          </w:p>
        </w:tc>
        <w:tc>
          <w:tcPr>
            <w:tcW w:type="dxa" w:w="698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Interpretation</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Confirmed rate</w:t>
            </w:r>
          </w:p>
        </w:tc>
        <w:tc>
          <w:tcPr>
            <w:tcW w:type="dxa" w:w="115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19</w:t>
            </w:r>
          </w:p>
        </w:tc>
        <w:tc>
          <w:tcPr>
            <w:tcW w:type="dxa" w:w="194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$1,247.49M</w:t>
            </w:r>
          </w:p>
        </w:tc>
        <w:tc>
          <w:tcPr>
            <w:tcW w:type="dxa" w:w="69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Direct or shared match in the maintained rate table</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Documented rate mapping</w:t>
            </w:r>
          </w:p>
        </w:tc>
        <w:tc>
          <w:tcPr>
            <w:tcW w:type="dxa" w:w="115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6</w:t>
            </w:r>
          </w:p>
        </w:tc>
        <w:tc>
          <w:tcPr>
            <w:tcW w:type="dxa" w:w="194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$183.96M</w:t>
            </w:r>
          </w:p>
        </w:tc>
        <w:tc>
          <w:tcPr>
            <w:tcW w:type="dxa" w:w="69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Explicit consolidation into a proposed component</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Broader analytical rate assumption</w:t>
            </w:r>
          </w:p>
        </w:tc>
        <w:tc>
          <w:tcPr>
            <w:tcW w:type="dxa" w:w="115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4</w:t>
            </w:r>
          </w:p>
        </w:tc>
        <w:tc>
          <w:tcPr>
            <w:tcW w:type="dxa" w:w="194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$130.80M</w:t>
            </w:r>
          </w:p>
        </w:tc>
        <w:tc>
          <w:tcPr>
            <w:tcW w:type="dxa" w:w="69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Analyst-selected related proposed rate</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Missing rate</w:t>
            </w:r>
          </w:p>
        </w:tc>
        <w:tc>
          <w:tcPr>
            <w:tcW w:type="dxa" w:w="115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w:t>
            </w:r>
          </w:p>
        </w:tc>
        <w:tc>
          <w:tcPr>
            <w:tcW w:type="dxa" w:w="194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Not calculated</w:t>
            </w:r>
          </w:p>
        </w:tc>
        <w:tc>
          <w:tcPr>
            <w:tcW w:type="dxa" w:w="69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No supplied rate; nonzero quantities remain unfunded in the recreation</w:t>
            </w:r>
          </w:p>
        </w:tc>
      </w:tr>
    </w:tbl>
    <w:p>
      <w:pPr>
        <w:spacing w:after="0"/>
      </w:pPr>
    </w:p>
    <w:p>
      <w:pPr>
        <w:widowControl/>
      </w:pPr>
      <w:r>
        <w:t>The known adjusted current total is $1,562,248,440.18. It includes all three evidence tiers shown above and excludes amounts that cannot be calculated because an input or rate is missing.</w:t>
      </w:r>
    </w:p>
    <w:p>
      <w:pPr>
        <w:sectPr>
          <w:pgSz w:w="15840" w:h="12240" w:orient="landscape"/>
          <w:pgMar w:top="792" w:right="648" w:bottom="792" w:left="648" w:header="288" w:footer="360" w:gutter="0"/>
          <w:cols w:space="720"/>
          <w:docGrid w:linePitch="360"/>
        </w:sectPr>
      </w:pPr>
    </w:p>
    <w:p>
      <w:pPr>
        <w:pStyle w:val="Heading2"/>
        <w:keepNext/>
      </w:pPr>
      <w:r>
        <w:t>Current rate evidence categories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2448"/>
            <w:shd w:fill="17365D"/>
            <w:tcMar>
              <w:top w:w="55" w:type="dxa"/>
              <w:start w:w="65" w:type="dxa"/>
              <w:bottom w:w="55" w:type="dxa"/>
              <w:end w:w="65" w:type="dxa"/>
            </w:tcMar>
            <w:vAlign w:val="center"/>
          </w:tcPr>
          <w:p>
            <w:pPr>
              <w:spacing w:after="0" w:before="0" w:line="240" w:lineRule="auto"/>
            </w:pPr>
            <w:r>
              <w:rPr>
                <w:rFonts w:ascii="Aptos" w:hAnsi="Aptos"/>
                <w:b/>
                <w:color w:val="FFFFFF"/>
                <w:sz w:val="16"/>
              </w:rPr>
              <w:t>Category</w:t>
            </w:r>
          </w:p>
        </w:tc>
        <w:tc>
          <w:tcPr>
            <w:tcW w:type="dxa" w:w="302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How assigned</w:t>
            </w:r>
          </w:p>
        </w:tc>
        <w:tc>
          <w:tcPr>
            <w:tcW w:type="dxa" w:w="4032"/>
            <w:shd w:fill="17365D"/>
            <w:tcMar>
              <w:top w:w="55" w:type="dxa"/>
              <w:start w:w="65" w:type="dxa"/>
              <w:bottom w:w="55" w:type="dxa"/>
              <w:end w:w="65" w:type="dxa"/>
            </w:tcMar>
            <w:vAlign w:val="center"/>
          </w:tcPr>
          <w:p>
            <w:pPr>
              <w:spacing w:after="0" w:before="0" w:line="240" w:lineRule="auto"/>
            </w:pPr>
            <w:r>
              <w:rPr>
                <w:rFonts w:ascii="Aptos" w:hAnsi="Aptos"/>
                <w:b/>
                <w:color w:val="FFFFFF"/>
                <w:sz w:val="16"/>
              </w:rPr>
              <w:t>Interpretation</w:t>
            </w:r>
          </w:p>
        </w:tc>
      </w:tr>
      <w:tr>
        <w:trPr>
          <w:cantSplit/>
        </w:trPr>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Confirmed rate</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Direct or shared match in the maintained rate table</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Strongest rate evidence available to this analysis, but still derived from the proposed calculator rather than a separately verified legacy appropriation schedule</w:t>
            </w:r>
          </w:p>
        </w:tc>
      </w:tr>
      <w:tr>
        <w:trPr>
          <w:cantSplit/>
        </w:trPr>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Documented rate mapping</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Current function explicitly consolidated into a proposed component</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Uses the mapped proposed rate and should not be read as a verified current salary/benefit amount</w:t>
            </w:r>
          </w:p>
        </w:tc>
      </w:tr>
      <w:tr>
        <w:trPr>
          <w:cantSplit/>
        </w:trPr>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Broader analytical rate assumption</w:t>
            </w:r>
          </w:p>
        </w:tc>
        <w:tc>
          <w:tcPr>
            <w:tcW w:type="dxa" w:w="30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Analyst-selected related proposed rate</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Useful for a preliminary comparison but more uncertain</w:t>
            </w:r>
          </w:p>
        </w:tc>
      </w:tr>
      <w:tr>
        <w:trPr>
          <w:cantSplit/>
        </w:trPr>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Missing rate</w:t>
            </w:r>
          </w:p>
        </w:tc>
        <w:tc>
          <w:tcPr>
            <w:tcW w:type="dxa" w:w="30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No supplied rate</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Funding amount remains uncalculated for nonzero quantities</w:t>
            </w:r>
          </w:p>
        </w:tc>
      </w:tr>
    </w:tbl>
    <w:p>
      <w:pPr>
        <w:spacing w:after="0"/>
      </w:pPr>
    </w:p>
    <w:p>
      <w:pPr>
        <w:pStyle w:val="Heading2"/>
        <w:keepNext/>
      </w:pPr>
      <w:r>
        <w:t>Current-model incomplete items in the adjusted scope</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48"/>
        <w:gridCol w:w="2448"/>
        <w:gridCol w:w="2448"/>
        <w:gridCol w:w="2448"/>
      </w:tblGrid>
      <w:tr>
        <w:trPr>
          <w:tblHeader w:val="true"/>
        </w:trPr>
        <w:tc>
          <w:tcPr>
            <w:tcW w:type="dxa" w:w="237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Component</w:t>
            </w:r>
          </w:p>
        </w:tc>
        <w:tc>
          <w:tcPr>
            <w:tcW w:type="dxa" w:w="216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Affected adjusted scope</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Missing information</w:t>
            </w:r>
          </w:p>
        </w:tc>
        <w:tc>
          <w:tcPr>
            <w:tcW w:type="dxa" w:w="273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Implemented treatment</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Custodians</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228 coded-school inputs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Site-evaluated positions</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Quantity and amount not calculated; rate also unavailable once quantities are supplied</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Buildings and Grounds Supervisor</w:t>
            </w:r>
          </w:p>
        </w:tc>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42 LEA inputs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Custodial units and 95-unit threshold</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Quantity and amount not calculated</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Food Services Supervisor</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10 LEA inputs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Complete lunch-building indicators for formula-relevant LEAs</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Known quantities for other LEAs remain included; statewide line is partial</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Cafeteria Manager</w:t>
            </w:r>
          </w:p>
        </w:tc>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23 charter inputs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Satellite cafeteria counts</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Base 0.73 quantity is provisional; rate missing; amount not calculated</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Cafeteria Manager rate</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23 charter rows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Applicable rate</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Amount not calculated</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Cafeteria Worker rate</w:t>
            </w:r>
          </w:p>
        </w:tc>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23 charter rows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Applicable rate</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Amount not calculated</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District cafeteria process</w:t>
            </w:r>
          </w:p>
        </w:tc>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Outside model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Separate district process</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Not represented in recreated current funding</w:t>
            </w:r>
          </w:p>
        </w:tc>
      </w:tr>
    </w:tbl>
    <w:p>
      <w:pPr>
        <w:spacing w:after="0"/>
      </w:pPr>
    </w:p>
    <w:p>
      <w:pPr>
        <w:sectPr>
          <w:pgSz w:w="12240" w:h="15840"/>
          <w:pgMar w:top="1224" w:right="1224" w:bottom="1152" w:left="1224" w:header="288" w:footer="360" w:gutter="0"/>
          <w:cols w:space="720"/>
          <w:docGrid w:linePitch="360"/>
        </w:sectPr>
      </w:pPr>
    </w:p>
    <w:p>
      <w:pPr>
        <w:pStyle w:val="Heading1"/>
        <w:keepNext/>
      </w:pPr>
      <w:r>
        <w:t>F. Proposed Model as Implemented</w:t>
      </w:r>
    </w:p>
    <w:p>
      <w:pPr>
        <w:widowControl/>
      </w:pPr>
      <w:r>
        <w:t>The proposed branch has 29 components: 11 Base, two Opportunity, seven Operational, and nine Central Office lines. The Base and Central Office sections produce position quantities. Opportunity and Operational produce weighted units and then allocate fixed statewide pools.</w:t>
      </w:r>
    </w:p>
    <w:p>
      <w:pPr>
        <w:pStyle w:val="Heading2"/>
        <w:keepNext/>
      </w:pPr>
      <w:r>
        <w:t>Proposed component implementation matrix: quantities and weighted units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078"/>
        <w:gridCol w:w="2078"/>
        <w:gridCol w:w="2078"/>
        <w:gridCol w:w="2078"/>
        <w:gridCol w:w="2078"/>
        <w:gridCol w:w="2078"/>
        <w:gridCol w:w="2078"/>
      </w:tblGrid>
      <w:tr>
        <w:trPr>
          <w:tblHeader w:val="true"/>
        </w:trPr>
        <w:tc>
          <w:tcPr>
            <w:tcW w:type="dxa" w:w="2016"/>
            <w:shd w:fill="17365D"/>
            <w:tcMar>
              <w:top w:w="55" w:type="dxa"/>
              <w:start w:w="65" w:type="dxa"/>
              <w:bottom w:w="55" w:type="dxa"/>
              <w:end w:w="65" w:type="dxa"/>
            </w:tcMar>
            <w:vAlign w:val="center"/>
          </w:tcPr>
          <w:p>
            <w:pPr>
              <w:spacing w:after="0" w:before="0" w:line="240" w:lineRule="auto"/>
            </w:pPr>
            <w:r>
              <w:rPr>
                <w:rFonts w:ascii="Aptos" w:hAnsi="Aptos"/>
                <w:b/>
                <w:color w:val="FFFFFF"/>
                <w:sz w:val="12"/>
              </w:rPr>
              <w:t>Component</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Purpose / section</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Level / eligibility</w:t>
            </w:r>
          </w:p>
        </w:tc>
        <w:tc>
          <w:tcPr>
            <w:tcW w:type="dxa" w:w="180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Input or base</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Implemented formula</w:t>
            </w:r>
          </w:p>
        </w:tc>
        <w:tc>
          <w:tcPr>
            <w:tcW w:type="dxa" w:w="1656"/>
            <w:shd w:fill="17365D"/>
            <w:tcMar>
              <w:top w:w="55" w:type="dxa"/>
              <w:start w:w="65" w:type="dxa"/>
              <w:bottom w:w="55" w:type="dxa"/>
              <w:end w:w="65" w:type="dxa"/>
            </w:tcMar>
            <w:vAlign w:val="center"/>
          </w:tcPr>
          <w:p>
            <w:pPr>
              <w:spacing w:after="0" w:before="0" w:line="240" w:lineRule="auto"/>
            </w:pPr>
            <w:r>
              <w:rPr>
                <w:rFonts w:ascii="Aptos" w:hAnsi="Aptos"/>
                <w:b/>
                <w:color w:val="FFFFFF"/>
                <w:sz w:val="12"/>
              </w:rPr>
              <w:t>Threshold / rounding</w:t>
            </w:r>
          </w:p>
        </w:tc>
        <w:tc>
          <w:tcPr>
            <w:tcW w:type="dxa" w:w="2376"/>
            <w:shd w:fill="17365D"/>
            <w:tcMar>
              <w:top w:w="55" w:type="dxa"/>
              <w:start w:w="65" w:type="dxa"/>
              <w:bottom w:w="55" w:type="dxa"/>
              <w:end w:w="65" w:type="dxa"/>
            </w:tcMar>
            <w:vAlign w:val="center"/>
          </w:tcPr>
          <w:p>
            <w:pPr>
              <w:spacing w:after="0" w:before="0" w:line="240" w:lineRule="auto"/>
            </w:pPr>
            <w:r>
              <w:rPr>
                <w:rFonts w:ascii="Aptos" w:hAnsi="Aptos"/>
                <w:b/>
                <w:color w:val="FFFFFF"/>
                <w:sz w:val="12"/>
              </w:rPr>
              <w:t>Evidence, exception, or issue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K-3 Regular Education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Base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EnrollmentK3</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EnrollmentK3 / 16.2</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- 4-12 Regular Education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Base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Enrollment4_12</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Enrollment4_12 / 20</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Pre-K-12 Basic Special Education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Base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BasicPreK12Enrollment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BasicPreK12Enrollment / 8.4</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Intensive Special Education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Base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EnrollmentIntense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EnrollmentIntense / 6</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Complex Special Education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teacher position quantity.</w:t>
              <w:br/>
              <w:t>Base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EnrollmentComplex</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EnrollmentComplex / 2.6</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Deduct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Reduces vocational position funding by the reported deduct.</w:t>
              <w:br/>
              <w:t>Base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All calculation-unit rows; no-code adjustment rows may retain vocational values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UnitsVocationalDeduct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shared negative units</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Full-precision continuous value</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Division I</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reported vocational Division I positions.</w:t>
              <w:br/>
              <w:t>Base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All calculation-unit rows; no-code adjustment rows may retain vocational values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UnitsVocational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shared units</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Full-precision continuous value</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Principal</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school leadership positions.</w:t>
              <w:br/>
              <w:t>Base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IsSchoolCalculationUnit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 if calculation unit; otherwise 0</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Instructional Supports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proposed consolidated school-support positions.</w:t>
              <w:br/>
              <w:t>Base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BaseDivisionIPositions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BaseDivisionIPositions * 0.20</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at 20%; code, current calculator, and current lookup agree.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Administrative Support Professionals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proposed consolidated school-support positions.</w:t>
              <w:br/>
              <w:t>Base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Base Division I + Principal + Instructional Supports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If base &lt;100: floor(base/10); else 10 + floor((base-100)/12)</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Completed thresholds; whole positions</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Principal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school leadership positions.</w:t>
              <w:br/>
              <w:t>Base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School calculation unit</w:t>
              <w:br/>
              <w:t>Eligibility: District/DAFB school code or charter calculator building; no-code rows do not earn school positions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Base Division I + Administrative Support Professionals + Instructional Supports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&lt;25=0; 25-&lt;30=.65; 30-&lt;50=1; 50-&lt;55=1.65; &gt;=55=2+floor((base-55)/20)</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Fractional .65/1.65 preserved</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preserves 0.65 and 1.65 awards; calculator Data formulas round down to whole positions.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Opportunity Funding - Low Income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Opportunity pool for this student characteristic.</w:t>
              <w:br/>
              <w:t>Opportunity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LI</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LI * 0.675</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pool and fixed weight; rate changes with eligible weighted units.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Opportunity Funding - Multilingual Learner</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Opportunity pool for this student characteristic.</w:t>
              <w:br/>
              <w:t>Opportunity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MLL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MLL * 0.47</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pool and fixed weight; rate changes with eligible weighted units.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Enrollment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Operational pool for this factor.</w:t>
              <w:br/>
              <w:t>Operational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Total Enrollment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 * 0.20</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total enrollment × 0.20; compiled lookup wording that says regular education is stale.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Low Income</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Operational pool for this factor.</w:t>
              <w:br/>
              <w:t>Operational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LI</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LI * 0.675</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Multilingual Learner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Operational pool for this factor.</w:t>
              <w:br/>
              <w:t>Operational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MLL</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MLL * 0.47</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Basic Special Education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Operational pool for this factor.</w:t>
              <w:br/>
              <w:t>Operational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EnrollmentPreK + EnrollmentBasicK12</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(EnrollmentPreK + EnrollmentBasicK12) * 0.48</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Intensive Special Education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Operational pool for this factor.</w:t>
              <w:br/>
              <w:t>Operational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EnrollmentIntense</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EnrollmentIntense * 0.67</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Complex Special Education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Operational pool for this factor.</w:t>
              <w:br/>
              <w:t>Operational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EnrollmentComplex</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EnrollmentComplex * 1.54</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Vocational</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the fixed Operational pool for this factor.</w:t>
              <w:br/>
              <w:t>Operational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Official school/charter total</w:t>
              <w:br/>
              <w:t>Eligibility: Official shared school/charter total once; complete eligible rows only</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Calculator vocational enrollment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VocationalEnrollment * 0.20</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Calculator-derived vocational count; source definition and construction still need confirmation.</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Superintendent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Superintendent position quantity.</w:t>
              <w:br/>
              <w:t>Central Office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Administrative Assistant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Administrative Assistant position quantity.</w:t>
              <w:br/>
              <w:t>Central Office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Superintendent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Assistant Superintendent position quantity.</w:t>
              <w:br/>
              <w:t>Central Office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UnitsTotal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min(floor(UnitsTotal / 300), 2)</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Completed 300-unit thresholds; cap 2</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uses completed 300-Unit thresholds; calculator allows a proportional amount above 300 and uses a broader Base-position total.</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Director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Director position quantity.</w:t>
              <w:br/>
              <w:t>Central Office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UnitsTotal</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0 if &lt;200; else min(6, 1 + floor((UnitsTotal-200)/100))</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Completed 100-unit steps; cap 6</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uses Division I UnitsTotal; calculator uses a broader Base-position total.</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11-Month Supervisor</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11-Month Supervisor position quantity.</w:t>
              <w:br/>
              <w:t>Central Office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UnitsTotal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UnitsTotal / 150</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uses Division I UnitsTotal; calculator uses the statewide Base-position total.</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Buildings and Grounds Supervisor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Buildings and Grounds Supervisor position quantity.</w:t>
              <w:br/>
              <w:t>Central Office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Food Services Supervisor</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Food Services Supervisor position quantity.</w:t>
              <w:br/>
              <w:t>Central Office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UnitsTotal</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 + floor(max(UnitsTotal-500,0)/500)</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Base 1 plus completed 500-unit increments</w:t>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Transportation Supervisor</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Transportation Supervisor position quantity.</w:t>
              <w:br/>
              <w:t>Central Office Funding (State Support)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Enrollment / 7500</w:t>
            </w:r>
          </w:p>
        </w:tc>
        <w:tc>
          <w:tcPr>
            <w:tcW w:type="dxa" w:w="165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 precision</w:t>
            </w:r>
          </w:p>
        </w:tc>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Reading Cadre</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Funds the implemented Reading Cadre position quantity.</w:t>
              <w:br/>
              <w:t>Central Office Funding (State Support)</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Level: LEA</w:t>
              <w:br/>
              <w:t>Eligibility: One calculation per LEA; DAFB calculated but excluded from statewide totals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w:t>
            </w:r>
          </w:p>
        </w:tc>
        <w:tc>
          <w:tcPr>
            <w:tcW w:type="dxa" w:w="165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r>
          </w:p>
        </w:tc>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bl>
    <w:p>
      <w:pPr>
        <w:spacing w:after="0"/>
      </w:pPr>
    </w:p>
    <w:p>
      <w:pPr>
        <w:pStyle w:val="Heading2"/>
        <w:keepNext/>
      </w:pPr>
      <w:r>
        <w:t>Proposed component implementation matrix: rates and adjusted results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078"/>
        <w:gridCol w:w="2078"/>
        <w:gridCol w:w="2078"/>
        <w:gridCol w:w="2078"/>
        <w:gridCol w:w="2078"/>
        <w:gridCol w:w="2078"/>
        <w:gridCol w:w="2078"/>
      </w:tblGrid>
      <w:tr>
        <w:trPr>
          <w:tblHeader w:val="true"/>
        </w:trPr>
        <w:tc>
          <w:tcPr>
            <w:tcW w:type="dxa" w:w="2016"/>
            <w:shd w:fill="17365D"/>
            <w:tcMar>
              <w:top w:w="55" w:type="dxa"/>
              <w:start w:w="65" w:type="dxa"/>
              <w:bottom w:w="55" w:type="dxa"/>
              <w:end w:w="65" w:type="dxa"/>
            </w:tcMar>
            <w:vAlign w:val="center"/>
          </w:tcPr>
          <w:p>
            <w:pPr>
              <w:spacing w:after="0" w:before="0" w:line="240" w:lineRule="auto"/>
            </w:pPr>
            <w:r>
              <w:rPr>
                <w:rFonts w:ascii="Aptos" w:hAnsi="Aptos"/>
                <w:b/>
                <w:color w:val="FFFFFF"/>
                <w:sz w:val="12"/>
              </w:rPr>
              <w:t>Component</w:t>
            </w:r>
          </w:p>
        </w:tc>
        <w:tc>
          <w:tcPr>
            <w:tcW w:type="dxa" w:w="180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Rate or weight</w:t>
            </w:r>
          </w:p>
        </w:tc>
        <w:tc>
          <w:tcPr>
            <w:tcW w:type="dxa" w:w="2448"/>
            <w:shd w:fill="17365D"/>
            <w:tcMar>
              <w:top w:w="55" w:type="dxa"/>
              <w:start w:w="65" w:type="dxa"/>
              <w:bottom w:w="55" w:type="dxa"/>
              <w:end w:w="65" w:type="dxa"/>
            </w:tcMar>
            <w:vAlign w:val="center"/>
          </w:tcPr>
          <w:p>
            <w:pPr>
              <w:spacing w:after="0" w:before="0" w:line="240" w:lineRule="auto"/>
            </w:pPr>
            <w:r>
              <w:rPr>
                <w:rFonts w:ascii="Aptos" w:hAnsi="Aptos"/>
                <w:b/>
                <w:color w:val="FFFFFF"/>
                <w:sz w:val="12"/>
              </w:rPr>
              <w:t>Rate source / method</w:t>
            </w:r>
          </w:p>
        </w:tc>
        <w:tc>
          <w:tcPr>
            <w:tcW w:type="dxa" w:w="180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Amount formula</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Adjusted quantity</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Adjusted amount</w:t>
            </w:r>
          </w:p>
        </w:tc>
        <w:tc>
          <w:tcPr>
            <w:tcW w:type="dxa" w:w="360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Implementation note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K-3 Regular Education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2,090.062</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$200.97M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- 4-12 Regular Education</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3,985.500</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$383.23M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Pre-K-12 Basic Special Education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1,651.310</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$158.78M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Intensive Special Education</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1,150.333</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$110.61M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Teacher - Complex Special Education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2,447.692</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$235.36M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Deduct</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-419.610</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−$40.35M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Vocational Division I</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838.830</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$80.66M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Principal</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$153,065.000000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252</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$38.57M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Instructional Supports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2,347.923</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$225.76M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at 20%; code, current calculator, and current lookup agree.</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Administrative Support Professionals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$74,017.000000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1,291</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$95.56M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Principal</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$134,266.000000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494.600</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$66.41M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preserves 0.65 and 1.65 awards; calculator Data formulas round down to whole positions.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Opportunity Funding - Low Income</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0.675; $4,952.732549 / per weighted student</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24,754.275</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$122.60M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pool and fixed weight; rate changes with eligible weighted units.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Opportunity Funding - Multilingual Learner</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0.47; $4,952.732549 / per weighted student</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8,156.850</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$40.40M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pool and fixed weight; rate changes with eligible weighted units.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Enrollment</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0.20; $3,252.723851 / per weighted student</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28,141.200</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$91.54M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total enrollment × 0.20; compiled lookup wording that says regular education is stale.</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Low Income</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0.675; $3,252.723851 / per weighted student</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24,754.275</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$80.52M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Multilingual Learner</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0.47; $3,252.723851 / per weighted student</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8,156.850</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$26.53M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Basic Special Education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0.48; $3,252.723851 / per weighted student</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6,658.080</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$21.66M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Intensive Special Education</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0.67; $3,252.723851 / per weighted student</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4,624.340</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$15.04M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Complex Special Education</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1.54; $3,252.723851 / per weighted student</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9,800.560</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$31.88M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Funding - Vocational</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 0.20; $3,252.723851 / per weighted student</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Recalculated fixed-pool rate; Fixed pool ÷ adjusted eligible weighted units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3,647.200</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$11.86M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Calculator-derived vocational count; source definition and construction still need confirmation.</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Superintendent</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$188,319.000000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42</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$7.91M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Administrative Assistant</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$111,365.000000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42</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$4.68M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Superintendent</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$167,858.000000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19</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$3.19M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uses completed 300-Unit thresholds; calculator allows a proportional amount above 300 and uses a broader Base-position total.</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Director</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$166,369.000000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60</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$9.98M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uses Division I UnitsTotal; calculator uses a broader Base-position total.</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11-Month Supervisor</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$113,281.670000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78.294</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$8.87M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Code uses Division I UnitsTotal; calculator uses the statewide Base-position total.</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Buildings and Grounds Supervisor</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$123,580.000000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42</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$5.19M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Food Services Supervisor</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$123,580.000000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45</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$5.56M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Transportation Supervisor</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$123,580.000000 / per position</w:t>
            </w:r>
          </w:p>
        </w:tc>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18.761</w:t>
            </w:r>
          </w:p>
        </w:tc>
        <w:tc>
          <w:tcPr>
            <w:tcW w:type="dxa" w:w="14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$2.32M</w:t>
            </w:r>
          </w:p>
        </w:tc>
        <w:tc>
          <w:tcPr>
            <w:tcW w:type="dxa" w:w="36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Reading Cadre</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$96,155.000000 / per position</w:t>
            </w:r>
          </w:p>
        </w:tc>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Provided position rate; Calculator rate cells via funding_rates.csv</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Funding quantity × selected funding rate</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42</w:t>
            </w:r>
          </w:p>
        </w:tc>
        <w:tc>
          <w:tcPr>
            <w:tcW w:type="dxa" w:w="14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$4.04M</w:t>
            </w:r>
          </w:p>
        </w:tc>
        <w:tc>
          <w:tcPr>
            <w:tcW w:type="dxa" w:w="36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 material calculator/code variance identified in the reviewed sources.</w:t>
            </w:r>
          </w:p>
        </w:tc>
      </w:tr>
    </w:tbl>
    <w:p>
      <w:pPr>
        <w:spacing w:after="0"/>
      </w:pPr>
    </w:p>
    <w:p>
      <w:pPr>
        <w:pStyle w:val="Heading2"/>
        <w:keepNext/>
      </w:pPr>
      <w:r>
        <w:t>Material calculator-to-code differences retained for review</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636"/>
        <w:gridCol w:w="3636"/>
        <w:gridCol w:w="3636"/>
        <w:gridCol w:w="3636"/>
      </w:tblGrid>
      <w:tr>
        <w:trPr>
          <w:tblHeader w:val="true"/>
        </w:trPr>
        <w:tc>
          <w:tcPr>
            <w:tcW w:type="dxa" w:w="216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Component</w:t>
            </w:r>
          </w:p>
        </w:tc>
        <w:tc>
          <w:tcPr>
            <w:tcW w:type="dxa" w:w="432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Implemented code</w:t>
            </w:r>
          </w:p>
        </w:tc>
        <w:tc>
          <w:tcPr>
            <w:tcW w:type="dxa" w:w="504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Calculator evidence</w:t>
            </w:r>
          </w:p>
        </w:tc>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Decision needed</w:t>
            </w:r>
          </w:p>
        </w:tc>
      </w:tr>
      <w:tr>
        <w:trPr>
          <w:cantSplit/>
        </w:trPr>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Assistant Principal</w:t>
            </w:r>
          </w:p>
        </w:tc>
        <w:tc>
          <w:tcPr>
            <w:tcW w:type="dxa" w:w="43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Preserves 0.65 and 1.65 awards, then completed 20-position steps</w:t>
            </w:r>
          </w:p>
        </w:tc>
        <w:tc>
          <w:tcPr>
            <w:tcW w:type="dxa" w:w="50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Calculator Data formulas round down to whole positions</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Confirm which interpretation governs</w:t>
            </w:r>
          </w:p>
        </w:tc>
      </w:tr>
      <w:tr>
        <w:trPr>
          <w:cantSplit/>
        </w:trPr>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Assistant Superintendent</w:t>
            </w:r>
          </w:p>
        </w:tc>
        <w:tc>
          <w:tcPr>
            <w:tcW w:type="dxa" w:w="43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Completed UnitsTotal/300 thresholds, capped at two</w:t>
            </w:r>
          </w:p>
        </w:tc>
        <w:tc>
          <w:tcPr>
            <w:tcW w:type="dxa" w:w="50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Calculator permits a proportional amount above 300 and uses a broader Base-position total</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Confirm threshold and calculation base</w:t>
            </w:r>
          </w:p>
        </w:tc>
      </w:tr>
      <w:tr>
        <w:trPr>
          <w:cantSplit/>
        </w:trPr>
        <w:tc>
          <w:tcPr>
            <w:tcW w:type="dxa" w:w="216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Director</w:t>
            </w:r>
          </w:p>
        </w:tc>
        <w:tc>
          <w:tcPr>
            <w:tcW w:type="dxa" w:w="43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Uses Division I UnitsTotal with completed 100-position steps</w:t>
            </w:r>
          </w:p>
        </w:tc>
        <w:tc>
          <w:tcPr>
            <w:tcW w:type="dxa" w:w="50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Calculator uses a broader Base-position total</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Confirm calculation base</w:t>
            </w:r>
          </w:p>
        </w:tc>
      </w:tr>
      <w:tr>
        <w:trPr>
          <w:cantSplit/>
        </w:trPr>
        <w:tc>
          <w:tcPr>
            <w:tcW w:type="dxa" w:w="216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11-Month Supervisor</w:t>
            </w:r>
          </w:p>
        </w:tc>
        <w:tc>
          <w:tcPr>
            <w:tcW w:type="dxa" w:w="43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Uses Division I UnitsTotal / 150</w:t>
            </w:r>
          </w:p>
        </w:tc>
        <w:tc>
          <w:tcPr>
            <w:tcW w:type="dxa" w:w="50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Calculator uses a broader Base-position total</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Confirm calculation base</w:t>
            </w:r>
          </w:p>
        </w:tc>
      </w:tr>
    </w:tbl>
    <w:p>
      <w:pPr>
        <w:spacing w:after="0"/>
      </w:pPr>
    </w:p>
    <w:p>
      <w:pPr>
        <w:sectPr>
          <w:pgSz w:w="15840" w:h="12240" w:orient="landscape"/>
          <w:pgMar w:top="792" w:right="648" w:bottom="792" w:left="648" w:header="288" w:footer="360" w:gutter="0"/>
          <w:cols w:space="720"/>
          <w:docGrid w:linePitch="360"/>
        </w:sectPr>
      </w:pPr>
    </w:p>
    <w:p>
      <w:pPr>
        <w:pStyle w:val="Heading2"/>
        <w:keepNext/>
      </w:pPr>
      <w:r>
        <w:t>Proposed Base Funding details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2448"/>
            <w:shd w:fill="17365D"/>
            <w:tcMar>
              <w:top w:w="55" w:type="dxa"/>
              <w:start w:w="65" w:type="dxa"/>
              <w:bottom w:w="55" w:type="dxa"/>
              <w:end w:w="65" w:type="dxa"/>
            </w:tcMar>
            <w:vAlign w:val="center"/>
          </w:tcPr>
          <w:p>
            <w:pPr>
              <w:spacing w:after="0" w:before="0" w:line="240" w:lineRule="auto"/>
            </w:pPr>
            <w:r>
              <w:rPr>
                <w:rFonts w:ascii="Aptos" w:hAnsi="Aptos"/>
                <w:b/>
                <w:color w:val="FFFFFF"/>
                <w:sz w:val="15"/>
              </w:rPr>
              <w:t>Component</w:t>
            </w:r>
          </w:p>
        </w:tc>
        <w:tc>
          <w:tcPr>
            <w:tcW w:type="dxa" w:w="453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Implemented base or formula</w:t>
            </w:r>
          </w:p>
        </w:tc>
        <w:tc>
          <w:tcPr>
            <w:tcW w:type="dxa" w:w="252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Rounding / threshold</w:t>
            </w:r>
          </w:p>
        </w:tc>
      </w:tr>
      <w:tr>
        <w:trPr>
          <w:cantSplit/>
        </w:trPr>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Five teacher lines</w:t>
            </w:r>
          </w:p>
        </w:tc>
        <w:tc>
          <w:tcPr>
            <w:tcW w:type="dxa" w:w="45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K-3 ÷ 16.2; Grades 4-12 ÷ 20; Basic Pre-K-12 ÷ 8.4; Intensive ÷ 6; Complex ÷ 2.6</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Full precision</w:t>
            </w:r>
          </w:p>
        </w:tc>
      </w:tr>
      <w:tr>
        <w:trPr>
          <w:cantSplit/>
        </w:trPr>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Basic Pre-K-12</w:t>
            </w:r>
          </w:p>
        </w:tc>
        <w:tc>
          <w:tcPr>
            <w:tcW w:type="dxa" w:w="45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EnrollmentPreK + EnrollmentBasicK12</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Combined before division by 8.4</w:t>
            </w:r>
          </w:p>
        </w:tc>
      </w:tr>
      <w:tr>
        <w:trPr>
          <w:cantSplit/>
        </w:trPr>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Vocational</w:t>
            </w:r>
          </w:p>
        </w:tc>
        <w:tc>
          <w:tcPr>
            <w:tcW w:type="dxa" w:w="45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Retain reported UnitsVocational and negative UnitsVocationalDeduct</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Continuous full precision</w:t>
            </w:r>
          </w:p>
        </w:tc>
      </w:tr>
      <w:tr>
        <w:trPr>
          <w:cantSplit/>
        </w:trPr>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Principal</w:t>
            </w:r>
          </w:p>
        </w:tc>
        <w:tc>
          <w:tcPr>
            <w:tcW w:type="dxa" w:w="45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1 per proposed school calculation unit</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252 adjusted units</w:t>
            </w:r>
          </w:p>
        </w:tc>
      </w:tr>
      <w:tr>
        <w:trPr>
          <w:cantSplit/>
        </w:trPr>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Instructional Supports</w:t>
            </w:r>
          </w:p>
        </w:tc>
        <w:tc>
          <w:tcPr>
            <w:tcW w:type="dxa" w:w="45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BaseDivisionIPositions × 0.20</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Full precision; confirmed policy</w:t>
            </w:r>
          </w:p>
        </w:tc>
      </w:tr>
      <w:tr>
        <w:trPr>
          <w:cantSplit/>
        </w:trPr>
        <w:tc>
          <w:tcPr>
            <w:tcW w:type="dxa" w:w="244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Administrative Support Professionals</w:t>
            </w:r>
          </w:p>
        </w:tc>
        <w:tc>
          <w:tcPr>
            <w:tcW w:type="dxa" w:w="45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Base Division I + Principal + Instructional Supports</w:t>
            </w:r>
          </w:p>
        </w:tc>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floor(base/10) below 100; 10 + floor((base−100)/12) at 100+</w:t>
            </w:r>
          </w:p>
        </w:tc>
      </w:tr>
      <w:tr>
        <w:trPr>
          <w:cantSplit/>
        </w:trPr>
        <w:tc>
          <w:tcPr>
            <w:tcW w:type="dxa" w:w="244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Assistant Principal</w:t>
            </w:r>
          </w:p>
        </w:tc>
        <w:tc>
          <w:tcPr>
            <w:tcW w:type="dxa" w:w="45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Base Division I + Administrative Support Professionals + Instructional Supports</w:t>
            </w:r>
          </w:p>
        </w:tc>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0 below 25; 0.65 at 25-&lt;30; 1 at 30-&lt;50; 1.65 at 50-&lt;55; 2 + floor((base−55)/20) at 55+</w:t>
            </w:r>
          </w:p>
        </w:tc>
      </w:tr>
    </w:tbl>
    <w:p>
      <w:pPr>
        <w:spacing w:after="0"/>
      </w:pPr>
    </w:p>
    <w:p>
      <w:pPr>
        <w:pStyle w:val="Heading2"/>
        <w:keepNext/>
      </w:pPr>
      <w:r>
        <w:t>Proposed Central Office Funding details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Component</w:t>
            </w:r>
          </w:p>
        </w:tc>
        <w:tc>
          <w:tcPr>
            <w:tcW w:type="dxa" w:w="403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Implemented formula</w:t>
            </w:r>
          </w:p>
        </w:tc>
        <w:tc>
          <w:tcPr>
            <w:tcW w:type="dxa" w:w="259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Eligibility / note</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Superintendent</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1 per LEA</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All LEAs</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Administrative Assistant</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1 per LEA</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All LEAs</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Assistant Superintendent</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min(floor(UnitsTotal ÷ 300), 2)</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Completed Division I thresholds; deliberate calculator variance</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Director</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0 below 200; min(6, 1 + floor((UnitsTotal−200) ÷ 100))</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Division I UnitsTotal; completed steps</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11-Month Supervisor</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UnitsTotal ÷ 150</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Fractional; Division I UnitsTotal</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Buildings and Grounds Supervisor</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1 per LEA</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All LEAs</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Food Services Supervisor</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1 + floor(max(UnitsTotal−500, 0) ÷ 500)</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Base position plus completed 500-Unit increments</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Transportation Supervisor</w:t>
            </w:r>
          </w:p>
        </w:tc>
        <w:tc>
          <w:tcPr>
            <w:tcW w:type="dxa" w:w="40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Enrollment ÷ 7,500</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Fractional</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Reading Cadre</w:t>
            </w:r>
          </w:p>
        </w:tc>
        <w:tc>
          <w:tcPr>
            <w:tcW w:type="dxa" w:w="40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1 per LEA</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All LEAs</w:t>
            </w:r>
          </w:p>
        </w:tc>
      </w:tr>
    </w:tbl>
    <w:p>
      <w:pPr>
        <w:spacing w:after="0"/>
      </w:pPr>
    </w:p>
    <w:p>
      <w:pPr>
        <w:pStyle w:val="Heading2"/>
        <w:keepNext/>
      </w:pPr>
      <w:r>
        <w:t>Opportunity Funding</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632"/>
        <w:gridCol w:w="1632"/>
        <w:gridCol w:w="1632"/>
        <w:gridCol w:w="1632"/>
        <w:gridCol w:w="1632"/>
        <w:gridCol w:w="1632"/>
      </w:tblGrid>
      <w:tr>
        <w:trPr>
          <w:tblHeader w:val="true"/>
        </w:trPr>
        <w:tc>
          <w:tcPr>
            <w:tcW w:type="dxa" w:w="201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Factor</w:t>
            </w:r>
          </w:p>
        </w:tc>
        <w:tc>
          <w:tcPr>
            <w:tcW w:type="dxa" w:w="129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Raw count</w:t>
            </w:r>
          </w:p>
        </w:tc>
        <w:tc>
          <w:tcPr>
            <w:tcW w:type="dxa" w:w="1008"/>
            <w:shd w:fill="17365D"/>
            <w:tcMar>
              <w:top w:w="55" w:type="dxa"/>
              <w:start w:w="65" w:type="dxa"/>
              <w:bottom w:w="55" w:type="dxa"/>
              <w:end w:w="65" w:type="dxa"/>
            </w:tcMar>
            <w:vAlign w:val="center"/>
          </w:tcPr>
          <w:p>
            <w:pPr>
              <w:spacing w:after="0" w:before="0" w:line="240" w:lineRule="auto"/>
            </w:pPr>
            <w:r>
              <w:rPr>
                <w:rFonts w:ascii="Aptos" w:hAnsi="Aptos"/>
                <w:b/>
                <w:color w:val="FFFFFF"/>
                <w:sz w:val="15"/>
              </w:rPr>
              <w:t>Weight</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Weighted units</w:t>
            </w:r>
          </w:p>
        </w:tc>
        <w:tc>
          <w:tcPr>
            <w:tcW w:type="dxa" w:w="1728"/>
            <w:shd w:fill="17365D"/>
            <w:tcMar>
              <w:top w:w="55" w:type="dxa"/>
              <w:start w:w="65" w:type="dxa"/>
              <w:bottom w:w="55" w:type="dxa"/>
              <w:end w:w="65" w:type="dxa"/>
            </w:tcMar>
            <w:vAlign w:val="center"/>
          </w:tcPr>
          <w:p>
            <w:pPr>
              <w:spacing w:after="0" w:before="0" w:line="240" w:lineRule="auto"/>
            </w:pPr>
            <w:r>
              <w:rPr>
                <w:rFonts w:ascii="Aptos" w:hAnsi="Aptos"/>
                <w:b/>
                <w:color w:val="FFFFFF"/>
                <w:sz w:val="15"/>
              </w:rPr>
              <w:t>Adjusted rate</w:t>
            </w:r>
          </w:p>
        </w:tc>
        <w:tc>
          <w:tcPr>
            <w:tcW w:type="dxa" w:w="2016"/>
            <w:shd w:fill="17365D"/>
            <w:tcMar>
              <w:top w:w="55" w:type="dxa"/>
              <w:start w:w="65" w:type="dxa"/>
              <w:bottom w:w="55" w:type="dxa"/>
              <w:end w:w="65" w:type="dxa"/>
            </w:tcMar>
            <w:vAlign w:val="center"/>
          </w:tcPr>
          <w:p>
            <w:pPr>
              <w:spacing w:after="0" w:before="0" w:line="240" w:lineRule="auto"/>
            </w:pPr>
            <w:r>
              <w:rPr>
                <w:rFonts w:ascii="Aptos" w:hAnsi="Aptos"/>
                <w:b/>
                <w:color w:val="FFFFFF"/>
                <w:sz w:val="15"/>
              </w:rPr>
              <w:t>Funding</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Low income</w:t>
            </w:r>
          </w:p>
        </w:tc>
        <w:tc>
          <w:tcPr>
            <w:tcW w:type="dxa" w:w="129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36,673</w:t>
            </w:r>
          </w:p>
        </w:tc>
        <w:tc>
          <w:tcPr>
            <w:tcW w:type="dxa" w:w="100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0.675</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24,754.275</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$4,952.732549</w:t>
            </w:r>
          </w:p>
        </w:tc>
        <w:tc>
          <w:tcPr>
            <w:tcW w:type="dxa" w:w="201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$122.60M</w:t>
            </w:r>
          </w:p>
        </w:tc>
      </w:tr>
      <w:tr>
        <w:trPr>
          <w:cantSplit/>
        </w:trPr>
        <w:tc>
          <w:tcPr>
            <w:tcW w:type="dxa" w:w="201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Active MLL</w:t>
            </w:r>
          </w:p>
        </w:tc>
        <w:tc>
          <w:tcPr>
            <w:tcW w:type="dxa" w:w="129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17,355</w:t>
            </w:r>
          </w:p>
        </w:tc>
        <w:tc>
          <w:tcPr>
            <w:tcW w:type="dxa" w:w="100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0.47</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8,156.850</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$4,952.732549</w:t>
            </w:r>
          </w:p>
        </w:tc>
        <w:tc>
          <w:tcPr>
            <w:tcW w:type="dxa" w:w="201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$40.40M</w:t>
            </w:r>
          </w:p>
        </w:tc>
      </w:tr>
      <w:tr>
        <w:trPr>
          <w:cantSplit/>
        </w:trPr>
        <w:tc>
          <w:tcPr>
            <w:tcW w:type="dxa" w:w="201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Total / pool</w:t>
            </w:r>
          </w:p>
        </w:tc>
        <w:tc>
          <w:tcPr>
            <w:tcW w:type="dxa" w:w="129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r>
          </w:p>
        </w:tc>
        <w:tc>
          <w:tcPr>
            <w:tcW w:type="dxa" w:w="100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32,911.125</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r>
          </w:p>
        </w:tc>
        <w:tc>
          <w:tcPr>
            <w:tcW w:type="dxa" w:w="201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$163.0M</w:t>
            </w:r>
          </w:p>
        </w:tc>
      </w:tr>
    </w:tbl>
    <w:p>
      <w:pPr>
        <w:spacing w:after="0"/>
      </w:pPr>
    </w:p>
    <w:p>
      <w:pPr>
        <w:widowControl/>
      </w:pPr>
      <w:r>
        <w:t>Formula: component weighted units = eligible raw count × policy weight. Adjusted statewide rate = $163,000,000 ÷ 32,911.125 eligible weighted units. LEA amount = LEA weighted units × the adjusted statewide rate.</w:t>
      </w:r>
    </w:p>
    <w:p>
      <w:r>
        <w:br w:type="page"/>
      </w:r>
    </w:p>
    <w:p>
      <w:pPr>
        <w:pStyle w:val="Heading2"/>
        <w:keepNext/>
      </w:pPr>
      <w:r>
        <w:t>Operational Funding</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632"/>
        <w:gridCol w:w="1632"/>
        <w:gridCol w:w="1632"/>
        <w:gridCol w:w="1632"/>
        <w:gridCol w:w="1632"/>
        <w:gridCol w:w="1632"/>
      </w:tblGrid>
      <w:tr>
        <w:trPr>
          <w:tblHeader w:val="true"/>
        </w:trPr>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Factor</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Raw count</w:t>
            </w:r>
          </w:p>
        </w:tc>
        <w:tc>
          <w:tcPr>
            <w:tcW w:type="dxa" w:w="93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Weight</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Weighted units</w:t>
            </w:r>
          </w:p>
        </w:tc>
        <w:tc>
          <w:tcPr>
            <w:tcW w:type="dxa" w:w="172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Adjusted rate</w:t>
            </w:r>
          </w:p>
        </w:tc>
        <w:tc>
          <w:tcPr>
            <w:tcW w:type="dxa" w:w="194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Funding</w:t>
            </w:r>
          </w:p>
        </w:tc>
      </w:tr>
      <w:tr>
        <w:trPr>
          <w:cantSplit/>
        </w:trPr>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Enrollment</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140,706</w:t>
            </w:r>
          </w:p>
        </w:tc>
        <w:tc>
          <w:tcPr>
            <w:tcW w:type="dxa" w:w="93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0.2</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28,141.200</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94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$91.54M</w:t>
            </w:r>
          </w:p>
        </w:tc>
      </w:tr>
      <w:tr>
        <w:trPr>
          <w:cantSplit/>
        </w:trPr>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Low Income</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36,673</w:t>
            </w:r>
          </w:p>
        </w:tc>
        <w:tc>
          <w:tcPr>
            <w:tcW w:type="dxa" w:w="93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0.675</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24,754.275</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94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$80.52M</w:t>
            </w:r>
          </w:p>
        </w:tc>
      </w:tr>
      <w:tr>
        <w:trPr>
          <w:cantSplit/>
        </w:trPr>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Multilingual Learner</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17,355</w:t>
            </w:r>
          </w:p>
        </w:tc>
        <w:tc>
          <w:tcPr>
            <w:tcW w:type="dxa" w:w="93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0.47</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8,156.850</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94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$26.53M</w:t>
            </w:r>
          </w:p>
        </w:tc>
      </w:tr>
      <w:tr>
        <w:trPr>
          <w:cantSplit/>
        </w:trPr>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Basic Special Education</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13,871</w:t>
            </w:r>
          </w:p>
        </w:tc>
        <w:tc>
          <w:tcPr>
            <w:tcW w:type="dxa" w:w="93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0.48</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6,658.080</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94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$21.66M</w:t>
            </w:r>
          </w:p>
        </w:tc>
      </w:tr>
      <w:tr>
        <w:trPr>
          <w:cantSplit/>
        </w:trPr>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Intensive Special Education</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6,902</w:t>
            </w:r>
          </w:p>
        </w:tc>
        <w:tc>
          <w:tcPr>
            <w:tcW w:type="dxa" w:w="93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0.67</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4,624.340</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94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$15.04M</w:t>
            </w:r>
          </w:p>
        </w:tc>
      </w:tr>
      <w:tr>
        <w:trPr>
          <w:cantSplit/>
        </w:trPr>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Complex Special Education</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6,364</w:t>
            </w:r>
          </w:p>
        </w:tc>
        <w:tc>
          <w:tcPr>
            <w:tcW w:type="dxa" w:w="93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1.54</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9,800.560</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94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$31.88M</w:t>
            </w:r>
          </w:p>
        </w:tc>
      </w:tr>
      <w:tr>
        <w:trPr>
          <w:cantSplit/>
        </w:trPr>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Vocational</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18,236</w:t>
            </w:r>
          </w:p>
        </w:tc>
        <w:tc>
          <w:tcPr>
            <w:tcW w:type="dxa" w:w="93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0.2</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3,647.200</w:t>
            </w:r>
          </w:p>
        </w:tc>
        <w:tc>
          <w:tcPr>
            <w:tcW w:type="dxa" w:w="1728"/>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94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$11.86M</w:t>
            </w:r>
          </w:p>
        </w:tc>
      </w:tr>
      <w:tr>
        <w:trPr>
          <w:cantSplit/>
        </w:trPr>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Total / pool</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r>
          </w:p>
        </w:tc>
        <w:tc>
          <w:tcPr>
            <w:tcW w:type="dxa" w:w="93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85,782.505</w:t>
            </w:r>
          </w:p>
        </w:tc>
        <w:tc>
          <w:tcPr>
            <w:tcW w:type="dxa" w:w="1728"/>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r>
          </w:p>
        </w:tc>
        <w:tc>
          <w:tcPr>
            <w:tcW w:type="dxa" w:w="194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$279.0M</w:t>
            </w:r>
          </w:p>
        </w:tc>
      </w:tr>
    </w:tbl>
    <w:p>
      <w:pPr>
        <w:spacing w:after="0"/>
      </w:pPr>
    </w:p>
    <w:p>
      <w:pPr>
        <w:widowControl/>
      </w:pPr>
      <w:r>
        <w:t>Operational Enrollment uses total enrollment. The formula is 140,706 × 0.20. The adjusted rate is $279,026,800 ÷ 85,782.505 eligible weighted units. Operational vocational enrollment comes from the calculator; its source definition remains an open data question.</w:t>
      </w:r>
    </w:p>
    <w:p>
      <w:pPr>
        <w:pStyle w:val="Heading2"/>
        <w:keepNext/>
      </w:pPr>
      <w:r>
        <w:t>Fixed pools and changing rates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224"/>
        <w:gridCol w:w="1224"/>
        <w:gridCol w:w="1224"/>
        <w:gridCol w:w="1224"/>
        <w:gridCol w:w="1224"/>
        <w:gridCol w:w="1224"/>
        <w:gridCol w:w="1224"/>
        <w:gridCol w:w="1224"/>
      </w:tblGrid>
      <w:tr>
        <w:trPr>
          <w:tblHeader w:val="true"/>
        </w:trPr>
        <w:tc>
          <w:tcPr>
            <w:tcW w:type="dxa" w:w="172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Section</w:t>
            </w:r>
          </w:p>
        </w:tc>
        <w:tc>
          <w:tcPr>
            <w:tcW w:type="dxa" w:w="1224"/>
            <w:shd w:fill="17365D"/>
            <w:tcMar>
              <w:top w:w="55" w:type="dxa"/>
              <w:start w:w="65" w:type="dxa"/>
              <w:bottom w:w="55" w:type="dxa"/>
              <w:end w:w="65" w:type="dxa"/>
            </w:tcMar>
            <w:vAlign w:val="center"/>
          </w:tcPr>
          <w:p>
            <w:pPr>
              <w:spacing w:after="0" w:before="0" w:line="240" w:lineRule="auto"/>
            </w:pPr>
            <w:r>
              <w:rPr>
                <w:rFonts w:ascii="Aptos" w:hAnsi="Aptos"/>
                <w:b/>
                <w:color w:val="FFFFFF"/>
                <w:sz w:val="14"/>
              </w:rPr>
              <w:t>Pool</w:t>
            </w:r>
          </w:p>
        </w:tc>
        <w:tc>
          <w:tcPr>
            <w:tcW w:type="dxa" w:w="129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Pre-Bryan units</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Pre-Bryan rate</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Bryan units</w:t>
            </w:r>
          </w:p>
        </w:tc>
        <w:tc>
          <w:tcPr>
            <w:tcW w:type="dxa" w:w="129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Adjusted units</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Adjusted rate</w:t>
            </w:r>
          </w:p>
        </w:tc>
        <w:tc>
          <w:tcPr>
            <w:tcW w:type="dxa" w:w="1080"/>
            <w:shd w:fill="17365D"/>
            <w:tcMar>
              <w:top w:w="55" w:type="dxa"/>
              <w:start w:w="65" w:type="dxa"/>
              <w:bottom w:w="55" w:type="dxa"/>
              <w:end w:w="65" w:type="dxa"/>
            </w:tcMar>
            <w:vAlign w:val="center"/>
          </w:tcPr>
          <w:p>
            <w:pPr>
              <w:spacing w:after="0" w:before="0" w:line="240" w:lineRule="auto"/>
            </w:pPr>
            <w:r>
              <w:rPr>
                <w:rFonts w:ascii="Aptos" w:hAnsi="Aptos"/>
                <w:b/>
                <w:color w:val="FFFFFF"/>
                <w:sz w:val="14"/>
              </w:rPr>
              <w:t>Rate change</w:t>
            </w:r>
          </w:p>
        </w:tc>
      </w:tr>
      <w:tr>
        <w:trPr>
          <w:cantSplit/>
        </w:trPr>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Operational Funding</w:t>
            </w:r>
          </w:p>
        </w:tc>
        <w:tc>
          <w:tcPr>
            <w:tcW w:type="dxa" w:w="122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$279.0M</w:t>
            </w:r>
          </w:p>
        </w:tc>
        <w:tc>
          <w:tcPr>
            <w:tcW w:type="dxa" w:w="129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85,860.945</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$3,249.752259</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78.440</w:t>
            </w:r>
          </w:p>
        </w:tc>
        <w:tc>
          <w:tcPr>
            <w:tcW w:type="dxa" w:w="1296"/>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85,782.505</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$3,252.723851</w:t>
            </w:r>
          </w:p>
        </w:tc>
        <w:tc>
          <w:tcPr>
            <w:tcW w:type="dxa" w:w="108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0.0914%</w:t>
            </w:r>
          </w:p>
        </w:tc>
      </w:tr>
      <w:tr>
        <w:trPr>
          <w:cantSplit/>
        </w:trPr>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Opportunity Funding</w:t>
            </w:r>
          </w:p>
        </w:tc>
        <w:tc>
          <w:tcPr>
            <w:tcW w:type="dxa" w:w="122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$163.0M</w:t>
            </w:r>
          </w:p>
        </w:tc>
        <w:tc>
          <w:tcPr>
            <w:tcW w:type="dxa" w:w="129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32,939.535</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$4,948.460869</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28.410</w:t>
            </w:r>
          </w:p>
        </w:tc>
        <w:tc>
          <w:tcPr>
            <w:tcW w:type="dxa" w:w="1296"/>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32,911.125</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$4,952.732549</w:t>
            </w:r>
          </w:p>
        </w:tc>
        <w:tc>
          <w:tcPr>
            <w:tcW w:type="dxa" w:w="108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4"/>
              </w:rPr>
              <w:t>0.0863%</w:t>
            </w:r>
          </w:p>
        </w:tc>
      </w:tr>
    </w:tbl>
    <w:p>
      <w:pPr>
        <w:spacing w:after="0"/>
      </w:pPr>
    </w:p>
    <w:p>
      <w:pPr>
        <w:widowControl/>
      </w:pPr>
      <w:r>
        <w:t>The funding pools and policy weights are fixed in this run. The per-weighted-student rates are not fixed. Removing Bryan lowers each eligible denominator, so each adjusted rate rises slightly while the two pools remain fully distributed.</w:t>
      </w:r>
    </w:p>
    <w:p>
      <w:r>
        <w:br w:type="page"/>
      </w:r>
    </w:p>
    <w:p>
      <w:pPr>
        <w:pStyle w:val="Heading1"/>
        <w:keepNext/>
      </w:pPr>
      <w:r>
        <w:t>G. Calculation Order and Precision</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79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Order</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Stage</w:t>
            </w:r>
          </w:p>
        </w:tc>
        <w:tc>
          <w:tcPr>
            <w:tcW w:type="dxa" w:w="648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Implemented operation</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Source aggregation</w:t>
            </w:r>
          </w:p>
        </w:tc>
        <w:tc>
          <w:tcPr>
            <w:tcW w:type="dxa" w:w="64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02 selects retained school/program rows, joins student counts, and builds LEA/state rollups.</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Shared-input validation</w:t>
            </w:r>
          </w:p>
        </w:tc>
        <w:tc>
          <w:tcPr>
            <w:tcW w:type="dxa" w:w="64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School totals reconcile to predefined district totals; district totals reconcile to state within documented rounding tolerance.</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3</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Current inputs</w:t>
            </w:r>
          </w:p>
        </w:tc>
        <w:tc>
          <w:tcPr>
            <w:tcW w:type="dxa" w:w="64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03 attaches supplemental fields without converting missing values to zero.</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Current quantities</w:t>
            </w:r>
          </w:p>
        </w:tc>
        <w:tc>
          <w:tcPr>
            <w:tcW w:type="dxa" w:w="64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04 applies reported and calculated position rules. Reported Division I/vocational lines reconcile to UnitsTotal within 0.05.</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5</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Current rates</w:t>
            </w:r>
          </w:p>
        </w:tc>
        <w:tc>
          <w:tcPr>
            <w:tcW w:type="dxa" w:w="64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05 joins component mappings and rates, calculates known amounts, and carries completeness fields forward.</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6</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Charter allocation</w:t>
            </w:r>
          </w:p>
        </w:tc>
        <w:tc>
          <w:tcPr>
            <w:tcW w:type="dxa" w:w="64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06 distributes official charter totals to building calculation units before proposed Base formulas are applied.</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7</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Proposed quantities</w:t>
            </w:r>
          </w:p>
        </w:tc>
        <w:tc>
          <w:tcPr>
            <w:tcW w:type="dxa" w:w="64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07 calculates Base, weighted units, and Central Office quantities.</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8</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Proposed rates</w:t>
            </w:r>
          </w:p>
        </w:tc>
        <w:tc>
          <w:tcPr>
            <w:tcW w:type="dxa" w:w="64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08 joins position rates and recalculates weighted rates excluding DAFB.</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9</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Model comparison</w:t>
            </w:r>
          </w:p>
        </w:tc>
        <w:tc>
          <w:tcPr>
            <w:tcW w:type="dxa" w:w="64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09 aggregates calculation units to official schools/charters, then to LEA and state.</w:t>
            </w:r>
          </w:p>
        </w:tc>
      </w:tr>
      <w:tr>
        <w:trPr>
          <w:cantSplit/>
        </w:trPr>
        <w:tc>
          <w:tcPr>
            <w:tcW w:type="dxa" w:w="792"/>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10</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Reporting exclusions</w:t>
            </w:r>
          </w:p>
        </w:tc>
        <w:tc>
          <w:tcPr>
            <w:tcW w:type="dxa" w:w="64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Script 10 removes Bryan, recalculates both weighted rates, and recreates adjusted school, LEA, state, rankings, and QC outputs.</w:t>
            </w:r>
          </w:p>
        </w:tc>
      </w:tr>
      <w:tr>
        <w:trPr>
          <w:cantSplit/>
        </w:trPr>
        <w:tc>
          <w:tcPr>
            <w:tcW w:type="dxa" w:w="792"/>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11</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Display formatting</w:t>
            </w:r>
          </w:p>
        </w:tc>
        <w:tc>
          <w:tcPr>
            <w:tcW w:type="dxa" w:w="64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Review outputs round funding/amount/difference to two decimals and rate/percentage fields to six decimals. Full-precision model files feed calculations.</w:t>
            </w:r>
          </w:p>
        </w:tc>
      </w:tr>
    </w:tbl>
    <w:p>
      <w:pPr>
        <w:spacing w:after="0"/>
      </w:pPr>
    </w:p>
    <w:p>
      <w:pPr>
        <w:pStyle w:val="Heading2"/>
        <w:keepNext/>
      </w:pPr>
      <w:r>
        <w:t>Business-rule rounding versus display rounding</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252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Precision type</w:t>
            </w:r>
          </w:p>
        </w:tc>
        <w:tc>
          <w:tcPr>
            <w:tcW w:type="dxa" w:w="324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Applies to</w:t>
            </w:r>
          </w:p>
        </w:tc>
        <w:tc>
          <w:tcPr>
            <w:tcW w:type="dxa" w:w="374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Treatment</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Full-precision intermediate</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Ratios, fractional positions, weighted units, rates, and funding amounts</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No general round() in model formulas</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Completed threshold</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Secretary/Admin Support, Director, Food Services, Assistant Superintendent, later Assistant Principal steps</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floor() only where the rule calls for completed units</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Fractional awards</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Current and proposed Assistant Principal 0.65 and 1.65; fractional supervisors and transportation</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Preserved in code</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Largest remainder</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Charter student categories</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Floor proportional counts, then distribute residual students</w:t>
            </w:r>
          </w:p>
        </w:tc>
      </w:tr>
      <w:tr>
        <w:trPr>
          <w:cantSplit/>
        </w:trPr>
        <w:tc>
          <w:tcPr>
            <w:tcW w:type="dxa" w:w="25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Unit-count reconciliation tolerance</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Reported source rollups</w:t>
            </w:r>
          </w:p>
        </w:tc>
        <w:tc>
          <w:tcPr>
            <w:tcW w:type="dxa" w:w="37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Up to 0.05 at district and 0.10 for documented statewide cumulative rounding</w:t>
            </w:r>
          </w:p>
        </w:tc>
      </w:tr>
      <w:tr>
        <w:trPr>
          <w:cantSplit/>
        </w:trPr>
        <w:tc>
          <w:tcPr>
            <w:tcW w:type="dxa" w:w="25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Report display</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Dollar, rate, percentage, and quantity tables</w:t>
            </w:r>
          </w:p>
        </w:tc>
        <w:tc>
          <w:tcPr>
            <w:tcW w:type="dxa" w:w="37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Rounded only after calculations; independently rounded displayed rows may differ slightly from displayed subtotals</w:t>
            </w:r>
          </w:p>
        </w:tc>
      </w:tr>
    </w:tbl>
    <w:p>
      <w:pPr>
        <w:spacing w:after="0"/>
      </w:pPr>
    </w:p>
    <w:p>
      <w:r>
        <w:br w:type="page"/>
      </w:r>
    </w:p>
    <w:p>
      <w:pPr>
        <w:pStyle w:val="Heading1"/>
        <w:keepNext/>
      </w:pPr>
      <w:r>
        <w:t>H. Reporting Scope and Exclusions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Scope item</w:t>
            </w:r>
          </w:p>
        </w:tc>
        <w:tc>
          <w:tcPr>
            <w:tcW w:type="dxa" w:w="662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Implemented treatment</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Full shared source</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44 LEAs; 232 coded schools; 5 no-code records; 141,306 students including DAFB</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Step 09 statewide</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43 LEAs; 229 coded schools; 5 no-code records; 140,829 students; excludes DAFB</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Step 10 adjusted</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42 LEAs; 228 coded schools; 5 no-code records; 140,706 students; also excludes Bryan</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calculation units</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256 including DAFB; 253 excluding DAFB; 252 after Bryan exclusion</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Principal-generating units</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Same as proposed calculation units; one principal each</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Audit retention</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DAFB and Bryan remain in pre-exclusion model files and exclusion audit outputs</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Weighted-pool treatment</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Both fixed pools are retained and redistributed after Bryan is removed</w:t>
            </w:r>
          </w:p>
        </w:tc>
      </w:tr>
    </w:tbl>
    <w:p>
      <w:pPr>
        <w:spacing w:after="0"/>
      </w:pPr>
    </w:p>
    <w:p>
      <w:pPr>
        <w:pStyle w:val="Heading2"/>
        <w:keepNext/>
      </w:pPr>
      <w:r>
        <w:t>Bryan Allen Stevenson exclusion audit</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1958"/>
        <w:gridCol w:w="1958"/>
        <w:gridCol w:w="1958"/>
        <w:gridCol w:w="1958"/>
        <w:gridCol w:w="1958"/>
      </w:tblGrid>
      <w:tr>
        <w:trPr>
          <w:tblHeader w:val="true"/>
        </w:trPr>
        <w:tc>
          <w:tcPr>
            <w:tcW w:type="dxa" w:w="2304"/>
            <w:shd w:fill="17365D"/>
            <w:tcMar>
              <w:top w:w="55" w:type="dxa"/>
              <w:start w:w="65" w:type="dxa"/>
              <w:bottom w:w="55" w:type="dxa"/>
              <w:end w:w="65" w:type="dxa"/>
            </w:tcMar>
            <w:vAlign w:val="center"/>
          </w:tcPr>
          <w:p>
            <w:pPr>
              <w:spacing w:after="0" w:before="0" w:line="240" w:lineRule="auto"/>
            </w:pPr>
            <w:r>
              <w:rPr>
                <w:rFonts w:ascii="Aptos" w:hAnsi="Aptos"/>
                <w:b/>
                <w:color w:val="FFFFFF"/>
                <w:sz w:val="15"/>
              </w:rPr>
              <w:t>Metric</w:t>
            </w:r>
          </w:p>
        </w:tc>
        <w:tc>
          <w:tcPr>
            <w:tcW w:type="dxa" w:w="1584"/>
            <w:shd w:fill="17365D"/>
            <w:tcMar>
              <w:top w:w="55" w:type="dxa"/>
              <w:start w:w="65" w:type="dxa"/>
              <w:bottom w:w="55" w:type="dxa"/>
              <w:end w:w="65" w:type="dxa"/>
            </w:tcMar>
            <w:vAlign w:val="center"/>
          </w:tcPr>
          <w:p>
            <w:pPr>
              <w:spacing w:after="0" w:before="0" w:line="240" w:lineRule="auto"/>
            </w:pPr>
            <w:r>
              <w:rPr>
                <w:rFonts w:ascii="Aptos" w:hAnsi="Aptos"/>
                <w:b/>
                <w:color w:val="FFFFFF"/>
                <w:sz w:val="15"/>
              </w:rPr>
              <w:t>Pre-exclusion</w:t>
            </w:r>
          </w:p>
        </w:tc>
        <w:tc>
          <w:tcPr>
            <w:tcW w:type="dxa" w:w="1584"/>
            <w:shd w:fill="17365D"/>
            <w:tcMar>
              <w:top w:w="55" w:type="dxa"/>
              <w:start w:w="65" w:type="dxa"/>
              <w:bottom w:w="55" w:type="dxa"/>
              <w:end w:w="65" w:type="dxa"/>
            </w:tcMar>
            <w:vAlign w:val="center"/>
          </w:tcPr>
          <w:p>
            <w:pPr>
              <w:spacing w:after="0" w:before="0" w:line="240" w:lineRule="auto"/>
            </w:pPr>
            <w:r>
              <w:rPr>
                <w:rFonts w:ascii="Aptos" w:hAnsi="Aptos"/>
                <w:b/>
                <w:color w:val="FFFFFF"/>
                <w:sz w:val="15"/>
              </w:rPr>
              <w:t>Adjusted</w:t>
            </w:r>
          </w:p>
        </w:tc>
        <w:tc>
          <w:tcPr>
            <w:tcW w:type="dxa" w:w="1440"/>
            <w:shd w:fill="17365D"/>
            <w:tcMar>
              <w:top w:w="55" w:type="dxa"/>
              <w:start w:w="65" w:type="dxa"/>
              <w:bottom w:w="55" w:type="dxa"/>
              <w:end w:w="65" w:type="dxa"/>
            </w:tcMar>
            <w:vAlign w:val="center"/>
          </w:tcPr>
          <w:p>
            <w:pPr>
              <w:spacing w:after="0" w:before="0" w:line="240" w:lineRule="auto"/>
            </w:pPr>
            <w:r>
              <w:rPr>
                <w:rFonts w:ascii="Aptos" w:hAnsi="Aptos"/>
                <w:b/>
                <w:color w:val="FFFFFF"/>
                <w:sz w:val="15"/>
              </w:rPr>
              <w:t>Difference</w:t>
            </w:r>
          </w:p>
        </w:tc>
        <w:tc>
          <w:tcPr>
            <w:tcW w:type="dxa" w:w="2592"/>
            <w:shd w:fill="17365D"/>
            <w:tcMar>
              <w:top w:w="55" w:type="dxa"/>
              <w:start w:w="65" w:type="dxa"/>
              <w:bottom w:w="55" w:type="dxa"/>
              <w:end w:w="65" w:type="dxa"/>
            </w:tcMar>
            <w:vAlign w:val="center"/>
          </w:tcPr>
          <w:p>
            <w:pPr>
              <w:spacing w:after="0" w:before="0" w:line="240" w:lineRule="auto"/>
            </w:pPr>
            <w:r>
              <w:rPr>
                <w:rFonts w:ascii="Aptos" w:hAnsi="Aptos"/>
                <w:b/>
                <w:color w:val="FFFFFF"/>
                <w:sz w:val="15"/>
              </w:rPr>
              <w:t>Treatment</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LEAs</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43</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42</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Coded schools</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229</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228</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Total enrollment</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140,829</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140,706</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-123</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Proposed calculation units</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253</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252</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Current modeled funding</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1,563,661,268.77</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1,562,248,440.18</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-1,412,828.59</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Proposed position-based funding</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1,609,386,722.97</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1,607,292,320.33</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-2,094,402.64</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Opportunity Funding pool</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163,000,000</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163,000,000</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0</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Fixed pool retained and redistributed</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Operational Funding pool</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279,026,800</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279,026,800</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0</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Fixed pool retained and redistributed</w:t>
            </w:r>
          </w:p>
        </w:tc>
      </w:tr>
      <w:tr>
        <w:trPr>
          <w:cantSplit/>
        </w:trPr>
        <w:tc>
          <w:tcPr>
            <w:tcW w:type="dxa" w:w="230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Proposed full-model funding</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2,051,413,522.97</w:t>
            </w:r>
          </w:p>
        </w:tc>
        <w:tc>
          <w:tcPr>
            <w:tcW w:type="dxa" w:w="1584"/>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2,049,319,120.33</w:t>
            </w:r>
          </w:p>
        </w:tc>
        <w:tc>
          <w:tcPr>
            <w:tcW w:type="dxa" w:w="1440"/>
            <w:shd w:fill="EAF2F8"/>
            <w:tcMar>
              <w:top w:w="55" w:type="dxa"/>
              <w:start w:w="65" w:type="dxa"/>
              <w:bottom w:w="55" w:type="dxa"/>
              <w:end w:w="65" w:type="dxa"/>
            </w:tcMar>
            <w:vAlign w:val="top"/>
          </w:tcPr>
          <w:p>
            <w:pPr>
              <w:spacing w:after="0" w:before="0" w:line="240" w:lineRule="auto"/>
              <w:jc w:val="right"/>
            </w:pPr>
            <w:r>
              <w:rPr>
                <w:rFonts w:ascii="Aptos" w:hAnsi="Aptos"/>
                <w:b w:val="0"/>
                <w:color w:val="000000"/>
                <w:sz w:val="15"/>
              </w:rPr>
              <w:t>-2,094,402.64</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r>
        <w:trPr>
          <w:cantSplit/>
        </w:trPr>
        <w:tc>
          <w:tcPr>
            <w:tcW w:type="dxa" w:w="230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Gross full-model funding difference</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487,752,254.20</w:t>
            </w:r>
          </w:p>
        </w:tc>
        <w:tc>
          <w:tcPr>
            <w:tcW w:type="dxa" w:w="1584"/>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487,070,680.16</w:t>
            </w:r>
          </w:p>
        </w:tc>
        <w:tc>
          <w:tcPr>
            <w:tcW w:type="dxa" w:w="1440"/>
            <w:shd w:fill="FFFFFF"/>
            <w:tcMar>
              <w:top w:w="55" w:type="dxa"/>
              <w:start w:w="65" w:type="dxa"/>
              <w:bottom w:w="55" w:type="dxa"/>
              <w:end w:w="65" w:type="dxa"/>
            </w:tcMar>
            <w:vAlign w:val="top"/>
          </w:tcPr>
          <w:p>
            <w:pPr>
              <w:spacing w:after="0" w:before="0" w:line="240" w:lineRule="auto"/>
              <w:jc w:val="right"/>
            </w:pPr>
            <w:r>
              <w:rPr>
                <w:rFonts w:ascii="Aptos" w:hAnsi="Aptos"/>
                <w:b w:val="0"/>
                <w:color w:val="000000"/>
                <w:sz w:val="15"/>
              </w:rPr>
              <w:t>-681,574.04</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5"/>
              </w:rPr>
              <w:t>Excluded from adjusted reporting scope</w:t>
            </w:r>
          </w:p>
        </w:tc>
      </w:tr>
    </w:tbl>
    <w:p>
      <w:pPr>
        <w:spacing w:after="0"/>
      </w:pPr>
    </w:p>
    <w:p>
      <w:pPr>
        <w:widowControl/>
      </w:pPr>
      <w:r>
        <w:t>Removing Bryan lowers adjusted full proposed funding by its $2.1 million position-based amount, not by its original full-model amount. Its weighted allocation is redistributed because both fixed pools remain unchanged.</w:t>
      </w:r>
    </w:p>
    <w:p>
      <w:pPr>
        <w:pStyle w:val="Heading1"/>
        <w:keepNext/>
      </w:pPr>
      <w:r>
        <w:t>I. Model Comparison Methodology</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338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Measure</w:t>
            </w:r>
          </w:p>
        </w:tc>
        <w:tc>
          <w:tcPr>
            <w:tcW w:type="dxa" w:w="612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Implemented formula</w:t>
            </w:r>
          </w:p>
        </w:tc>
      </w:tr>
      <w:tr>
        <w:trPr>
          <w:cantSplit/>
        </w:trPr>
        <w:tc>
          <w:tcPr>
            <w:tcW w:type="dxa" w:w="33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position-based funding</w:t>
            </w:r>
          </w:p>
        </w:tc>
        <w:tc>
          <w:tcPr>
            <w:tcW w:type="dxa" w:w="61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Base Funding + Proposed Central Office Funding</w:t>
            </w:r>
          </w:p>
        </w:tc>
      </w:tr>
      <w:tr>
        <w:trPr>
          <w:cantSplit/>
        </w:trPr>
        <w:tc>
          <w:tcPr>
            <w:tcW w:type="dxa" w:w="33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weighted funding</w:t>
            </w:r>
          </w:p>
        </w:tc>
        <w:tc>
          <w:tcPr>
            <w:tcW w:type="dxa" w:w="61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Opportunity Funding + Operational Funding</w:t>
            </w:r>
          </w:p>
        </w:tc>
      </w:tr>
      <w:tr>
        <w:trPr>
          <w:cantSplit/>
        </w:trPr>
        <w:tc>
          <w:tcPr>
            <w:tcW w:type="dxa" w:w="33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full-model funding</w:t>
            </w:r>
          </w:p>
        </w:tc>
        <w:tc>
          <w:tcPr>
            <w:tcW w:type="dxa" w:w="61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position-based funding + Proposed weighted funding</w:t>
            </w:r>
          </w:p>
        </w:tc>
      </w:tr>
      <w:tr>
        <w:trPr>
          <w:cantSplit/>
        </w:trPr>
        <w:tc>
          <w:tcPr>
            <w:tcW w:type="dxa" w:w="33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Position-based difference</w:t>
            </w:r>
          </w:p>
        </w:tc>
        <w:tc>
          <w:tcPr>
            <w:tcW w:type="dxa" w:w="61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position-based funding − Current modeled funding</w:t>
            </w:r>
          </w:p>
        </w:tc>
      </w:tr>
      <w:tr>
        <w:trPr>
          <w:cantSplit/>
        </w:trPr>
        <w:tc>
          <w:tcPr>
            <w:tcW w:type="dxa" w:w="33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Position-based percent difference</w:t>
            </w:r>
          </w:p>
        </w:tc>
        <w:tc>
          <w:tcPr>
            <w:tcW w:type="dxa" w:w="61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Position-based difference ÷ Current modeled funding</w:t>
            </w:r>
          </w:p>
        </w:tc>
      </w:tr>
      <w:tr>
        <w:trPr>
          <w:cantSplit/>
        </w:trPr>
        <w:tc>
          <w:tcPr>
            <w:tcW w:type="dxa" w:w="33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Full-model difference</w:t>
            </w:r>
          </w:p>
        </w:tc>
        <w:tc>
          <w:tcPr>
            <w:tcW w:type="dxa" w:w="61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Proposed full-model funding − Current modeled funding</w:t>
            </w:r>
          </w:p>
        </w:tc>
      </w:tr>
      <w:tr>
        <w:trPr>
          <w:cantSplit/>
        </w:trPr>
        <w:tc>
          <w:tcPr>
            <w:tcW w:type="dxa" w:w="338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Full-model percent difference</w:t>
            </w:r>
          </w:p>
        </w:tc>
        <w:tc>
          <w:tcPr>
            <w:tcW w:type="dxa" w:w="612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Full-model difference ÷ Current modeled funding</w:t>
            </w:r>
          </w:p>
        </w:tc>
      </w:tr>
      <w:tr>
        <w:trPr>
          <w:cantSplit/>
        </w:trPr>
        <w:tc>
          <w:tcPr>
            <w:tcW w:type="dxa" w:w="338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LEA rankings</w:t>
            </w:r>
          </w:p>
        </w:tc>
        <w:tc>
          <w:tcPr>
            <w:tcW w:type="dxa" w:w="612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Descending preliminary gross full-model percent difference unless the ranking table states another measure</w:t>
            </w:r>
          </w:p>
        </w:tc>
      </w:tr>
    </w:tbl>
    <w:p>
      <w:pPr>
        <w:spacing w:after="0"/>
      </w:pPr>
    </w:p>
    <w:p>
      <w:pPr>
        <w:widowControl/>
      </w:pPr>
      <w:r>
        <w:t>School calculation units first roll to official school or charter organization records. Those records roll to LEAs, and LEAs roll to state. Percent differences are left blank in the official fields while either model is incomplete. Step 10 exposes clearly labeled preliminary report percentages for review.</w:t>
      </w:r>
    </w:p>
    <w:p>
      <w:pPr>
        <w:pStyle w:val="Heading1"/>
        <w:keepNext/>
      </w:pPr>
      <w:r>
        <w:t>J. Quality-Control and Validation Procedures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48"/>
        <w:gridCol w:w="2448"/>
        <w:gridCol w:w="2448"/>
        <w:gridCol w:w="2448"/>
      </w:tblGrid>
      <w:tr>
        <w:trPr>
          <w:tblHeader w:val="true"/>
        </w:trPr>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Check</w:t>
            </w:r>
          </w:p>
        </w:tc>
        <w:tc>
          <w:tcPr>
            <w:tcW w:type="dxa" w:w="3888"/>
            <w:shd w:fill="17365D"/>
            <w:tcMar>
              <w:top w:w="55" w:type="dxa"/>
              <w:start w:w="65" w:type="dxa"/>
              <w:bottom w:w="55" w:type="dxa"/>
              <w:end w:w="65" w:type="dxa"/>
            </w:tcMar>
            <w:vAlign w:val="center"/>
          </w:tcPr>
          <w:p>
            <w:pPr>
              <w:spacing w:after="0" w:before="0" w:line="240" w:lineRule="auto"/>
            </w:pPr>
            <w:r>
              <w:rPr>
                <w:rFonts w:ascii="Aptos" w:hAnsi="Aptos"/>
                <w:b/>
                <w:color w:val="FFFFFF"/>
                <w:sz w:val="14"/>
              </w:rPr>
              <w:t>Expected condition</w:t>
            </w:r>
          </w:p>
        </w:tc>
        <w:tc>
          <w:tcPr>
            <w:tcW w:type="dxa" w:w="129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Result</w:t>
            </w:r>
          </w:p>
        </w:tc>
        <w:tc>
          <w:tcPr>
            <w:tcW w:type="dxa" w:w="223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Evidence / exception</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Run completion</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Run status = Completed; manifest written</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00_run_settings.csv; 00_run_manifest.csv</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Manifest integrity</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70 supplied entries match file paths, sizes, rows where applicable, and MD5 hashes</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Independent review</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Reproduction</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Isolated rerun completes and generated CSVs match supplied outputs</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Independent review</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Shared row counts</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237 school/program rows; 232 coded; 5 no-code; 44 LEAs; 2 state rows</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 / Info</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02_shared_input_qc_summary.csv</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School-to-LEA rollup</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No shared-input comparisons require review</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02_shared_input_qc_summary.csv</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LEA-to-state rollup</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No shared-input comparisons require review</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02_shared_input_qc_summary.csv</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reported units</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Eight Division I/vocational lines reconcile to shared UnitsTotal within 0.05</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04 stop_if_rows control</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missing data</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Missing custodial, facilities, lunch, and cafeteria fields are flagged and not converted to zero</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Expected exception</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03_current_input_qc.csv; 04_current_model_issues.csv</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rate joins</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Two nonzero components have missing rates in adjusted scope; issue file identifies them</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Expected exception</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05_current_model_rate_issues.csv</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Charter keys</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One shared row and calculator organization-total row per charter; duplicate/stale mappings stop run</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Script 06</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Charter allocation</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120 student category groups use largest remainder; one adjusted group reconciles to official total</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 / Review documented</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06_proposed_input_qc.csv; reconciliation file</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Proposed rates</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Every live rate component joins once; no rate issues</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08_proposed_model_rate_issues.csv</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Weighted pools</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Opportunity and Operational differences = 0 after exclusions</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10_reporting_qc.csv</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Weighted school-to-LEA and LEA-to-state</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Differences = 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10_reporting_qc.csv</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Adjusted exclusions</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No Bryan or DAFB rows remain in adjusted outputs</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10_reporting_qc.csv</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Model joins</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Unmatched school and LEA records = 0</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10_reporting_qc.csv</w:t>
            </w:r>
          </w:p>
        </w:tc>
      </w:tr>
      <w:tr>
        <w:trPr>
          <w:cantSplit/>
        </w:trPr>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Official incomplete percentages</w:t>
            </w:r>
          </w:p>
        </w:tc>
        <w:tc>
          <w:tcPr>
            <w:tcW w:type="dxa" w:w="38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Populated rows = 0</w:t>
            </w:r>
          </w:p>
        </w:tc>
        <w:tc>
          <w:tcPr>
            <w:tcW w:type="dxa" w:w="129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09_comparison_qc.csv; 10_reporting_qc.csv</w:t>
            </w:r>
          </w:p>
        </w:tc>
      </w:tr>
      <w:tr>
        <w:trPr>
          <w:cantSplit/>
        </w:trPr>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Rounded LEA-to-state review files</w:t>
            </w:r>
          </w:p>
        </w:tc>
        <w:tc>
          <w:tcPr>
            <w:tcW w:type="dxa" w:w="38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difference $0.044072; proposed $0.026424</w:t>
            </w:r>
          </w:p>
        </w:tc>
        <w:tc>
          <w:tcPr>
            <w:tcW w:type="dxa" w:w="129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Pass</w:t>
            </w:r>
          </w:p>
        </w:tc>
        <w:tc>
          <w:tcPr>
            <w:tcW w:type="dxa" w:w="223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Expected read-back effect from rounded Step 09 review CSVs</w:t>
            </w:r>
          </w:p>
        </w:tc>
      </w:tr>
    </w:tbl>
    <w:p>
      <w:pPr>
        <w:spacing w:after="0"/>
      </w:pPr>
    </w:p>
    <w:p>
      <w:pPr>
        <w:sectPr>
          <w:pgSz w:w="12240" w:h="15840"/>
          <w:pgMar w:top="1224" w:right="1224" w:bottom="1152" w:left="1224" w:header="288" w:footer="360" w:gutter="0"/>
          <w:cols w:space="720"/>
          <w:docGrid w:linePitch="360"/>
        </w:sectPr>
      </w:pPr>
    </w:p>
    <w:p>
      <w:pPr>
        <w:pStyle w:val="Heading1"/>
        <w:keepNext/>
      </w:pPr>
      <w:r>
        <w:t>K. Implemented Assumptions and Unresolved Decisions</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24"/>
        <w:gridCol w:w="2424"/>
        <w:gridCol w:w="2424"/>
        <w:gridCol w:w="2424"/>
        <w:gridCol w:w="2424"/>
        <w:gridCol w:w="2424"/>
      </w:tblGrid>
      <w:tr>
        <w:trPr>
          <w:tblHeader w:val="true"/>
        </w:trPr>
        <w:tc>
          <w:tcPr>
            <w:tcW w:type="dxa" w:w="1944"/>
            <w:shd w:fill="17365D"/>
            <w:tcMar>
              <w:top w:w="55" w:type="dxa"/>
              <w:start w:w="65" w:type="dxa"/>
              <w:bottom w:w="55" w:type="dxa"/>
              <w:end w:w="65" w:type="dxa"/>
            </w:tcMar>
            <w:vAlign w:val="center"/>
          </w:tcPr>
          <w:p>
            <w:pPr>
              <w:spacing w:after="0" w:before="0" w:line="240" w:lineRule="auto"/>
            </w:pPr>
            <w:r>
              <w:rPr>
                <w:rFonts w:ascii="Aptos" w:hAnsi="Aptos"/>
                <w:b/>
                <w:color w:val="FFFFFF"/>
                <w:sz w:val="12"/>
              </w:rPr>
              <w:t>Topic</w:t>
            </w:r>
          </w:p>
        </w:tc>
        <w:tc>
          <w:tcPr>
            <w:tcW w:type="dxa" w:w="324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Implemented treatment</w:t>
            </w:r>
          </w:p>
        </w:tc>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2"/>
              </w:rPr>
              <w:t>Evidence source</w:t>
            </w:r>
          </w:p>
        </w:tc>
        <w:tc>
          <w:tcPr>
            <w:tcW w:type="dxa" w:w="180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Status</w:t>
            </w:r>
          </w:p>
        </w:tc>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2"/>
              </w:rPr>
              <w:t>Effect on results</w:t>
            </w:r>
          </w:p>
        </w:tc>
        <w:tc>
          <w:tcPr>
            <w:tcW w:type="dxa" w:w="2592"/>
            <w:shd w:fill="17365D"/>
            <w:tcMar>
              <w:top w:w="55" w:type="dxa"/>
              <w:start w:w="65" w:type="dxa"/>
              <w:bottom w:w="55" w:type="dxa"/>
              <w:end w:w="65" w:type="dxa"/>
            </w:tcMar>
            <w:vAlign w:val="center"/>
          </w:tcPr>
          <w:p>
            <w:pPr>
              <w:spacing w:after="0" w:before="0" w:line="240" w:lineRule="auto"/>
            </w:pPr>
            <w:r>
              <w:rPr>
                <w:rFonts w:ascii="Aptos" w:hAnsi="Aptos"/>
                <w:b/>
                <w:color w:val="FFFFFF"/>
                <w:sz w:val="12"/>
              </w:rPr>
              <w:t>Confirmation still needed</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Charter calculation units</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Calculator building rows for charters; school codes for districts/DAFB</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06; calculator Data</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in implementation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Changes principals and school-support thresholds</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Formal policy confirmation</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Largest-remainder charter allocations</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Whole-student categories allocated by proportional shares, floors, remainders, and sequence tie-break</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00_settings.R; Script 06</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method</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Preserves authoritative charter totals and integer buildings</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Formal policy adoption</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Principal calculation units</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One principal per proposed calculation unit</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07; calculator note</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in implementation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252 principals in adjusted scope</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calculation-unit policy</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Basic Pre-K</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Reported Basic Pre-K is combined with Basic K-12 in the proposed Basic line</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 02, 06, 07</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in implementation</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Raises proposed Basic input</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charter Pre-K eligibility in current model</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Active MLL</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ELL = ELL only; ELM and ELX excluded</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01_student_counts.sql</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working definition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Drives both weighted pools</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Final policy/data sign-off</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Instructional Supports</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20% of Base Division I positions</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07; calculator G16/Data Q; lookup row 43</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Major driver of latest Base increase</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None unless policy changes</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Principal fractions</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Preserve 0.65 and 1.65 awards</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07; written rule</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Implemented policy interpretation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Raises quantity relative to calculator's round-down formula</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calculator variance</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Assistant Superintendent</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Completed UnitsTotal/300 thresholds; cap 2</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07; written rule</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Implemented policy interpretation</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Differs from proportional calculator logic</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threshold and calculation base</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Director</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UnitsTotal threshold base</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07</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Implemented policy interpretation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Can differ from calculator's broader Base-position base</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base</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11-Month Supervisor</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Division I UnitsTotal ÷ 150</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07</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Implemented policy interpretation</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Can differ from calculator's broader Base-position base</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base</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Nurse fraction</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Whole nurses plus 30% of fractional remainder</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04; old-model lookup</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Working assumption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Affects current known quantity and mapped funding</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exact legacy interpretation</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DAFB</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Calculated normally; excluded from statewide totals and weighted-rate denominators</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lea_crosswalk.csv; settings</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Documented assumption</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Removes 477 students and three calculation units from state</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Formal scope confirmation</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Bryan exclusion</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Removed in Step 10 because 2025-26 was final operating year</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10; exclusion audit</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 reporting decision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42-LEA scope; rates recalculated; pools retained</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None unless scope changes</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Enrollment</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Total enrollment × 0.20</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 06-08; calculator B25/G25</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Largest Operational weighted factor</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Update stale compiled lookup</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Operational vocational</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Calculator vocational enrollment × 0.20</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Scripts 06-08; calculator Data/CTE Data</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Implementation question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Allocates $11.86M in adjusted scope</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source definition and eligibility</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Weighted rates</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Fixed pools divided by eligible adjusted-scope weighted units</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settings; Scripts 08 and 10</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Confirmed</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Rates rise slightly after Bryan exclusion</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Update only if pool or rate method changes</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Additional State Funding</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Optional calculator amount excluded</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07 issue; calculator H1/State Totals B5</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Policy decision unresolved</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 amount is zero; mechanism not modeled</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Written authorization and source amount</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Custodians</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Leave uncalculated</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 supplement; Script 04</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input and rate</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 total understated by unknown amount</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Positions and rate</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Facilities</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Leave Buildings and Grounds quantity uncalculated without custodial units</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 supplement; Script 04</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input</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 total understated by unknown amount</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Custodial units</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Food service</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Calculate known LEAs; leave formula-relevant incomplete LEAs blank</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03/04</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Missing input</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 subtotal partial</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School lunch indicators</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Cafeteria</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Show provisional 0.73 manager quantity; no amount without rates</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04/05</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Provisional / missing rate</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Current total omits manager/worker dollars</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Satellite counts, manager rate, worker rate, district process</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Potential current offsets</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Keep outside current total until crosswalked</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FY25 finance overview; PEFC crosswalk</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Fiscal decision unresolved</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Full-model result remains gross</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FY26 appropriation-level crosswalk</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NCCVT duplicates</w:t>
            </w:r>
          </w:p>
        </w:tc>
        <w:tc>
          <w:tcPr>
            <w:tcW w:type="dxa" w:w="324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Keep lower absolute vocational row after base-field agreement check</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Script 02; unit_count.xlsx</w:t>
            </w:r>
          </w:p>
        </w:tc>
        <w:tc>
          <w:tcPr>
            <w:tcW w:type="dxa" w:w="180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Working assumption</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Makes school rollup match predefined district total</w:t>
            </w:r>
          </w:p>
        </w:tc>
        <w:tc>
          <w:tcPr>
            <w:tcW w:type="dxa" w:w="25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2"/>
              </w:rPr>
              <w:t>Source-owner explanation</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No-code DAFB-named records</w:t>
            </w:r>
          </w:p>
        </w:tc>
        <w:tc>
          <w:tcPr>
            <w:tcW w:type="dxa" w:w="324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Remain under Caesar Rodney because source district code is 10</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02 shared input; code-based exclusion</w:t>
            </w:r>
          </w:p>
        </w:tc>
        <w:tc>
          <w:tcPr>
            <w:tcW w:type="dxa" w:w="180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Implementation question</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Small vocational adjustments remain in adjusted scope</w:t>
            </w:r>
          </w:p>
        </w:tc>
        <w:tc>
          <w:tcPr>
            <w:tcW w:type="dxa" w:w="25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2"/>
              </w:rPr>
              <w:t>Confirm ownership and treatment</w:t>
            </w:r>
          </w:p>
        </w:tc>
      </w:tr>
    </w:tbl>
    <w:p>
      <w:pPr>
        <w:spacing w:after="0"/>
      </w:pPr>
    </w:p>
    <w:p>
      <w:pPr>
        <w:sectPr>
          <w:pgSz w:w="15840" w:h="12240" w:orient="landscape"/>
          <w:pgMar w:top="792" w:right="648" w:bottom="792" w:left="648" w:header="288" w:footer="360" w:gutter="0"/>
          <w:cols w:space="720"/>
          <w:docGrid w:linePitch="360"/>
        </w:sectPr>
      </w:pPr>
    </w:p>
    <w:p>
      <w:pPr>
        <w:pStyle w:val="Heading1"/>
        <w:keepNext/>
      </w:pPr>
      <w:r>
        <w:t>L. Change Log</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4896"/>
        <w:gridCol w:w="4896"/>
      </w:tblGrid>
      <w:tr>
        <w:trPr>
          <w:tblHeader w:val="true"/>
        </w:trPr>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6"/>
              </w:rPr>
              <w:t>Change category</w:t>
            </w:r>
          </w:p>
        </w:tc>
        <w:tc>
          <w:tcPr>
            <w:tcW w:type="dxa" w:w="6624"/>
            <w:shd w:fill="17365D"/>
            <w:tcMar>
              <w:top w:w="55" w:type="dxa"/>
              <w:start w:w="65" w:type="dxa"/>
              <w:bottom w:w="55" w:type="dxa"/>
              <w:end w:w="65" w:type="dxa"/>
            </w:tcMar>
            <w:vAlign w:val="center"/>
          </w:tcPr>
          <w:p>
            <w:pPr>
              <w:spacing w:after="0" w:before="0" w:line="240" w:lineRule="auto"/>
            </w:pPr>
            <w:r>
              <w:rPr>
                <w:rFonts w:ascii="Aptos" w:hAnsi="Aptos"/>
                <w:b/>
                <w:color w:val="FFFFFF"/>
                <w:sz w:val="16"/>
              </w:rPr>
              <w:t>What changed</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Numerical updates</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Replaced Base, position-based, full-model, percentage, component, distribution, type, and ranking results with the latest 20-percent run.</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Structural changes</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Reorganized the report around main takeaways, interpretation, shared inputs, model differences, statewide results, distribution, limitations, and decisions.</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Clarifications and terminology</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Defined current modeled funding, position-based funding, weighted units, calculation units, gross difference, and net fiscal effect when first used.</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Content consolidated or moved</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Moved formulas, detailed rate mappings, code references, precision, exclusions, and QC controls to the technical appendix; consolidated repeated caveats.</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Technical appendix additions</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Added data lineage, run settings, full 32-line current matrix, full 29-line proposed matrix, rate evidence, weighted formulas, source differences, QC, assumptions, and code map.</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New or revised limitations</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Expanded current incompleteness, current appropriation scope, calculator/code variances, vocational-source uncertainty, and no-code/NCCVT treatment.</w:t>
            </w:r>
          </w:p>
        </w:tc>
      </w:tr>
      <w:tr>
        <w:trPr>
          <w:cantSplit/>
        </w:trPr>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Unresolved discrepancies</w:t>
            </w:r>
          </w:p>
        </w:tc>
        <w:tc>
          <w:tcPr>
            <w:tcW w:type="dxa" w:w="662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6"/>
              </w:rPr>
              <w:t>Kept Assistant Principal, Assistant Superintendent, Director, and 11-Month Supervisor calculator/code differences visible rather than resolving them by assumption.</w:t>
            </w:r>
          </w:p>
        </w:tc>
      </w:tr>
      <w:tr>
        <w:trPr>
          <w:cantSplit/>
        </w:trPr>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Implementation versus policy</w:t>
            </w:r>
          </w:p>
        </w:tc>
        <w:tc>
          <w:tcPr>
            <w:tcW w:type="dxa" w:w="662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6"/>
              </w:rPr>
              <w:t>Marked confirmed, documented, assumed, provisional, missing, and unresolved treatments separately.</w:t>
            </w:r>
          </w:p>
        </w:tc>
      </w:tr>
    </w:tbl>
    <w:p>
      <w:pPr>
        <w:spacing w:after="0"/>
      </w:pPr>
    </w:p>
    <w:p>
      <w:pPr>
        <w:pStyle w:val="Heading1"/>
        <w:keepNext/>
      </w:pPr>
      <w:r>
        <w:t>M. Companion Source Map</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3264"/>
        <w:gridCol w:w="3264"/>
        <w:gridCol w:w="3264"/>
      </w:tblGrid>
      <w:tr>
        <w:trPr>
          <w:tblHeader w:val="true"/>
        </w:trPr>
        <w:tc>
          <w:tcPr>
            <w:tcW w:type="dxa" w:w="237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Use</w:t>
            </w:r>
          </w:p>
        </w:tc>
        <w:tc>
          <w:tcPr>
            <w:tcW w:type="dxa" w:w="4392"/>
            <w:shd w:fill="17365D"/>
            <w:tcMar>
              <w:top w:w="55" w:type="dxa"/>
              <w:start w:w="65" w:type="dxa"/>
              <w:bottom w:w="55" w:type="dxa"/>
              <w:end w:w="65" w:type="dxa"/>
            </w:tcMar>
            <w:vAlign w:val="center"/>
          </w:tcPr>
          <w:p>
            <w:pPr>
              <w:spacing w:after="0" w:before="0" w:line="240" w:lineRule="auto"/>
            </w:pPr>
            <w:r>
              <w:rPr>
                <w:rFonts w:ascii="Aptos" w:hAnsi="Aptos"/>
                <w:b/>
                <w:color w:val="FFFFFF"/>
                <w:sz w:val="14"/>
              </w:rPr>
              <w:t>Primary files</w:t>
            </w:r>
          </w:p>
        </w:tc>
        <w:tc>
          <w:tcPr>
            <w:tcW w:type="dxa" w:w="2736"/>
            <w:shd w:fill="17365D"/>
            <w:tcMar>
              <w:top w:w="55" w:type="dxa"/>
              <w:start w:w="65" w:type="dxa"/>
              <w:bottom w:w="55" w:type="dxa"/>
              <w:end w:w="65" w:type="dxa"/>
            </w:tcMar>
            <w:vAlign w:val="center"/>
          </w:tcPr>
          <w:p>
            <w:pPr>
              <w:spacing w:after="0" w:before="0" w:line="240" w:lineRule="auto"/>
            </w:pPr>
            <w:r>
              <w:rPr>
                <w:rFonts w:ascii="Aptos" w:hAnsi="Aptos"/>
                <w:b/>
                <w:color w:val="FFFFFF"/>
                <w:sz w:val="14"/>
              </w:rPr>
              <w:t>Role</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Headline findings</w:t>
            </w:r>
          </w:p>
        </w:tc>
        <w:tc>
          <w:tcPr>
            <w:tcW w:type="dxa" w:w="43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10_report_summary.csv; 10_adjusted_state_summary.csv; 10_report_ready_text.csv</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Adjusted statewide totals and executive narrative</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LEA distributions and rankings</w:t>
            </w:r>
          </w:p>
        </w:tc>
        <w:tc>
          <w:tcPr>
            <w:tcW w:type="dxa" w:w="43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10_lea_distribution_summary.csv; 10_lea_type_summary.csv; 10_lea_rankings.csv</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Aggregate, median, IQR, means, type results, and rank order</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formulas</w:t>
            </w:r>
          </w:p>
        </w:tc>
        <w:tc>
          <w:tcPr>
            <w:tcW w:type="dxa" w:w="43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04_calculate_current_quantities.R; 04_current_model_rules.csv; funding_model_lookup.xlsx</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32 component quantity rules and written reference</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Current rates</w:t>
            </w:r>
          </w:p>
        </w:tc>
        <w:tc>
          <w:tcPr>
            <w:tcW w:type="dxa" w:w="43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05_apply_current_rates.R; current_rate_map.csv; funding_rates.csv; calculator E cells</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Rate joins, evidence categories, and known partial funding</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Proposed formulas</w:t>
            </w:r>
          </w:p>
        </w:tc>
        <w:tc>
          <w:tcPr>
            <w:tcW w:type="dxa" w:w="43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06_prepare_proposed_inputs.R; 07_calculate_proposed_quantities.R; 07_proposed_model_rules.csv</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Calculation units, charter allocation, 29 component formulas</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Proposed rates</w:t>
            </w:r>
          </w:p>
        </w:tc>
        <w:tc>
          <w:tcPr>
            <w:tcW w:type="dxa" w:w="43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08_apply_proposed_rates.R; funding_rates.csv; 10_adjusted_weighted_rate_summary.csv</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Position rates and adjusted recalculated weighted rates</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Student counts</w:t>
            </w:r>
          </w:p>
        </w:tc>
        <w:tc>
          <w:tcPr>
            <w:tcW w:type="dxa" w:w="43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01_student_counts.sql; student_counts.csv</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Enrollment, LI, active MLL, K-8, Grade 10</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Unit-count measures</w:t>
            </w:r>
          </w:p>
        </w:tc>
        <w:tc>
          <w:tcPr>
            <w:tcW w:type="dxa" w:w="43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unit_count.xlsx; SY26unitcount.pdf; 02_build_shared_input.R</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Enrollment categories, units, vocational adjustments, predefined rollups</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Charter allocation</w:t>
            </w:r>
          </w:p>
        </w:tc>
        <w:tc>
          <w:tcPr>
            <w:tcW w:type="dxa" w:w="43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Copy of Calculator for 25-26 w Charter (003).xlsm Data sheet; Script 06; charter reconciliation CSV</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Building rows, shares, vocational input, and largest remainder</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Reporting exclusions</w:t>
            </w:r>
          </w:p>
        </w:tc>
        <w:tc>
          <w:tcPr>
            <w:tcW w:type="dxa" w:w="43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lea_crosswalk.csv; 10_reporting_analysis.R; 10_exclusion_audit.csv</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DAFB and Bryan treatment; fixed-pool redistribution</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Existing current-funding context</w:t>
            </w:r>
          </w:p>
        </w:tc>
        <w:tc>
          <w:tcPr>
            <w:tcW w:type="dxa" w:w="43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0924_Education-101.pdf; DASA_PEFC-Dec24Presentation-updated-v2.pdf; PEFC Hybrid Corsswalk_DDOE Funding Input.xlsx</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Division II/III, Other Items, block grants, categorical context</w:t>
            </w:r>
          </w:p>
        </w:tc>
      </w:tr>
      <w:tr>
        <w:trPr>
          <w:cantSplit/>
        </w:trPr>
        <w:tc>
          <w:tcPr>
            <w:tcW w:type="dxa" w:w="237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Outstanding questions</w:t>
            </w:r>
          </w:p>
        </w:tc>
        <w:tc>
          <w:tcPr>
            <w:tcW w:type="dxa" w:w="439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running_question_list.docx; model issue CSVs; source reconciliation</w:t>
            </w:r>
          </w:p>
        </w:tc>
        <w:tc>
          <w:tcPr>
            <w:tcW w:type="dxa" w:w="2736"/>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4"/>
              </w:rPr>
              <w:t>Policy, fiscal, rate, data, and implementation questions</w:t>
            </w:r>
          </w:p>
        </w:tc>
      </w:tr>
      <w:tr>
        <w:trPr>
          <w:cantSplit/>
        </w:trPr>
        <w:tc>
          <w:tcPr>
            <w:tcW w:type="dxa" w:w="237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Reproducibility</w:t>
            </w:r>
          </w:p>
        </w:tc>
        <w:tc>
          <w:tcPr>
            <w:tcW w:type="dxa" w:w="439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00_run_settings.csv; 00_run_manifest.csv; README.md; RUN_PIPELINE.R</w:t>
            </w:r>
          </w:p>
        </w:tc>
        <w:tc>
          <w:tcPr>
            <w:tcW w:type="dxa" w:w="2736"/>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4"/>
              </w:rPr>
              <w:t>Run state, environment, hashes, and execution sequence</w:t>
            </w:r>
          </w:p>
        </w:tc>
      </w:tr>
    </w:tbl>
    <w:p>
      <w:pPr>
        <w:spacing w:after="0"/>
      </w:pPr>
    </w:p>
    <w:p>
      <w:pPr>
        <w:sectPr>
          <w:pgSz w:w="12240" w:h="15840"/>
          <w:pgMar w:top="1224" w:right="1224" w:bottom="1152" w:left="1224" w:header="288" w:footer="360" w:gutter="0"/>
          <w:cols w:space="720"/>
          <w:docGrid w:linePitch="360"/>
        </w:sectPr>
      </w:pPr>
    </w:p>
    <w:p>
      <w:pPr>
        <w:pStyle w:val="Heading1"/>
        <w:keepNext/>
      </w:pPr>
      <w:r>
        <w:t>N. Code and Source Cross-Reference</w:t>
      </w:r>
    </w:p>
    <w:tbl>
      <w:tblPr>
        <w:tblW w:type="auto" w:w="0"/>
        <w:jc w:val="center"/>
        <w:tblLayout w:type="fixed"/>
        <w:tblLook w:firstColumn="1" w:firstRow="1" w:lastColumn="0" w:lastRow="0" w:noHBand="0" w:noVBand="1" w:val="04A0"/>
        <w:tblBorders>
          <w:top w:val="single" w:sz="4" w:space="0" w:color="B8C6D1"/>
          <w:left w:val="single" w:sz="4" w:space="0" w:color="B8C6D1"/>
          <w:bottom w:val="single" w:sz="4" w:space="0" w:color="B8C6D1"/>
          <w:right w:val="single" w:sz="4" w:space="0" w:color="B8C6D1"/>
          <w:insideH w:val="single" w:sz="4" w:space="0" w:color="B8C6D1"/>
          <w:insideV w:val="single" w:sz="4" w:space="0" w:color="B8C6D1"/>
        </w:tblBorders>
      </w:tblPr>
      <w:tblGrid>
        <w:gridCol w:w="2424"/>
        <w:gridCol w:w="2424"/>
        <w:gridCol w:w="2424"/>
        <w:gridCol w:w="2424"/>
        <w:gridCol w:w="2424"/>
        <w:gridCol w:w="2424"/>
      </w:tblGrid>
      <w:tr>
        <w:trPr>
          <w:tblHeader w:val="true"/>
        </w:trPr>
        <w:tc>
          <w:tcPr>
            <w:tcW w:type="dxa" w:w="1944"/>
            <w:shd w:fill="17365D"/>
            <w:tcMar>
              <w:top w:w="55" w:type="dxa"/>
              <w:start w:w="65" w:type="dxa"/>
              <w:bottom w:w="55" w:type="dxa"/>
              <w:end w:w="65" w:type="dxa"/>
            </w:tcMar>
            <w:vAlign w:val="center"/>
          </w:tcPr>
          <w:p>
            <w:pPr>
              <w:spacing w:after="0" w:before="0" w:line="240" w:lineRule="auto"/>
            </w:pPr>
            <w:r>
              <w:rPr>
                <w:rFonts w:ascii="Aptos" w:hAnsi="Aptos"/>
                <w:b/>
                <w:color w:val="FFFFFF"/>
                <w:sz w:val="13"/>
              </w:rPr>
              <w:t>Analytical step</w:t>
            </w:r>
          </w:p>
        </w:tc>
        <w:tc>
          <w:tcPr>
            <w:tcW w:type="dxa" w:w="2088"/>
            <w:shd w:fill="17365D"/>
            <w:tcMar>
              <w:top w:w="55" w:type="dxa"/>
              <w:start w:w="65" w:type="dxa"/>
              <w:bottom w:w="55" w:type="dxa"/>
              <w:end w:w="65" w:type="dxa"/>
            </w:tcMar>
            <w:vAlign w:val="center"/>
          </w:tcPr>
          <w:p>
            <w:pPr>
              <w:spacing w:after="0" w:before="0" w:line="240" w:lineRule="auto"/>
            </w:pPr>
            <w:r>
              <w:rPr>
                <w:rFonts w:ascii="Aptos" w:hAnsi="Aptos"/>
                <w:b/>
                <w:color w:val="FFFFFF"/>
                <w:sz w:val="13"/>
              </w:rPr>
              <w:t>R script</w:t>
            </w:r>
          </w:p>
        </w:tc>
        <w:tc>
          <w:tcPr>
            <w:tcW w:type="dxa" w:w="1728"/>
            <w:shd w:fill="17365D"/>
            <w:tcMar>
              <w:top w:w="55" w:type="dxa"/>
              <w:start w:w="65" w:type="dxa"/>
              <w:bottom w:w="55" w:type="dxa"/>
              <w:end w:w="65" w:type="dxa"/>
            </w:tcMar>
            <w:vAlign w:val="center"/>
          </w:tcPr>
          <w:p>
            <w:pPr>
              <w:spacing w:after="0" w:before="0" w:line="240" w:lineRule="auto"/>
            </w:pPr>
            <w:r>
              <w:rPr>
                <w:rFonts w:ascii="Aptos" w:hAnsi="Aptos"/>
                <w:b/>
                <w:color w:val="FFFFFF"/>
                <w:sz w:val="13"/>
              </w:rPr>
              <w:t>SQL</w:t>
            </w:r>
          </w:p>
        </w:tc>
        <w:tc>
          <w:tcPr>
            <w:tcW w:type="dxa" w:w="3528"/>
            <w:shd w:fill="17365D"/>
            <w:tcMar>
              <w:top w:w="55" w:type="dxa"/>
              <w:start w:w="65" w:type="dxa"/>
              <w:bottom w:w="55" w:type="dxa"/>
              <w:end w:w="65" w:type="dxa"/>
            </w:tcMar>
            <w:vAlign w:val="center"/>
          </w:tcPr>
          <w:p>
            <w:pPr>
              <w:spacing w:after="0" w:before="0" w:line="240" w:lineRule="auto"/>
            </w:pPr>
            <w:r>
              <w:rPr>
                <w:rFonts w:ascii="Aptos" w:hAnsi="Aptos"/>
                <w:b/>
                <w:color w:val="FFFFFF"/>
                <w:sz w:val="13"/>
              </w:rPr>
              <w:t>Main input / lookup</w:t>
            </w:r>
          </w:p>
        </w:tc>
        <w:tc>
          <w:tcPr>
            <w:tcW w:type="dxa" w:w="2880"/>
            <w:shd w:fill="17365D"/>
            <w:tcMar>
              <w:top w:w="55" w:type="dxa"/>
              <w:start w:w="65" w:type="dxa"/>
              <w:bottom w:w="55" w:type="dxa"/>
              <w:end w:w="65" w:type="dxa"/>
            </w:tcMar>
            <w:vAlign w:val="center"/>
          </w:tcPr>
          <w:p>
            <w:pPr>
              <w:spacing w:after="0" w:before="0" w:line="240" w:lineRule="auto"/>
            </w:pPr>
            <w:r>
              <w:rPr>
                <w:rFonts w:ascii="Aptos" w:hAnsi="Aptos"/>
                <w:b/>
                <w:color w:val="FFFFFF"/>
                <w:sz w:val="13"/>
              </w:rPr>
              <w:t>Intermediate output</w:t>
            </w:r>
          </w:p>
        </w:tc>
        <w:tc>
          <w:tcPr>
            <w:tcW w:type="dxa" w:w="2952"/>
            <w:shd w:fill="17365D"/>
            <w:tcMar>
              <w:top w:w="55" w:type="dxa"/>
              <w:start w:w="65" w:type="dxa"/>
              <w:bottom w:w="55" w:type="dxa"/>
              <w:end w:w="65" w:type="dxa"/>
            </w:tcMar>
            <w:vAlign w:val="center"/>
          </w:tcPr>
          <w:p>
            <w:pPr>
              <w:spacing w:after="0" w:before="0" w:line="240" w:lineRule="auto"/>
            </w:pPr>
            <w:r>
              <w:rPr>
                <w:rFonts w:ascii="Aptos" w:hAnsi="Aptos"/>
                <w:b/>
                <w:color w:val="FFFFFF"/>
                <w:sz w:val="13"/>
              </w:rPr>
              <w:t>Reporting output</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Settings and helpers</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00_settings.R</w:t>
            </w:r>
          </w:p>
        </w:tc>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All maintained inputs</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00_run_settings.csv; 00_run_manifest.csv</w:t>
            </w:r>
          </w:p>
        </w:tc>
        <w:tc>
          <w:tcPr>
            <w:tcW w:type="dxa" w:w="295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All downstream outputs</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Student-count export</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01_student_counts.sql</w:t>
            </w:r>
          </w:p>
        </w:tc>
        <w:tc>
          <w:tcPr>
            <w:tcW w:type="dxa" w:w="35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P20_STUDENT_ENROLLMENT_UNITCOUNT</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student_counts.csv</w:t>
            </w:r>
          </w:p>
        </w:tc>
        <w:tc>
          <w:tcPr>
            <w:tcW w:type="dxa" w:w="295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02 shared input</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Shared input</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02_build_shared_input.R</w:t>
            </w:r>
          </w:p>
        </w:tc>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unit_count.xlsx; student_counts.csv; entity_crosswalk.csv</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02_shared_model_input.csv</w:t>
            </w:r>
          </w:p>
        </w:tc>
        <w:tc>
          <w:tcPr>
            <w:tcW w:type="dxa" w:w="295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02 QC files</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Current input prep</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03_prepare_current_inputs.R</w:t>
            </w:r>
          </w:p>
        </w:tc>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02 shared input; supplements; lea_crosswalk.csv</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03 current school/LEA inputs</w:t>
            </w:r>
          </w:p>
        </w:tc>
        <w:tc>
          <w:tcPr>
            <w:tcW w:type="dxa" w:w="295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03_current_input_qc.csv</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Current quantities</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04_calculate_current_quantities.R</w:t>
            </w:r>
          </w:p>
        </w:tc>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03 inputs; funding_model_lookup.xlsx as reference</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04 current quantities/rules</w:t>
            </w:r>
          </w:p>
        </w:tc>
        <w:tc>
          <w:tcPr>
            <w:tcW w:type="dxa" w:w="295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04 current issues/summary</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Current rates</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05_apply_current_rates.R</w:t>
            </w:r>
          </w:p>
        </w:tc>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current_rate_map.csv; funding_rates.csv</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05 funding detail</w:t>
            </w:r>
          </w:p>
        </w:tc>
        <w:tc>
          <w:tcPr>
            <w:tcW w:type="dxa" w:w="295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05 school/LEA/state summaries</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Proposed input prep</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06_prepare_proposed_inputs.R</w:t>
            </w:r>
          </w:p>
        </w:tc>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02 shared input; actual calculator; crosswalks</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06 calculation units/weighted/LEA inputs</w:t>
            </w:r>
          </w:p>
        </w:tc>
        <w:tc>
          <w:tcPr>
            <w:tcW w:type="dxa" w:w="295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06 reconciliation/QC</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Proposed quantities</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07_calculate_proposed_quantities.R</w:t>
            </w:r>
          </w:p>
        </w:tc>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06 prepared inputs</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07 proposed quantities/rules</w:t>
            </w:r>
          </w:p>
        </w:tc>
        <w:tc>
          <w:tcPr>
            <w:tcW w:type="dxa" w:w="295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07 issues/summary</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Proposed rates</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08_apply_proposed_rates.R</w:t>
            </w:r>
          </w:p>
        </w:tc>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07 quantities; funding_rates.csv</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08 funding detail</w:t>
            </w:r>
          </w:p>
        </w:tc>
        <w:tc>
          <w:tcPr>
            <w:tcW w:type="dxa" w:w="295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08 state/LEA/school and weighted summaries</w:t>
            </w:r>
          </w:p>
        </w:tc>
      </w:tr>
      <w:tr>
        <w:trPr>
          <w:cantSplit/>
        </w:trPr>
        <w:tc>
          <w:tcPr>
            <w:tcW w:type="dxa" w:w="1944"/>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Model comparison</w:t>
            </w:r>
          </w:p>
        </w:tc>
        <w:tc>
          <w:tcPr>
            <w:tcW w:type="dxa" w:w="208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09_compare_models.R</w:t>
            </w:r>
          </w:p>
        </w:tc>
        <w:tc>
          <w:tcPr>
            <w:tcW w:type="dxa" w:w="17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05 and 08 summaries; 02 shared input</w:t>
            </w:r>
          </w:p>
        </w:tc>
        <w:tc>
          <w:tcPr>
            <w:tcW w:type="dxa" w:w="2880"/>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09 school/LEA/state comparisons</w:t>
            </w:r>
          </w:p>
        </w:tc>
        <w:tc>
          <w:tcPr>
            <w:tcW w:type="dxa" w:w="2952"/>
            <w:shd w:fill="FFFFFF"/>
            <w:tcMar>
              <w:top w:w="55" w:type="dxa"/>
              <w:start w:w="65" w:type="dxa"/>
              <w:bottom w:w="55" w:type="dxa"/>
              <w:end w:w="65" w:type="dxa"/>
            </w:tcMar>
            <w:vAlign w:val="top"/>
          </w:tcPr>
          <w:p>
            <w:pPr>
              <w:spacing w:after="0" w:before="0" w:line="240" w:lineRule="auto"/>
              <w:jc w:val="left"/>
            </w:pPr>
            <w:r>
              <w:rPr>
                <w:rFonts w:ascii="Aptos" w:hAnsi="Aptos"/>
                <w:b w:val="0"/>
                <w:color w:val="000000"/>
                <w:sz w:val="13"/>
              </w:rPr>
              <w:t>09_comparison_qc.csv</w:t>
            </w:r>
          </w:p>
        </w:tc>
      </w:tr>
      <w:tr>
        <w:trPr>
          <w:cantSplit/>
        </w:trPr>
        <w:tc>
          <w:tcPr>
            <w:tcW w:type="dxa" w:w="1944"/>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Adjusted reporting</w:t>
            </w:r>
          </w:p>
        </w:tc>
        <w:tc>
          <w:tcPr>
            <w:tcW w:type="dxa" w:w="208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10_reporting_analysis.R</w:t>
            </w:r>
          </w:p>
        </w:tc>
        <w:tc>
          <w:tcPr>
            <w:tcW w:type="dxa" w:w="17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r>
          </w:p>
        </w:tc>
        <w:tc>
          <w:tcPr>
            <w:tcW w:type="dxa" w:w="3528"/>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09 comparisons; 06/08 weighted outputs</w:t>
            </w:r>
          </w:p>
        </w:tc>
        <w:tc>
          <w:tcPr>
            <w:tcW w:type="dxa" w:w="2880"/>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10 adjusted school/LEA/state outputs</w:t>
            </w:r>
          </w:p>
        </w:tc>
        <w:tc>
          <w:tcPr>
            <w:tcW w:type="dxa" w:w="2952"/>
            <w:shd w:fill="EAF2F8"/>
            <w:tcMar>
              <w:top w:w="55" w:type="dxa"/>
              <w:start w:w="65" w:type="dxa"/>
              <w:bottom w:w="55" w:type="dxa"/>
              <w:end w:w="65" w:type="dxa"/>
            </w:tcMar>
            <w:vAlign w:val="top"/>
          </w:tcPr>
          <w:p>
            <w:pPr>
              <w:spacing w:after="0" w:before="0" w:line="240" w:lineRule="auto"/>
              <w:jc w:val="left"/>
            </w:pPr>
            <w:r>
              <w:rPr>
                <w:rFonts w:ascii="Aptos" w:hAnsi="Aptos"/>
                <w:b w:val="0"/>
                <w:color w:val="000000"/>
                <w:sz w:val="13"/>
              </w:rPr>
              <w:t>10 summary, rankings, audit, QC</w:t>
            </w:r>
          </w:p>
        </w:tc>
      </w:tr>
    </w:tbl>
    <w:p>
      <w:pPr>
        <w:spacing w:after="0"/>
      </w:pPr>
    </w:p>
    <w:p>
      <w:pPr>
        <w:sectPr>
          <w:pgSz w:w="15840" w:h="12240" w:orient="landscape"/>
          <w:pgMar w:top="792" w:right="648" w:bottom="792" w:left="648" w:header="288" w:footer="360" w:gutter="0"/>
          <w:cols w:space="720"/>
          <w:docGrid w:linePitch="360"/>
        </w:sectPr>
      </w:pPr>
    </w:p>
    <w:p>
      <w:pPr>
        <w:pStyle w:val="Heading1"/>
        <w:keepNext/>
      </w:pPr>
      <w:r>
        <w:t>O. Final Interpretation Guardrails</w:t>
      </w:r>
    </w:p>
    <w:p>
      <w:pPr>
        <w:pStyle w:val="ListBullet"/>
        <w:spacing w:after="60"/>
        <w:ind w:left="317" w:hanging="173"/>
      </w:pPr>
      <w:r>
        <w:t>Refer to $487.1 million as a gross modeled allocation difference, not net new spending.</w:t>
      </w:r>
    </w:p>
    <w:p>
      <w:pPr>
        <w:pStyle w:val="ListBullet"/>
        <w:spacing w:after="60"/>
        <w:ind w:left="317" w:hanging="173"/>
      </w:pPr>
      <w:r>
        <w:t>Show the $45.0 million position-based comparison and the full-model comparison together.</w:t>
      </w:r>
    </w:p>
    <w:p>
      <w:pPr>
        <w:pStyle w:val="ListBullet"/>
        <w:spacing w:after="60"/>
        <w:ind w:left="317" w:hanging="173"/>
      </w:pPr>
      <w:r>
        <w:t>Keep potential current-funding offsets separate until an appropriation-level crosswalk confirms replacement or continuation.</w:t>
      </w:r>
    </w:p>
    <w:p>
      <w:pPr>
        <w:pStyle w:val="ListBullet"/>
        <w:spacing w:after="60"/>
        <w:ind w:left="317" w:hanging="173"/>
      </w:pPr>
      <w:r>
        <w:t>Do not describe blank current quantities or amounts as zero funding.</w:t>
      </w:r>
    </w:p>
    <w:p>
      <w:pPr>
        <w:pStyle w:val="ListBullet"/>
        <w:spacing w:after="60"/>
        <w:ind w:left="317" w:hanging="173"/>
      </w:pPr>
      <w:r>
        <w:t>Do not add positions and weighted student units; they use different units and rate bases.</w:t>
      </w:r>
    </w:p>
    <w:p>
      <w:pPr>
        <w:pStyle w:val="ListBullet"/>
        <w:spacing w:after="60"/>
        <w:ind w:left="317" w:hanging="173"/>
      </w:pPr>
      <w:r>
        <w:t>Do not treat calculation completeness as policy approval.</w:t>
      </w:r>
    </w:p>
    <w:p>
      <w:pPr>
        <w:pStyle w:val="ListBullet"/>
        <w:spacing w:after="60"/>
        <w:ind w:left="317" w:hanging="173"/>
      </w:pPr>
      <w:r>
        <w:t>Do not describe LEA-level gross changes as confirmed net gains or losses.</w:t>
      </w:r>
    </w:p>
    <w:p>
      <w:pPr>
        <w:pStyle w:val="ListBullet"/>
        <w:spacing w:after="60"/>
        <w:ind w:left="317" w:hanging="173"/>
      </w:pPr>
      <w:r>
        <w:t>Keep broader analytical rate assumptions visibly separate from confirmed and documented rate evidence.</w:t>
      </w:r>
    </w:p>
    <w:p>
      <w:pPr>
        <w:pStyle w:val="ListBullet"/>
        <w:spacing w:after="60"/>
        <w:ind w:left="317" w:hanging="173"/>
      </w:pPr>
      <w:r>
        <w:t>Distribute the run settings and manifest with any detailed results package.</w:t>
      </w:r>
    </w:p>
    <w:sectPr w:rsidR="00CD1125" w:rsidSect="00935A73">
      <w:pgSz w:w="12240" w:h="15840"/>
      <w:pgMar w:top="1224" w:right="1224" w:bottom="1152" w:left="1224" w:header="288"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0CCF67" w14:textId="77777777" w:rsidR="00673E16" w:rsidRDefault="00673E16">
      <w:pPr>
        <w:spacing w:after="0" w:line="240" w:lineRule="auto"/>
        <w:rPr>
          <w:rFonts w:hint="eastAsia"/>
        </w:rPr>
      </w:pPr>
      <w:r>
        <w:separator/>
      </w:r>
    </w:p>
  </w:endnote>
  <w:endnote w:type="continuationSeparator" w:id="0">
    <w:p w14:paraId="6A1CB338" w14:textId="77777777" w:rsidR="00673E16" w:rsidRDefault="00673E1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91D714" w14:textId="77777777" w:rsidR="00034293" w:rsidRDefault="002F6691">
    <w:pPr>
      <w:pStyle w:val="Footer"/>
      <w:rPr>
        <w:rFonts w:hint="eastAsia"/>
      </w:rPr>
    </w:pPr>
    <w:r>
      <w:rPr>
        <w:rFonts w:ascii="Aptos" w:hAnsi="Aptos"/>
        <w:color w:val="5B6573"/>
        <w:sz w:val="16"/>
      </w:rPr>
      <w:t>School Funding Model Comparison | July 22, 2026</w:t>
    </w:r>
  </w:p>
  <w:p w14:paraId="09F4D46A" w14:textId="77777777" w:rsidR="00034293" w:rsidRDefault="002F6691">
    <w:pPr>
      <w:jc w:val="right"/>
      <w:rPr>
        <w:rFonts w:hint="eastAsia"/>
      </w:rPr>
    </w:pPr>
    <w:r>
      <w:rPr>
        <w:color w:val="5B6573"/>
        <w:sz w:val="16"/>
      </w:rPr>
      <w:t xml:space="preserve">Page </w:t>
    </w:r>
    <w:r>
      <w:rPr>
        <w:color w:val="5B6573"/>
        <w:sz w:val="16"/>
      </w:rPr>
      <w:fldChar w:fldCharType="begin"/>
    </w:r>
    <w:r>
      <w:rPr>
        <w:color w:val="5B6573"/>
        <w:sz w:val="16"/>
      </w:rPr>
      <w:instrText>PAGE</w:instrText>
    </w:r>
    <w:r>
      <w:rPr>
        <w:color w:val="5B6573"/>
        <w:sz w:val="16"/>
      </w:rPr>
      <w:fldChar w:fldCharType="separate"/>
    </w:r>
    <w:r w:rsidR="00935A73">
      <w:rPr>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91CB8" w14:textId="77777777" w:rsidR="00673E16" w:rsidRDefault="00673E16">
      <w:pPr>
        <w:spacing w:after="0" w:line="240" w:lineRule="auto"/>
        <w:rPr>
          <w:rFonts w:hint="eastAsia"/>
        </w:rPr>
      </w:pPr>
      <w:r>
        <w:separator/>
      </w:r>
    </w:p>
  </w:footnote>
  <w:footnote w:type="continuationSeparator" w:id="0">
    <w:p w14:paraId="1B83ED35" w14:textId="77777777" w:rsidR="00673E16" w:rsidRDefault="00673E1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EFEACD" w14:textId="164A35B6" w:rsidR="00034293" w:rsidRDefault="002F6691">
    <w:pPr>
      <w:pStyle w:val="Header"/>
      <w:jc w:val="right"/>
      <w:rPr>
        <w:rFonts w:hint="eastAsia"/>
      </w:rPr>
    </w:pPr>
    <w:r>
      <w:rPr>
        <w:rFonts w:ascii="Aptos" w:hAnsi="Aptos"/>
        <w:b/>
        <w:color w:val="C69214"/>
        <w:sz w:val="16"/>
      </w:rPr>
      <w:t>PRELIMINARY | FOR DISCUSSION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3A0089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D714C3"/>
    <w:multiLevelType w:val="multilevel"/>
    <w:tmpl w:val="88B4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4B4CC8"/>
    <w:multiLevelType w:val="hybridMultilevel"/>
    <w:tmpl w:val="C2609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7411582">
    <w:abstractNumId w:val="3"/>
  </w:num>
  <w:num w:numId="2" w16cid:durableId="1098211733">
    <w:abstractNumId w:val="10"/>
  </w:num>
  <w:num w:numId="3" w16cid:durableId="1597709674">
    <w:abstractNumId w:val="1"/>
  </w:num>
  <w:num w:numId="4" w16cid:durableId="1770661820">
    <w:abstractNumId w:val="6"/>
  </w:num>
  <w:num w:numId="5" w16cid:durableId="1919712408">
    <w:abstractNumId w:val="2"/>
  </w:num>
  <w:num w:numId="6" w16cid:durableId="2087996721">
    <w:abstractNumId w:val="4"/>
  </w:num>
  <w:num w:numId="7" w16cid:durableId="214858233">
    <w:abstractNumId w:val="8"/>
  </w:num>
  <w:num w:numId="8" w16cid:durableId="31073831">
    <w:abstractNumId w:val="0"/>
  </w:num>
  <w:num w:numId="9" w16cid:durableId="654917549">
    <w:abstractNumId w:val="7"/>
  </w:num>
  <w:num w:numId="10" w16cid:durableId="806580937">
    <w:abstractNumId w:val="5"/>
  </w:num>
  <w:num w:numId="11" w16cid:durableId="8335691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93"/>
    <w:rsid w:val="00034616"/>
    <w:rsid w:val="00040B49"/>
    <w:rsid w:val="0006063C"/>
    <w:rsid w:val="000D4DCC"/>
    <w:rsid w:val="00105C32"/>
    <w:rsid w:val="0014639F"/>
    <w:rsid w:val="0015074B"/>
    <w:rsid w:val="00154C6A"/>
    <w:rsid w:val="002057A0"/>
    <w:rsid w:val="0029639D"/>
    <w:rsid w:val="002B57D7"/>
    <w:rsid w:val="002C7C13"/>
    <w:rsid w:val="002F6691"/>
    <w:rsid w:val="00326F90"/>
    <w:rsid w:val="00334A0A"/>
    <w:rsid w:val="00530E3C"/>
    <w:rsid w:val="0055433C"/>
    <w:rsid w:val="0059414B"/>
    <w:rsid w:val="005A1D9C"/>
    <w:rsid w:val="0060335D"/>
    <w:rsid w:val="0060769A"/>
    <w:rsid w:val="006719C6"/>
    <w:rsid w:val="00673E16"/>
    <w:rsid w:val="0074201B"/>
    <w:rsid w:val="007948F0"/>
    <w:rsid w:val="007C7247"/>
    <w:rsid w:val="008D242F"/>
    <w:rsid w:val="00935A73"/>
    <w:rsid w:val="009A6A84"/>
    <w:rsid w:val="009C6D04"/>
    <w:rsid w:val="00AA1D8D"/>
    <w:rsid w:val="00B47730"/>
    <w:rsid w:val="00B749C5"/>
    <w:rsid w:val="00B821F8"/>
    <w:rsid w:val="00B82AFC"/>
    <w:rsid w:val="00C24E63"/>
    <w:rsid w:val="00C307D9"/>
    <w:rsid w:val="00C817C5"/>
    <w:rsid w:val="00CB0664"/>
    <w:rsid w:val="00CD1125"/>
    <w:rsid w:val="00D90305"/>
    <w:rsid w:val="00DB4123"/>
    <w:rsid w:val="00DC6C1A"/>
    <w:rsid w:val="00E71485"/>
    <w:rsid w:val="00E86A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4A298BA"/>
  <w14:defaultImageDpi w14:val="300"/>
  <w15:docId w15:val="{8272D1C7-9D9A-4702-BDD2-96AC2A893F1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outlineLvl w:val="1"/>
    </w:pPr>
    <w:rPr>
      <w:rFonts w:asciiTheme="majorHAnsi" w:eastAsiaTheme="majorEastAsia" w:hAnsiTheme="majorHAnsi" w:cstheme="majorBidi"/>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2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7"/>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10"/>
      </w:numPr>
      <w:contextualSpacing/>
    </w:pPr>
  </w:style>
  <w:style w:type="paragraph" w:styleId="ListNumber">
    <w:name w:val="List Number"/>
    <w:basedOn w:val="Normal"/>
    <w:uiPriority w:val="99"/>
    <w:unhideWhenUsed/>
    <w:rsid w:val="00326F90"/>
    <w:pPr>
      <w:numPr>
        <w:numId w:val="9"/>
      </w:numPr>
      <w:contextualSpacing/>
    </w:pPr>
  </w:style>
  <w:style w:type="paragraph" w:styleId="ListNumber2">
    <w:name w:val="List Number 2"/>
    <w:basedOn w:val="Normal"/>
    <w:uiPriority w:val="99"/>
    <w:unhideWhenUsed/>
    <w:rsid w:val="0029639D"/>
    <w:pPr>
      <w:numPr>
        <w:numId w:val="1"/>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abel">
    <w:name w:val="Report Label"/>
    <w:pPr>
      <w:spacing w:after="60"/>
    </w:pPr>
    <w:rPr>
      <w:rFonts w:ascii="Aptos" w:hAnsi="Aptos"/>
      <w:b/>
      <w:color w:val="C69214"/>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bc68b0-7f3c-4577-b3f0-5291d71a0fa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461E8E4F7969D4C8BCB20B321513B3F" ma:contentTypeVersion="12" ma:contentTypeDescription="Create a new document." ma:contentTypeScope="" ma:versionID="02301ece707c47d55064c1462317e872">
  <xsd:schema xmlns:xsd="http://www.w3.org/2001/XMLSchema" xmlns:xs="http://www.w3.org/2001/XMLSchema" xmlns:p="http://schemas.microsoft.com/office/2006/metadata/properties" xmlns:ns2="6ebc68b0-7f3c-4577-b3f0-5291d71a0faf" targetNamespace="http://schemas.microsoft.com/office/2006/metadata/properties" ma:root="true" ma:fieldsID="c0ae8da7727f67fdcf1f40ff4ad57e3e" ns2:_="">
    <xsd:import namespace="6ebc68b0-7f3c-4577-b3f0-5291d71a0f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c68b0-7f3c-4577-b3f0-5291d71a0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fa00141d-80f0-4ca7-8ba9-0163cf3648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F9B45-7C18-4187-A2E3-4E48748C7278}">
  <ds:schemaRefs>
    <ds:schemaRef ds:uri="http://schemas.microsoft.com/office/2006/metadata/properties"/>
    <ds:schemaRef ds:uri="http://schemas.microsoft.com/office/infopath/2007/PartnerControls"/>
    <ds:schemaRef ds:uri="6ebc68b0-7f3c-4577-b3f0-5291d71a0faf"/>
  </ds:schemaRefs>
</ds:datastoreItem>
</file>

<file path=customXml/itemProps2.xml><?xml version="1.0" encoding="utf-8"?>
<ds:datastoreItem xmlns:ds="http://schemas.openxmlformats.org/officeDocument/2006/customXml" ds:itemID="{0C53C24E-E0D7-4C90-9FF9-7A3B8B456689}">
  <ds:schemaRefs>
    <ds:schemaRef ds:uri="http://schemas.microsoft.com/sharepoint/v3/contenttype/forms"/>
  </ds:schemaRefs>
</ds:datastoreItem>
</file>

<file path=customXml/itemProps3.xml><?xml version="1.0" encoding="utf-8"?>
<ds:datastoreItem xmlns:ds="http://schemas.openxmlformats.org/officeDocument/2006/customXml" ds:itemID="{506929C5-8A86-4852-95B8-A33C5FF2D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c68b0-7f3c-4577-b3f0-5291d71a0f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4763</Words>
  <Characters>27153</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Preliminary Comparison of Current and Proposed School Funding Models</vt:lpstr>
    </vt:vector>
  </TitlesOfParts>
  <Manager/>
  <Company/>
  <LinksUpToDate>false</LinksUpToDate>
  <CharactersWithSpaces>31853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Preliminary Comparison of Current and Proposed School Funding Models</dc:title>
  <dc:subject>Executive summary for the Secretary of Education and Cabinet</dc:subject>
  <dc:creator>DDOE Analytics</dc:creator>
  <cp:keywords>school funding, executive summary, Delaware, preliminary</cp:keywords>
  <dc:description>generated by python-docx</dc:description>
  <cp:lastModifiedBy>Faiello Matthew (Contractor)</cp:lastModifiedBy>
  <cp:revision>12</cp:revision>
  <dcterms:created xsi:type="dcterms:W3CDTF">2013-12-23T23:15:00Z</dcterms:created>
  <dcterms:modified xsi:type="dcterms:W3CDTF">2026-07-22T12:05:00Z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0x0101005461E8E4F7969D4C8BCB20B321513B3F</vt:lpwstr>
  </property>
  <property fmtid="{D5CDD505-2E9C-101B-9397-08002B2CF9AE}" pid="3" name="MediaServiceImageTags">
    <vt:lpwstr/>
  </property>
</Properties>
</file>