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664CC0" w14:textId="77777777" w:rsidR="00726538" w:rsidRPr="007F13D6" w:rsidRDefault="00954852" w:rsidP="00CE7AFC">
      <w:pPr>
        <w:spacing w:before="120" w:after="120" w:line="240" w:lineRule="auto"/>
        <w:jc w:val="center"/>
        <w:rPr>
          <w:rFonts w:ascii="Arial" w:hAnsi="Arial" w:cs="Arial"/>
        </w:rPr>
      </w:pPr>
      <w:r w:rsidRPr="007F13D6">
        <w:rPr>
          <w:rFonts w:ascii="Arial" w:hAnsi="Arial" w:cs="Arial"/>
          <w:b/>
          <w:color w:val="1F4E78"/>
          <w:sz w:val="54"/>
        </w:rPr>
        <w:t>Delaware School Funding Model</w:t>
      </w:r>
    </w:p>
    <w:p w14:paraId="729B542A" w14:textId="77777777" w:rsidR="00726538" w:rsidRPr="007F13D6" w:rsidRDefault="00954852" w:rsidP="00CE7AFC">
      <w:pPr>
        <w:spacing w:before="120" w:after="120" w:line="240" w:lineRule="auto"/>
        <w:jc w:val="center"/>
        <w:rPr>
          <w:rFonts w:ascii="Arial" w:hAnsi="Arial" w:cs="Arial"/>
        </w:rPr>
      </w:pPr>
      <w:r w:rsidRPr="007F13D6">
        <w:rPr>
          <w:rFonts w:ascii="Arial" w:hAnsi="Arial" w:cs="Arial"/>
          <w:b/>
          <w:color w:val="2F75B5"/>
          <w:sz w:val="40"/>
        </w:rPr>
        <w:t xml:space="preserve">Independent Verification and Validation </w:t>
      </w:r>
      <w:r w:rsidR="00F3343E" w:rsidRPr="007F13D6">
        <w:rPr>
          <w:rFonts w:ascii="Arial" w:hAnsi="Arial" w:cs="Arial"/>
          <w:b/>
          <w:color w:val="2F75B5"/>
          <w:sz w:val="40"/>
        </w:rPr>
        <w:t xml:space="preserve">Technical </w:t>
      </w:r>
      <w:r w:rsidRPr="007F13D6">
        <w:rPr>
          <w:rFonts w:ascii="Arial" w:hAnsi="Arial" w:cs="Arial"/>
          <w:b/>
          <w:color w:val="2F75B5"/>
          <w:sz w:val="40"/>
        </w:rPr>
        <w:t>Analysis</w:t>
      </w:r>
      <w:r w:rsidR="00F3343E" w:rsidRPr="007F13D6">
        <w:rPr>
          <w:rFonts w:ascii="Arial" w:hAnsi="Arial" w:cs="Arial"/>
          <w:b/>
          <w:color w:val="2F75B5"/>
          <w:sz w:val="40"/>
        </w:rPr>
        <w:t xml:space="preserve"> Summary</w:t>
      </w:r>
    </w:p>
    <w:p w14:paraId="4BF8B71C" w14:textId="77777777" w:rsidR="00726538" w:rsidRPr="007F13D6" w:rsidRDefault="00954852" w:rsidP="00CE7AFC">
      <w:pPr>
        <w:spacing w:before="120" w:after="120" w:line="240" w:lineRule="auto"/>
        <w:jc w:val="center"/>
        <w:rPr>
          <w:rFonts w:ascii="Arial" w:hAnsi="Arial" w:cs="Arial"/>
        </w:rPr>
      </w:pPr>
      <w:r w:rsidRPr="007F13D6">
        <w:rPr>
          <w:rFonts w:ascii="Arial" w:hAnsi="Arial" w:cs="Arial"/>
          <w:b/>
          <w:color w:val="2F6B67"/>
          <w:sz w:val="28"/>
        </w:rPr>
        <w:t>School Year 2025–26</w:t>
      </w:r>
    </w:p>
    <w:p w14:paraId="1F957DB9" w14:textId="77777777" w:rsidR="00726538" w:rsidRPr="007F13D6" w:rsidRDefault="00954852" w:rsidP="00CE7AFC">
      <w:pPr>
        <w:spacing w:before="120" w:after="120" w:line="240" w:lineRule="auto"/>
        <w:jc w:val="center"/>
        <w:rPr>
          <w:rFonts w:ascii="Arial" w:hAnsi="Arial" w:cs="Arial"/>
        </w:rPr>
      </w:pPr>
      <w:r w:rsidRPr="007F13D6">
        <w:rPr>
          <w:rFonts w:ascii="MS Gothic" w:eastAsia="MS Gothic" w:hAnsi="MS Gothic" w:cs="MS Gothic" w:hint="eastAsia"/>
          <w:color w:val="D6A84B"/>
        </w:rPr>
        <w:t>━━━━━━━━━━━━━━━━━━━━━━━━━━━━━━━━━━</w:t>
      </w:r>
    </w:p>
    <w:p w14:paraId="4504DFCC" w14:textId="43100915" w:rsidR="00726538" w:rsidRPr="007F13D6" w:rsidRDefault="00F3343E" w:rsidP="00CE7AFC">
      <w:pPr>
        <w:spacing w:before="120" w:after="120" w:line="240" w:lineRule="auto"/>
        <w:jc w:val="center"/>
        <w:rPr>
          <w:rFonts w:ascii="Arial" w:hAnsi="Arial" w:cs="Arial"/>
        </w:rPr>
      </w:pPr>
      <w:r w:rsidRPr="007F13D6">
        <w:rPr>
          <w:rFonts w:ascii="Arial" w:hAnsi="Arial" w:cs="Arial"/>
          <w:b/>
          <w:color w:val="4A4A4A"/>
          <w:sz w:val="22"/>
        </w:rPr>
        <w:t xml:space="preserve">August </w:t>
      </w:r>
      <w:r w:rsidR="00CE7AFC" w:rsidRPr="007F13D6">
        <w:rPr>
          <w:rFonts w:ascii="Arial" w:hAnsi="Arial" w:cs="Arial"/>
          <w:b/>
          <w:color w:val="4A4A4A"/>
          <w:sz w:val="22"/>
        </w:rPr>
        <w:t>13</w:t>
      </w:r>
      <w:r w:rsidRPr="007F13D6">
        <w:rPr>
          <w:rFonts w:ascii="Arial" w:hAnsi="Arial" w:cs="Arial"/>
          <w:b/>
          <w:color w:val="4A4A4A"/>
          <w:sz w:val="22"/>
        </w:rPr>
        <w:t>,</w:t>
      </w:r>
      <w:r w:rsidR="00954852" w:rsidRPr="007F13D6">
        <w:rPr>
          <w:rFonts w:ascii="Arial" w:hAnsi="Arial" w:cs="Arial"/>
          <w:b/>
          <w:color w:val="4A4A4A"/>
          <w:sz w:val="22"/>
        </w:rPr>
        <w:t xml:space="preserve"> 2026</w:t>
      </w:r>
    </w:p>
    <w:p w14:paraId="670A7AC9" w14:textId="77777777" w:rsidR="00F3343E" w:rsidRPr="007F13D6" w:rsidRDefault="00F3343E" w:rsidP="00CE7AFC">
      <w:pPr>
        <w:spacing w:before="120" w:after="120" w:line="240" w:lineRule="auto"/>
        <w:jc w:val="center"/>
        <w:rPr>
          <w:rFonts w:ascii="Arial" w:hAnsi="Arial" w:cs="Arial"/>
        </w:rPr>
      </w:pPr>
    </w:p>
    <w:tbl>
      <w:tblPr>
        <w:tblW w:w="0" w:type="auto"/>
        <w:jc w:val="center"/>
        <w:tblLook w:val="04A0" w:firstRow="1" w:lastRow="0" w:firstColumn="1" w:lastColumn="0" w:noHBand="0" w:noVBand="1"/>
      </w:tblPr>
      <w:tblGrid>
        <w:gridCol w:w="9216"/>
      </w:tblGrid>
      <w:tr w:rsidR="00726538" w:rsidRPr="007F13D6" w14:paraId="36C66B30" w14:textId="77777777" w:rsidTr="00CE7AFC">
        <w:trPr>
          <w:jc w:val="center"/>
        </w:trPr>
        <w:tc>
          <w:tcPr>
            <w:tcW w:w="9216" w:type="dxa"/>
            <w:tcBorders>
              <w:top w:val="single" w:sz="8" w:space="0" w:color="2F75B5"/>
              <w:left w:val="single" w:sz="8" w:space="0" w:color="2F75B5"/>
              <w:bottom w:val="single" w:sz="8" w:space="0" w:color="2F75B5"/>
              <w:right w:val="single" w:sz="8" w:space="0" w:color="2F75B5"/>
            </w:tcBorders>
            <w:shd w:val="clear" w:color="auto" w:fill="EAF3F8"/>
            <w:tcMar>
              <w:top w:w="110" w:type="dxa"/>
              <w:left w:w="140" w:type="dxa"/>
              <w:bottom w:w="110" w:type="dxa"/>
              <w:right w:w="140" w:type="dxa"/>
            </w:tcMar>
          </w:tcPr>
          <w:p w14:paraId="18155D85" w14:textId="77777777" w:rsidR="00C84FCC" w:rsidRPr="007F13D6" w:rsidRDefault="00954852" w:rsidP="00CE7AFC">
            <w:pPr>
              <w:spacing w:before="120" w:after="120" w:line="240" w:lineRule="auto"/>
              <w:rPr>
                <w:rFonts w:ascii="Arial" w:hAnsi="Arial" w:cs="Arial"/>
              </w:rPr>
            </w:pPr>
            <w:r w:rsidRPr="007F13D6">
              <w:rPr>
                <w:rFonts w:ascii="Arial" w:hAnsi="Arial" w:cs="Arial"/>
                <w:b/>
                <w:color w:val="1F4E78"/>
              </w:rPr>
              <w:t>Analytical status</w:t>
            </w:r>
          </w:p>
          <w:p w14:paraId="5F71BE62" w14:textId="5B953DD9" w:rsidR="00C84FCC" w:rsidRPr="007F13D6" w:rsidRDefault="00C84FCC" w:rsidP="00CE7AFC">
            <w:pPr>
              <w:spacing w:before="120" w:after="120" w:line="240" w:lineRule="auto"/>
              <w:rPr>
                <w:rFonts w:ascii="Arial" w:hAnsi="Arial" w:cs="Arial"/>
                <w:color w:val="000000"/>
                <w:sz w:val="19"/>
              </w:rPr>
            </w:pPr>
            <w:r w:rsidRPr="007F13D6">
              <w:rPr>
                <w:rFonts w:ascii="Arial" w:hAnsi="Arial" w:cs="Arial"/>
                <w:color w:val="000000"/>
                <w:sz w:val="19"/>
              </w:rPr>
              <w:t>The staffing analysis remains partly provisional, and confirmed current-model analogues for Opportunity and Operational Funding are not yet available. This report presents the IV&amp;V findings to date and should not be read as a final determination of net fiscal impact.</w:t>
            </w:r>
          </w:p>
          <w:p w14:paraId="29A19463" w14:textId="4186AA25" w:rsidR="00726538" w:rsidRPr="007F13D6" w:rsidRDefault="00C84FCC" w:rsidP="00CE7AFC">
            <w:pPr>
              <w:spacing w:before="120" w:after="120" w:line="240" w:lineRule="auto"/>
              <w:rPr>
                <w:rFonts w:ascii="Arial" w:hAnsi="Arial" w:cs="Arial"/>
                <w:color w:val="000000"/>
                <w:sz w:val="19"/>
              </w:rPr>
            </w:pPr>
            <w:r w:rsidRPr="007F13D6">
              <w:rPr>
                <w:rFonts w:ascii="Arial" w:hAnsi="Arial" w:cs="Arial"/>
                <w:color w:val="000000"/>
                <w:sz w:val="19"/>
              </w:rPr>
              <w:t xml:space="preserve">The analysis outputs, scripts, and supporting technical documentation are maintained in the </w:t>
            </w:r>
            <w:hyperlink r:id="rId11" w:history="1">
              <w:r w:rsidRPr="007F13D6">
                <w:rPr>
                  <w:rStyle w:val="Hyperlink"/>
                  <w:rFonts w:ascii="Arial" w:hAnsi="Arial" w:cs="Arial"/>
                  <w:sz w:val="19"/>
                </w:rPr>
                <w:t>School Funding Models GitHub repository</w:t>
              </w:r>
            </w:hyperlink>
            <w:r w:rsidRPr="007F13D6">
              <w:rPr>
                <w:rFonts w:ascii="Arial" w:hAnsi="Arial" w:cs="Arial"/>
                <w:color w:val="000000"/>
                <w:sz w:val="19"/>
              </w:rPr>
              <w:t>. Together, these materials provide the reproducible technical record underlying the findings presented in this report</w:t>
            </w:r>
            <w:r w:rsidR="00954852" w:rsidRPr="007F13D6">
              <w:rPr>
                <w:rFonts w:ascii="Arial" w:hAnsi="Arial" w:cs="Arial"/>
                <w:color w:val="000000"/>
                <w:sz w:val="19"/>
              </w:rPr>
              <w:t>.</w:t>
            </w:r>
          </w:p>
        </w:tc>
      </w:tr>
    </w:tbl>
    <w:p w14:paraId="750AE661" w14:textId="77777777" w:rsidR="00726538" w:rsidRPr="007F13D6" w:rsidRDefault="00954852" w:rsidP="00CE7AFC">
      <w:pPr>
        <w:spacing w:before="120" w:after="120" w:line="240" w:lineRule="auto"/>
        <w:rPr>
          <w:rFonts w:ascii="Arial" w:hAnsi="Arial" w:cs="Arial"/>
        </w:rPr>
      </w:pPr>
      <w:r w:rsidRPr="007F13D6">
        <w:rPr>
          <w:rFonts w:ascii="Arial" w:hAnsi="Arial" w:cs="Arial"/>
        </w:rPr>
        <w:br w:type="page"/>
      </w:r>
    </w:p>
    <w:p w14:paraId="3E34FE31" w14:textId="77777777" w:rsidR="002C2639" w:rsidRPr="007F13D6" w:rsidRDefault="002C2639" w:rsidP="00CE7AFC">
      <w:pPr>
        <w:spacing w:before="120" w:after="120" w:line="240" w:lineRule="auto"/>
        <w:rPr>
          <w:rFonts w:ascii="Arial" w:hAnsi="Arial" w:cs="Arial"/>
        </w:rPr>
      </w:pPr>
      <w:r w:rsidRPr="007F13D6">
        <w:rPr>
          <w:rFonts w:ascii="Arial" w:hAnsi="Arial" w:cs="Arial"/>
          <w:b/>
          <w:color w:val="1F4E78"/>
          <w:sz w:val="22"/>
        </w:rPr>
        <w:lastRenderedPageBreak/>
        <w:t>How to read the report</w:t>
      </w:r>
    </w:p>
    <w:p w14:paraId="12086775" w14:textId="77777777" w:rsidR="00257AAA" w:rsidRPr="007F13D6" w:rsidRDefault="00E9340D" w:rsidP="00CE7AFC">
      <w:pPr>
        <w:pStyle w:val="BodyText"/>
        <w:keepLines/>
        <w:spacing w:before="120" w:line="240" w:lineRule="auto"/>
        <w:rPr>
          <w:rFonts w:ascii="Arial" w:hAnsi="Arial" w:cs="Arial"/>
        </w:rPr>
      </w:pPr>
      <w:r w:rsidRPr="007F13D6">
        <w:rPr>
          <w:rFonts w:ascii="Arial" w:hAnsi="Arial" w:cs="Arial"/>
        </w:rPr>
        <w:t xml:space="preserve">The report is organized around the </w:t>
      </w:r>
      <w:r w:rsidR="00257AAA" w:rsidRPr="007F13D6">
        <w:rPr>
          <w:rFonts w:ascii="Arial" w:hAnsi="Arial" w:cs="Arial"/>
        </w:rPr>
        <w:t xml:space="preserve">guiding </w:t>
      </w:r>
      <w:r w:rsidRPr="007F13D6">
        <w:rPr>
          <w:rFonts w:ascii="Arial" w:hAnsi="Arial" w:cs="Arial"/>
        </w:rPr>
        <w:t xml:space="preserve">questions </w:t>
      </w:r>
      <w:r w:rsidR="00257AAA" w:rsidRPr="007F13D6">
        <w:rPr>
          <w:rFonts w:ascii="Arial" w:hAnsi="Arial" w:cs="Arial"/>
        </w:rPr>
        <w:t xml:space="preserve">of </w:t>
      </w:r>
      <w:r w:rsidRPr="007F13D6">
        <w:rPr>
          <w:rFonts w:ascii="Arial" w:hAnsi="Arial" w:cs="Arial"/>
        </w:rPr>
        <w:t xml:space="preserve">the IV&amp;V </w:t>
      </w:r>
      <w:r w:rsidR="00257AAA" w:rsidRPr="007F13D6">
        <w:rPr>
          <w:rFonts w:ascii="Arial" w:hAnsi="Arial" w:cs="Arial"/>
        </w:rPr>
        <w:t>process</w:t>
      </w:r>
      <w:r w:rsidRPr="007F13D6">
        <w:rPr>
          <w:rFonts w:ascii="Arial" w:hAnsi="Arial" w:cs="Arial"/>
        </w:rPr>
        <w:t xml:space="preserve">: </w:t>
      </w:r>
    </w:p>
    <w:p w14:paraId="6775BC2F" w14:textId="77777777" w:rsidR="00257AAA" w:rsidRPr="007F13D6" w:rsidRDefault="00257AAA" w:rsidP="00CE7AFC">
      <w:pPr>
        <w:pStyle w:val="BodyText"/>
        <w:keepLines/>
        <w:numPr>
          <w:ilvl w:val="0"/>
          <w:numId w:val="20"/>
        </w:numPr>
        <w:spacing w:before="120" w:line="240" w:lineRule="auto"/>
        <w:rPr>
          <w:rFonts w:ascii="Arial" w:hAnsi="Arial" w:cs="Arial"/>
        </w:rPr>
      </w:pPr>
      <w:r w:rsidRPr="007F13D6">
        <w:rPr>
          <w:rFonts w:ascii="Arial" w:hAnsi="Arial" w:cs="Arial"/>
        </w:rPr>
        <w:t>Which current funding rules are confirmed, provisional, or unresolved?</w:t>
      </w:r>
    </w:p>
    <w:p w14:paraId="2AC13842" w14:textId="2BB53427" w:rsidR="00257AAA" w:rsidRPr="007F13D6" w:rsidRDefault="00257AAA" w:rsidP="00CE7AFC">
      <w:pPr>
        <w:pStyle w:val="BodyText"/>
        <w:keepLines/>
        <w:numPr>
          <w:ilvl w:val="0"/>
          <w:numId w:val="20"/>
        </w:numPr>
        <w:spacing w:before="120" w:line="240" w:lineRule="auto"/>
        <w:rPr>
          <w:rFonts w:ascii="Arial" w:hAnsi="Arial" w:cs="Arial"/>
        </w:rPr>
      </w:pPr>
      <w:r w:rsidRPr="007F13D6">
        <w:rPr>
          <w:rFonts w:ascii="Arial" w:hAnsi="Arial" w:cs="Arial"/>
        </w:rPr>
        <w:t>W</w:t>
      </w:r>
      <w:r w:rsidR="00E9340D" w:rsidRPr="007F13D6">
        <w:rPr>
          <w:rFonts w:ascii="Arial" w:hAnsi="Arial" w:cs="Arial"/>
        </w:rPr>
        <w:t xml:space="preserve">hat </w:t>
      </w:r>
      <w:r w:rsidR="0008265B">
        <w:rPr>
          <w:rFonts w:ascii="Arial" w:hAnsi="Arial" w:cs="Arial"/>
        </w:rPr>
        <w:t xml:space="preserve">are the </w:t>
      </w:r>
      <w:r w:rsidR="00E9340D" w:rsidRPr="007F13D6">
        <w:rPr>
          <w:rFonts w:ascii="Arial" w:hAnsi="Arial" w:cs="Arial"/>
        </w:rPr>
        <w:t>changes under the proposed staffing rules</w:t>
      </w:r>
      <w:r w:rsidRPr="007F13D6">
        <w:rPr>
          <w:rFonts w:ascii="Arial" w:hAnsi="Arial" w:cs="Arial"/>
        </w:rPr>
        <w:t>?</w:t>
      </w:r>
    </w:p>
    <w:p w14:paraId="51980601" w14:textId="0CFF581B" w:rsidR="00257AAA" w:rsidRPr="007F13D6" w:rsidRDefault="00257AAA" w:rsidP="00CE7AFC">
      <w:pPr>
        <w:pStyle w:val="BodyText"/>
        <w:keepLines/>
        <w:numPr>
          <w:ilvl w:val="0"/>
          <w:numId w:val="20"/>
        </w:numPr>
        <w:spacing w:before="120" w:line="240" w:lineRule="auto"/>
        <w:rPr>
          <w:rFonts w:ascii="Arial" w:hAnsi="Arial" w:cs="Arial"/>
        </w:rPr>
      </w:pPr>
      <w:r w:rsidRPr="007F13D6">
        <w:rPr>
          <w:rFonts w:ascii="Arial" w:hAnsi="Arial" w:cs="Arial"/>
        </w:rPr>
        <w:t>H</w:t>
      </w:r>
      <w:r w:rsidR="00E9340D" w:rsidRPr="007F13D6">
        <w:rPr>
          <w:rFonts w:ascii="Arial" w:hAnsi="Arial" w:cs="Arial"/>
        </w:rPr>
        <w:t xml:space="preserve">ow </w:t>
      </w:r>
      <w:r w:rsidR="0098212F" w:rsidRPr="007F13D6">
        <w:rPr>
          <w:rFonts w:ascii="Arial" w:hAnsi="Arial" w:cs="Arial"/>
        </w:rPr>
        <w:t xml:space="preserve">do </w:t>
      </w:r>
      <w:r w:rsidR="00E9340D" w:rsidRPr="007F13D6">
        <w:rPr>
          <w:rFonts w:ascii="Arial" w:hAnsi="Arial" w:cs="Arial"/>
        </w:rPr>
        <w:t>the proposed weighted funding streams operate</w:t>
      </w:r>
      <w:r w:rsidRPr="007F13D6">
        <w:rPr>
          <w:rFonts w:ascii="Arial" w:hAnsi="Arial" w:cs="Arial"/>
        </w:rPr>
        <w:t>?</w:t>
      </w:r>
    </w:p>
    <w:p w14:paraId="263EB40B" w14:textId="4D57392E" w:rsidR="00257AAA" w:rsidRPr="007F13D6" w:rsidRDefault="00257AAA" w:rsidP="00CE7AFC">
      <w:pPr>
        <w:pStyle w:val="BodyText"/>
        <w:keepLines/>
        <w:numPr>
          <w:ilvl w:val="0"/>
          <w:numId w:val="20"/>
        </w:numPr>
        <w:spacing w:before="120" w:line="240" w:lineRule="auto"/>
        <w:rPr>
          <w:rFonts w:ascii="Arial" w:hAnsi="Arial" w:cs="Arial"/>
        </w:rPr>
      </w:pPr>
      <w:r w:rsidRPr="007F13D6">
        <w:rPr>
          <w:rFonts w:ascii="Arial" w:hAnsi="Arial" w:cs="Arial"/>
        </w:rPr>
        <w:t>H</w:t>
      </w:r>
      <w:r w:rsidR="00E9340D" w:rsidRPr="007F13D6">
        <w:rPr>
          <w:rFonts w:ascii="Arial" w:hAnsi="Arial" w:cs="Arial"/>
        </w:rPr>
        <w:t xml:space="preserve">ow </w:t>
      </w:r>
      <w:r w:rsidR="00D75F68">
        <w:rPr>
          <w:rFonts w:ascii="Arial" w:hAnsi="Arial" w:cs="Arial"/>
        </w:rPr>
        <w:t xml:space="preserve">does </w:t>
      </w:r>
      <w:r w:rsidR="00E9340D" w:rsidRPr="007F13D6">
        <w:rPr>
          <w:rFonts w:ascii="Arial" w:hAnsi="Arial" w:cs="Arial"/>
        </w:rPr>
        <w:t>the independent implementation compare with the PEFC workbook</w:t>
      </w:r>
      <w:r w:rsidRPr="007F13D6">
        <w:rPr>
          <w:rFonts w:ascii="Arial" w:hAnsi="Arial" w:cs="Arial"/>
        </w:rPr>
        <w:t>?</w:t>
      </w:r>
    </w:p>
    <w:p w14:paraId="4E8DD5E6" w14:textId="77777777" w:rsidR="00257AAA" w:rsidRPr="007F13D6" w:rsidRDefault="00257AAA" w:rsidP="00CE7AFC">
      <w:pPr>
        <w:pStyle w:val="BodyText"/>
        <w:keepLines/>
        <w:numPr>
          <w:ilvl w:val="0"/>
          <w:numId w:val="20"/>
        </w:numPr>
        <w:spacing w:before="120" w:line="240" w:lineRule="auto"/>
        <w:rPr>
          <w:rFonts w:ascii="Arial" w:hAnsi="Arial" w:cs="Arial"/>
        </w:rPr>
      </w:pPr>
      <w:r w:rsidRPr="007F13D6">
        <w:rPr>
          <w:rFonts w:ascii="Arial" w:hAnsi="Arial" w:cs="Arial"/>
        </w:rPr>
        <w:t>W</w:t>
      </w:r>
      <w:r w:rsidR="00E9340D" w:rsidRPr="007F13D6">
        <w:rPr>
          <w:rFonts w:ascii="Arial" w:hAnsi="Arial" w:cs="Arial"/>
        </w:rPr>
        <w:t>hat still requires confirmation</w:t>
      </w:r>
      <w:r w:rsidRPr="007F13D6">
        <w:rPr>
          <w:rFonts w:ascii="Arial" w:hAnsi="Arial" w:cs="Arial"/>
        </w:rPr>
        <w:t>?</w:t>
      </w:r>
    </w:p>
    <w:tbl>
      <w:tblPr>
        <w:tblW w:w="0" w:type="auto"/>
        <w:jc w:val="center"/>
        <w:tblLook w:val="04A0" w:firstRow="1" w:lastRow="0" w:firstColumn="1" w:lastColumn="0" w:noHBand="0" w:noVBand="1"/>
      </w:tblPr>
      <w:tblGrid>
        <w:gridCol w:w="9216"/>
      </w:tblGrid>
      <w:tr w:rsidR="002C2639" w:rsidRPr="007F13D6" w14:paraId="24E19911" w14:textId="77777777" w:rsidTr="00CE7AFC">
        <w:trPr>
          <w:jc w:val="center"/>
        </w:trPr>
        <w:tc>
          <w:tcPr>
            <w:tcW w:w="9216" w:type="dxa"/>
            <w:tcBorders>
              <w:top w:val="single" w:sz="8" w:space="0" w:color="B7B7B7"/>
              <w:left w:val="single" w:sz="8" w:space="0" w:color="B7B7B7"/>
              <w:bottom w:val="single" w:sz="8" w:space="0" w:color="B7B7B7"/>
              <w:right w:val="single" w:sz="8" w:space="0" w:color="B7B7B7"/>
            </w:tcBorders>
            <w:shd w:val="clear" w:color="auto" w:fill="F2F2F2"/>
            <w:tcMar>
              <w:top w:w="110" w:type="dxa"/>
              <w:left w:w="140" w:type="dxa"/>
              <w:bottom w:w="110" w:type="dxa"/>
              <w:right w:w="140" w:type="dxa"/>
            </w:tcMar>
          </w:tcPr>
          <w:p w14:paraId="3253B278" w14:textId="77777777" w:rsidR="002C2639" w:rsidRPr="007F13D6" w:rsidRDefault="002C2639" w:rsidP="00CE7AFC">
            <w:pPr>
              <w:spacing w:before="120" w:after="120" w:line="240" w:lineRule="auto"/>
              <w:rPr>
                <w:rFonts w:ascii="Arial" w:hAnsi="Arial" w:cs="Arial"/>
              </w:rPr>
            </w:pPr>
            <w:r w:rsidRPr="007F13D6">
              <w:rPr>
                <w:rFonts w:ascii="Arial" w:hAnsi="Arial" w:cs="Arial"/>
                <w:b/>
                <w:color w:val="1F4E78"/>
              </w:rPr>
              <w:t>Rounding</w:t>
            </w:r>
          </w:p>
          <w:p w14:paraId="4FF27E3C" w14:textId="77777777" w:rsidR="002C2639" w:rsidRPr="007F13D6" w:rsidRDefault="008E5506" w:rsidP="00CE7AFC">
            <w:pPr>
              <w:spacing w:before="120" w:after="120" w:line="240" w:lineRule="auto"/>
              <w:rPr>
                <w:rFonts w:ascii="Arial" w:hAnsi="Arial" w:cs="Arial"/>
              </w:rPr>
            </w:pPr>
            <w:r w:rsidRPr="007F13D6">
              <w:rPr>
                <w:rFonts w:ascii="Arial" w:hAnsi="Arial" w:cs="Arial"/>
                <w:color w:val="000000"/>
                <w:sz w:val="19"/>
              </w:rPr>
              <w:t>Dollar amounts in the narrative are generally rounded to the nearest $0.1 million. Position quantities are rounded for display where doing so improves readability. Pipeline calculations and technical reconciliation files retain full precision</w:t>
            </w:r>
            <w:r w:rsidR="002C2639" w:rsidRPr="007F13D6">
              <w:rPr>
                <w:rFonts w:ascii="Arial" w:hAnsi="Arial" w:cs="Arial"/>
                <w:color w:val="000000"/>
                <w:sz w:val="19"/>
              </w:rPr>
              <w:t>.</w:t>
            </w:r>
          </w:p>
        </w:tc>
      </w:tr>
    </w:tbl>
    <w:p w14:paraId="7DB9EFC6" w14:textId="77777777" w:rsidR="002C2639" w:rsidRPr="007F13D6" w:rsidRDefault="002C2639" w:rsidP="00CE7AFC">
      <w:pPr>
        <w:spacing w:before="120" w:after="120" w:line="240" w:lineRule="auto"/>
        <w:rPr>
          <w:rFonts w:ascii="Arial" w:hAnsi="Arial" w:cs="Arial"/>
        </w:rPr>
      </w:pPr>
    </w:p>
    <w:p w14:paraId="61306D86" w14:textId="77777777" w:rsidR="00257AAA" w:rsidRPr="007F13D6" w:rsidRDefault="00257AAA" w:rsidP="00CE7AFC">
      <w:pPr>
        <w:spacing w:before="120" w:after="120" w:line="240" w:lineRule="auto"/>
        <w:rPr>
          <w:rFonts w:ascii="Arial" w:hAnsi="Arial" w:cs="Arial"/>
        </w:rPr>
      </w:pPr>
    </w:p>
    <w:p w14:paraId="19E68B6B" w14:textId="77777777" w:rsidR="00257AAA" w:rsidRPr="007F13D6" w:rsidRDefault="00257AAA" w:rsidP="00CE7AFC">
      <w:pPr>
        <w:spacing w:before="120" w:after="120" w:line="240" w:lineRule="auto"/>
        <w:rPr>
          <w:rFonts w:ascii="Arial" w:hAnsi="Arial" w:cs="Arial"/>
        </w:rPr>
      </w:pPr>
    </w:p>
    <w:p w14:paraId="3C7F4444" w14:textId="77777777" w:rsidR="00257AAA" w:rsidRPr="007F13D6" w:rsidRDefault="00257AAA" w:rsidP="00CE7AFC">
      <w:pPr>
        <w:spacing w:before="120" w:after="120" w:line="240" w:lineRule="auto"/>
        <w:rPr>
          <w:rFonts w:ascii="Arial" w:hAnsi="Arial" w:cs="Arial"/>
        </w:rPr>
      </w:pPr>
    </w:p>
    <w:p w14:paraId="796AA79C" w14:textId="77777777" w:rsidR="00257AAA" w:rsidRPr="007F13D6" w:rsidRDefault="00257AAA" w:rsidP="00CE7AFC">
      <w:pPr>
        <w:spacing w:before="120" w:after="120" w:line="240" w:lineRule="auto"/>
        <w:rPr>
          <w:rFonts w:ascii="Arial" w:hAnsi="Arial" w:cs="Arial"/>
        </w:rPr>
      </w:pPr>
    </w:p>
    <w:p w14:paraId="0BAD13BF" w14:textId="77777777" w:rsidR="00257AAA" w:rsidRPr="007F13D6" w:rsidRDefault="00257AAA" w:rsidP="00CE7AFC">
      <w:pPr>
        <w:spacing w:before="120" w:after="120" w:line="240" w:lineRule="auto"/>
        <w:rPr>
          <w:rFonts w:ascii="Arial" w:hAnsi="Arial" w:cs="Arial"/>
        </w:rPr>
      </w:pPr>
    </w:p>
    <w:p w14:paraId="09DB3479" w14:textId="77777777" w:rsidR="00257AAA" w:rsidRPr="007F13D6" w:rsidRDefault="00257AAA" w:rsidP="00CE7AFC">
      <w:pPr>
        <w:spacing w:before="120" w:after="120" w:line="240" w:lineRule="auto"/>
        <w:rPr>
          <w:rFonts w:ascii="Arial" w:hAnsi="Arial" w:cs="Arial"/>
        </w:rPr>
      </w:pPr>
    </w:p>
    <w:p w14:paraId="3978AE45" w14:textId="77777777" w:rsidR="00257AAA" w:rsidRPr="007F13D6" w:rsidRDefault="00257AAA" w:rsidP="00CE7AFC">
      <w:pPr>
        <w:spacing w:before="120" w:after="120" w:line="240" w:lineRule="auto"/>
        <w:rPr>
          <w:rFonts w:ascii="Arial" w:hAnsi="Arial" w:cs="Arial"/>
        </w:rPr>
      </w:pPr>
    </w:p>
    <w:p w14:paraId="65C25C43" w14:textId="77777777" w:rsidR="00257AAA" w:rsidRPr="007F13D6" w:rsidRDefault="00257AAA" w:rsidP="00CE7AFC">
      <w:pPr>
        <w:spacing w:before="120" w:after="120" w:line="240" w:lineRule="auto"/>
        <w:rPr>
          <w:rFonts w:ascii="Arial" w:hAnsi="Arial" w:cs="Arial"/>
        </w:rPr>
      </w:pPr>
    </w:p>
    <w:p w14:paraId="6C5A7651" w14:textId="77777777" w:rsidR="00257AAA" w:rsidRPr="007F13D6" w:rsidRDefault="00257AAA" w:rsidP="00CE7AFC">
      <w:pPr>
        <w:spacing w:before="120" w:after="120" w:line="240" w:lineRule="auto"/>
        <w:rPr>
          <w:rFonts w:ascii="Arial" w:hAnsi="Arial" w:cs="Arial"/>
        </w:rPr>
      </w:pPr>
    </w:p>
    <w:p w14:paraId="6579E48E" w14:textId="77777777" w:rsidR="00257AAA" w:rsidRPr="007F13D6" w:rsidRDefault="00257AAA" w:rsidP="00CE7AFC">
      <w:pPr>
        <w:spacing w:before="120" w:after="120" w:line="240" w:lineRule="auto"/>
        <w:rPr>
          <w:rFonts w:ascii="Arial" w:hAnsi="Arial" w:cs="Arial"/>
        </w:rPr>
      </w:pPr>
    </w:p>
    <w:p w14:paraId="1042016B" w14:textId="77777777" w:rsidR="00257AAA" w:rsidRPr="007F13D6" w:rsidRDefault="00257AAA" w:rsidP="00CE7AFC">
      <w:pPr>
        <w:spacing w:before="120" w:after="120" w:line="240" w:lineRule="auto"/>
        <w:rPr>
          <w:rFonts w:ascii="Arial" w:hAnsi="Arial" w:cs="Arial"/>
        </w:rPr>
      </w:pPr>
    </w:p>
    <w:p w14:paraId="4F3D1394" w14:textId="77777777" w:rsidR="00257AAA" w:rsidRPr="007F13D6" w:rsidRDefault="00257AAA" w:rsidP="00CE7AFC">
      <w:pPr>
        <w:spacing w:before="120" w:after="120" w:line="240" w:lineRule="auto"/>
        <w:rPr>
          <w:rFonts w:ascii="Arial" w:hAnsi="Arial" w:cs="Arial"/>
        </w:rPr>
      </w:pPr>
    </w:p>
    <w:p w14:paraId="7524E6F6" w14:textId="77777777" w:rsidR="00257AAA" w:rsidRPr="007F13D6" w:rsidRDefault="00257AAA" w:rsidP="00CE7AFC">
      <w:pPr>
        <w:spacing w:before="120" w:after="120" w:line="240" w:lineRule="auto"/>
        <w:rPr>
          <w:rFonts w:ascii="Arial" w:hAnsi="Arial" w:cs="Arial"/>
        </w:rPr>
      </w:pPr>
    </w:p>
    <w:p w14:paraId="23BD4F2C" w14:textId="77777777" w:rsidR="00257AAA" w:rsidRPr="007F13D6" w:rsidRDefault="00257AAA" w:rsidP="00CE7AFC">
      <w:pPr>
        <w:spacing w:before="120" w:after="120" w:line="240" w:lineRule="auto"/>
        <w:rPr>
          <w:rFonts w:ascii="Arial" w:hAnsi="Arial" w:cs="Arial"/>
        </w:rPr>
      </w:pPr>
    </w:p>
    <w:p w14:paraId="309322BA" w14:textId="77777777" w:rsidR="00257AAA" w:rsidRPr="007F13D6" w:rsidRDefault="00257AAA" w:rsidP="00CE7AFC">
      <w:pPr>
        <w:spacing w:before="120" w:after="120" w:line="240" w:lineRule="auto"/>
        <w:rPr>
          <w:rFonts w:ascii="Arial" w:hAnsi="Arial" w:cs="Arial"/>
        </w:rPr>
      </w:pPr>
    </w:p>
    <w:p w14:paraId="17A807F3" w14:textId="77777777" w:rsidR="00257AAA" w:rsidRPr="007F13D6" w:rsidRDefault="00257AAA" w:rsidP="00CE7AFC">
      <w:pPr>
        <w:spacing w:before="120" w:after="120" w:line="240" w:lineRule="auto"/>
        <w:rPr>
          <w:rFonts w:ascii="Arial" w:hAnsi="Arial" w:cs="Arial"/>
        </w:rPr>
      </w:pPr>
    </w:p>
    <w:p w14:paraId="2445A89B" w14:textId="77777777" w:rsidR="007E572D" w:rsidRPr="007F13D6" w:rsidRDefault="007E572D" w:rsidP="00CE7AFC">
      <w:pPr>
        <w:spacing w:before="120" w:after="120" w:line="240" w:lineRule="auto"/>
        <w:rPr>
          <w:rFonts w:ascii="Arial" w:hAnsi="Arial" w:cs="Arial"/>
        </w:rPr>
      </w:pPr>
    </w:p>
    <w:p w14:paraId="1F62060C" w14:textId="77777777" w:rsidR="00257AAA" w:rsidRPr="007F13D6" w:rsidRDefault="00257AAA" w:rsidP="00CE7AFC">
      <w:pPr>
        <w:spacing w:before="120" w:after="120" w:line="240" w:lineRule="auto"/>
        <w:rPr>
          <w:rFonts w:ascii="Arial" w:hAnsi="Arial" w:cs="Arial"/>
        </w:rPr>
      </w:pPr>
    </w:p>
    <w:p w14:paraId="0E8EB5A2" w14:textId="77777777" w:rsidR="00257AAA" w:rsidRPr="007F13D6" w:rsidRDefault="00257AAA" w:rsidP="00CE7AFC">
      <w:pPr>
        <w:spacing w:before="120" w:after="120" w:line="240" w:lineRule="auto"/>
        <w:rPr>
          <w:rFonts w:ascii="Arial" w:hAnsi="Arial" w:cs="Arial"/>
        </w:rPr>
      </w:pPr>
    </w:p>
    <w:p w14:paraId="13DAAEF8" w14:textId="77777777" w:rsidR="00257AAA" w:rsidRPr="007F13D6" w:rsidRDefault="00257AAA" w:rsidP="00CE7AFC">
      <w:pPr>
        <w:spacing w:before="120" w:after="120" w:line="240" w:lineRule="auto"/>
        <w:rPr>
          <w:rFonts w:ascii="Arial" w:hAnsi="Arial" w:cs="Arial"/>
        </w:rPr>
      </w:pPr>
    </w:p>
    <w:p w14:paraId="47770C87" w14:textId="77777777" w:rsidR="00257AAA" w:rsidRPr="007F13D6" w:rsidRDefault="00257AAA" w:rsidP="00CE7AFC">
      <w:pPr>
        <w:spacing w:before="120" w:after="120" w:line="240" w:lineRule="auto"/>
        <w:rPr>
          <w:rFonts w:ascii="Arial" w:hAnsi="Arial" w:cs="Arial"/>
        </w:rPr>
      </w:pPr>
    </w:p>
    <w:p w14:paraId="3D2865DE" w14:textId="77777777" w:rsidR="00257AAA" w:rsidRPr="007F13D6" w:rsidRDefault="00257AAA" w:rsidP="00CE7AFC">
      <w:pPr>
        <w:spacing w:before="120" w:after="120" w:line="240" w:lineRule="auto"/>
        <w:rPr>
          <w:rFonts w:ascii="Arial" w:hAnsi="Arial" w:cs="Arial"/>
        </w:rPr>
      </w:pPr>
    </w:p>
    <w:p w14:paraId="51D8D2C9" w14:textId="77777777" w:rsidR="00257AAA" w:rsidRPr="007F13D6" w:rsidRDefault="00257AAA" w:rsidP="00CE7AFC">
      <w:pPr>
        <w:spacing w:before="120" w:after="120" w:line="240" w:lineRule="auto"/>
        <w:rPr>
          <w:rFonts w:ascii="Arial" w:hAnsi="Arial" w:cs="Arial"/>
        </w:rPr>
      </w:pPr>
    </w:p>
    <w:sdt>
      <w:sdtPr>
        <w:rPr>
          <w:rFonts w:ascii="Arial" w:eastAsia="Carlito" w:hAnsi="Arial" w:cs="Arial"/>
          <w:b w:val="0"/>
          <w:bCs w:val="0"/>
          <w:color w:val="auto"/>
          <w:sz w:val="20"/>
          <w:szCs w:val="36"/>
        </w:rPr>
        <w:id w:val="-1998723415"/>
        <w:docPartObj>
          <w:docPartGallery w:val="Table of Contents"/>
          <w:docPartUnique/>
        </w:docPartObj>
      </w:sdtPr>
      <w:sdtEndPr>
        <w:rPr>
          <w:noProof/>
          <w:szCs w:val="20"/>
        </w:rPr>
      </w:sdtEndPr>
      <w:sdtContent>
        <w:p w14:paraId="061B3A65" w14:textId="77777777" w:rsidR="0089770D" w:rsidRPr="007F13D6" w:rsidRDefault="0089770D" w:rsidP="00CE7AFC">
          <w:pPr>
            <w:pStyle w:val="TOCHeading"/>
            <w:spacing w:before="120" w:after="120" w:line="240" w:lineRule="auto"/>
            <w:rPr>
              <w:rFonts w:ascii="Arial" w:hAnsi="Arial" w:cs="Arial"/>
              <w:szCs w:val="36"/>
            </w:rPr>
          </w:pPr>
          <w:r w:rsidRPr="007F13D6">
            <w:rPr>
              <w:rFonts w:ascii="Arial" w:hAnsi="Arial" w:cs="Arial"/>
              <w:szCs w:val="36"/>
            </w:rPr>
            <w:t>Table of Contents</w:t>
          </w:r>
        </w:p>
        <w:p w14:paraId="07114877" w14:textId="5119FCBF" w:rsidR="007F13D6" w:rsidRPr="00DE52F8" w:rsidRDefault="0089770D">
          <w:pPr>
            <w:pStyle w:val="TOC1"/>
            <w:tabs>
              <w:tab w:val="right" w:leader="dot" w:pos="9350"/>
            </w:tabs>
            <w:rPr>
              <w:rFonts w:ascii="Arial" w:eastAsiaTheme="minorEastAsia" w:hAnsi="Arial" w:cs="Arial"/>
              <w:b w:val="0"/>
              <w:bCs w:val="0"/>
              <w:i w:val="0"/>
              <w:iCs w:val="0"/>
              <w:noProof/>
              <w:kern w:val="2"/>
              <w14:ligatures w14:val="standardContextual"/>
            </w:rPr>
          </w:pPr>
          <w:r w:rsidRPr="00DE52F8">
            <w:rPr>
              <w:rFonts w:ascii="Arial" w:hAnsi="Arial" w:cs="Arial"/>
              <w:b w:val="0"/>
              <w:bCs w:val="0"/>
              <w:i w:val="0"/>
              <w:iCs w:val="0"/>
              <w:sz w:val="20"/>
              <w:szCs w:val="20"/>
            </w:rPr>
            <w:fldChar w:fldCharType="begin"/>
          </w:r>
          <w:r w:rsidRPr="00DE52F8">
            <w:rPr>
              <w:rFonts w:ascii="Arial" w:hAnsi="Arial" w:cs="Arial"/>
              <w:b w:val="0"/>
              <w:bCs w:val="0"/>
              <w:i w:val="0"/>
              <w:iCs w:val="0"/>
              <w:sz w:val="20"/>
              <w:szCs w:val="20"/>
            </w:rPr>
            <w:instrText xml:space="preserve"> TOC \o "1-3" \h \z \u </w:instrText>
          </w:r>
          <w:r w:rsidRPr="00DE52F8">
            <w:rPr>
              <w:rFonts w:ascii="Arial" w:hAnsi="Arial" w:cs="Arial"/>
              <w:b w:val="0"/>
              <w:bCs w:val="0"/>
              <w:i w:val="0"/>
              <w:iCs w:val="0"/>
              <w:sz w:val="20"/>
              <w:szCs w:val="20"/>
            </w:rPr>
            <w:fldChar w:fldCharType="separate"/>
          </w:r>
          <w:hyperlink w:anchor="_Toc237512535" w:history="1">
            <w:r w:rsidR="007F13D6" w:rsidRPr="00DE52F8">
              <w:rPr>
                <w:rStyle w:val="Hyperlink"/>
                <w:rFonts w:ascii="Arial" w:hAnsi="Arial" w:cs="Arial"/>
                <w:b w:val="0"/>
                <w:bCs w:val="0"/>
                <w:i w:val="0"/>
                <w:iCs w:val="0"/>
                <w:noProof/>
                <w:color w:val="auto"/>
              </w:rPr>
              <w:t>Executive Summary</w:t>
            </w:r>
            <w:r w:rsidR="007F13D6" w:rsidRPr="00DE52F8">
              <w:rPr>
                <w:rFonts w:ascii="Arial" w:hAnsi="Arial" w:cs="Arial"/>
                <w:b w:val="0"/>
                <w:bCs w:val="0"/>
                <w:i w:val="0"/>
                <w:iCs w:val="0"/>
                <w:noProof/>
                <w:webHidden/>
              </w:rPr>
              <w:tab/>
            </w:r>
            <w:r w:rsidR="007F13D6" w:rsidRPr="00DE52F8">
              <w:rPr>
                <w:rFonts w:ascii="Arial" w:hAnsi="Arial" w:cs="Arial"/>
                <w:b w:val="0"/>
                <w:bCs w:val="0"/>
                <w:i w:val="0"/>
                <w:iCs w:val="0"/>
                <w:noProof/>
                <w:webHidden/>
              </w:rPr>
              <w:fldChar w:fldCharType="begin"/>
            </w:r>
            <w:r w:rsidR="007F13D6" w:rsidRPr="00DE52F8">
              <w:rPr>
                <w:rFonts w:ascii="Arial" w:hAnsi="Arial" w:cs="Arial"/>
                <w:b w:val="0"/>
                <w:bCs w:val="0"/>
                <w:i w:val="0"/>
                <w:iCs w:val="0"/>
                <w:noProof/>
                <w:webHidden/>
              </w:rPr>
              <w:instrText xml:space="preserve"> PAGEREF _Toc237512535 \h </w:instrText>
            </w:r>
            <w:r w:rsidR="007F13D6" w:rsidRPr="00DE52F8">
              <w:rPr>
                <w:rFonts w:ascii="Arial" w:hAnsi="Arial" w:cs="Arial"/>
                <w:b w:val="0"/>
                <w:bCs w:val="0"/>
                <w:i w:val="0"/>
                <w:iCs w:val="0"/>
                <w:noProof/>
                <w:webHidden/>
              </w:rPr>
            </w:r>
            <w:r w:rsidR="007F13D6" w:rsidRPr="00DE52F8">
              <w:rPr>
                <w:rFonts w:ascii="Arial" w:hAnsi="Arial" w:cs="Arial"/>
                <w:b w:val="0"/>
                <w:bCs w:val="0"/>
                <w:i w:val="0"/>
                <w:iCs w:val="0"/>
                <w:noProof/>
                <w:webHidden/>
              </w:rPr>
              <w:fldChar w:fldCharType="separate"/>
            </w:r>
            <w:r w:rsidR="00A578DF">
              <w:rPr>
                <w:rFonts w:ascii="Arial" w:hAnsi="Arial" w:cs="Arial"/>
                <w:b w:val="0"/>
                <w:bCs w:val="0"/>
                <w:i w:val="0"/>
                <w:iCs w:val="0"/>
                <w:noProof/>
                <w:webHidden/>
              </w:rPr>
              <w:t>5</w:t>
            </w:r>
            <w:r w:rsidR="007F13D6" w:rsidRPr="00DE52F8">
              <w:rPr>
                <w:rFonts w:ascii="Arial" w:hAnsi="Arial" w:cs="Arial"/>
                <w:b w:val="0"/>
                <w:bCs w:val="0"/>
                <w:i w:val="0"/>
                <w:iCs w:val="0"/>
                <w:noProof/>
                <w:webHidden/>
              </w:rPr>
              <w:fldChar w:fldCharType="end"/>
            </w:r>
          </w:hyperlink>
        </w:p>
        <w:p w14:paraId="3D15BE1E" w14:textId="01307804"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36" w:history="1">
            <w:r w:rsidRPr="00DE52F8">
              <w:rPr>
                <w:rStyle w:val="Hyperlink"/>
                <w:rFonts w:ascii="Arial" w:hAnsi="Arial" w:cs="Arial"/>
                <w:b w:val="0"/>
                <w:bCs w:val="0"/>
                <w:noProof/>
                <w:color w:val="auto"/>
              </w:rPr>
              <w:t>Staffing funding increases but core teaching is essentially unchanged</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_Toc237512536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5</w:t>
            </w:r>
            <w:r w:rsidRPr="00DE52F8">
              <w:rPr>
                <w:rFonts w:ascii="Arial" w:hAnsi="Arial" w:cs="Arial"/>
                <w:b w:val="0"/>
                <w:bCs w:val="0"/>
                <w:noProof/>
                <w:webHidden/>
              </w:rPr>
              <w:fldChar w:fldCharType="end"/>
            </w:r>
          </w:hyperlink>
        </w:p>
        <w:p w14:paraId="062B6A48" w14:textId="25472EEA"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37" w:history="1">
            <w:r w:rsidRPr="00DE52F8">
              <w:rPr>
                <w:rStyle w:val="Hyperlink"/>
                <w:rFonts w:ascii="Arial" w:hAnsi="Arial" w:cs="Arial"/>
                <w:b w:val="0"/>
                <w:bCs w:val="0"/>
                <w:noProof/>
                <w:color w:val="auto"/>
              </w:rPr>
              <w:t>The proposal separately distributes $442.0 million through weighted funding</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_Toc237512537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6</w:t>
            </w:r>
            <w:r w:rsidRPr="00DE52F8">
              <w:rPr>
                <w:rFonts w:ascii="Arial" w:hAnsi="Arial" w:cs="Arial"/>
                <w:b w:val="0"/>
                <w:bCs w:val="0"/>
                <w:noProof/>
                <w:webHidden/>
              </w:rPr>
              <w:fldChar w:fldCharType="end"/>
            </w:r>
          </w:hyperlink>
        </w:p>
        <w:p w14:paraId="4A98F66A" w14:textId="3B52E034"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38" w:history="1">
            <w:r w:rsidRPr="00DE52F8">
              <w:rPr>
                <w:rStyle w:val="Hyperlink"/>
                <w:rFonts w:ascii="Arial" w:hAnsi="Arial" w:cs="Arial"/>
                <w:b w:val="0"/>
                <w:bCs w:val="0"/>
                <w:noProof/>
                <w:color w:val="auto"/>
              </w:rPr>
              <w:t>The IV&amp;V independently reproduces the PEFC proposed model</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_Toc237512538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7</w:t>
            </w:r>
            <w:r w:rsidRPr="00DE52F8">
              <w:rPr>
                <w:rFonts w:ascii="Arial" w:hAnsi="Arial" w:cs="Arial"/>
                <w:b w:val="0"/>
                <w:bCs w:val="0"/>
                <w:noProof/>
                <w:webHidden/>
              </w:rPr>
              <w:fldChar w:fldCharType="end"/>
            </w:r>
          </w:hyperlink>
        </w:p>
        <w:p w14:paraId="69322B6E" w14:textId="65B468A1"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39" w:history="1">
            <w:r w:rsidRPr="00DE52F8">
              <w:rPr>
                <w:rStyle w:val="Hyperlink"/>
                <w:rFonts w:ascii="Arial" w:hAnsi="Arial" w:cs="Arial"/>
                <w:b w:val="0"/>
                <w:bCs w:val="0"/>
                <w:noProof/>
                <w:color w:val="auto"/>
              </w:rPr>
              <w:t>What is still needed before a final fiscal impact can be estimated?</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_Toc237512539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7</w:t>
            </w:r>
            <w:r w:rsidRPr="00DE52F8">
              <w:rPr>
                <w:rFonts w:ascii="Arial" w:hAnsi="Arial" w:cs="Arial"/>
                <w:b w:val="0"/>
                <w:bCs w:val="0"/>
                <w:noProof/>
                <w:webHidden/>
              </w:rPr>
              <w:fldChar w:fldCharType="end"/>
            </w:r>
          </w:hyperlink>
        </w:p>
        <w:p w14:paraId="44B8FC85" w14:textId="1B0E7FCA" w:rsidR="007F13D6" w:rsidRPr="00DE52F8" w:rsidRDefault="007F13D6">
          <w:pPr>
            <w:pStyle w:val="TOC1"/>
            <w:tabs>
              <w:tab w:val="right" w:leader="dot" w:pos="9350"/>
            </w:tabs>
            <w:rPr>
              <w:rFonts w:ascii="Arial" w:eastAsiaTheme="minorEastAsia" w:hAnsi="Arial" w:cs="Arial"/>
              <w:b w:val="0"/>
              <w:bCs w:val="0"/>
              <w:i w:val="0"/>
              <w:iCs w:val="0"/>
              <w:noProof/>
              <w:kern w:val="2"/>
              <w14:ligatures w14:val="standardContextual"/>
            </w:rPr>
          </w:pPr>
          <w:hyperlink w:anchor="_Toc237512540" w:history="1">
            <w:r w:rsidRPr="00DE52F8">
              <w:rPr>
                <w:rStyle w:val="Hyperlink"/>
                <w:rFonts w:ascii="Arial" w:hAnsi="Arial" w:cs="Arial"/>
                <w:b w:val="0"/>
                <w:bCs w:val="0"/>
                <w:i w:val="0"/>
                <w:iCs w:val="0"/>
                <w:noProof/>
                <w:color w:val="auto"/>
              </w:rPr>
              <w:t>1. Current Funding Rules, Proposed Treatments, and Evidence Status</w:t>
            </w:r>
            <w:r w:rsidRPr="00DE52F8">
              <w:rPr>
                <w:rFonts w:ascii="Arial" w:hAnsi="Arial" w:cs="Arial"/>
                <w:b w:val="0"/>
                <w:bCs w:val="0"/>
                <w:i w:val="0"/>
                <w:iCs w:val="0"/>
                <w:noProof/>
                <w:webHidden/>
              </w:rPr>
              <w:tab/>
            </w:r>
            <w:r w:rsidRPr="00DE52F8">
              <w:rPr>
                <w:rFonts w:ascii="Arial" w:hAnsi="Arial" w:cs="Arial"/>
                <w:b w:val="0"/>
                <w:bCs w:val="0"/>
                <w:i w:val="0"/>
                <w:iCs w:val="0"/>
                <w:noProof/>
                <w:webHidden/>
              </w:rPr>
              <w:fldChar w:fldCharType="begin"/>
            </w:r>
            <w:r w:rsidRPr="00DE52F8">
              <w:rPr>
                <w:rFonts w:ascii="Arial" w:hAnsi="Arial" w:cs="Arial"/>
                <w:b w:val="0"/>
                <w:bCs w:val="0"/>
                <w:i w:val="0"/>
                <w:iCs w:val="0"/>
                <w:noProof/>
                <w:webHidden/>
              </w:rPr>
              <w:instrText xml:space="preserve"> PAGEREF _Toc237512540 \h </w:instrText>
            </w:r>
            <w:r w:rsidRPr="00DE52F8">
              <w:rPr>
                <w:rFonts w:ascii="Arial" w:hAnsi="Arial" w:cs="Arial"/>
                <w:b w:val="0"/>
                <w:bCs w:val="0"/>
                <w:i w:val="0"/>
                <w:iCs w:val="0"/>
                <w:noProof/>
                <w:webHidden/>
              </w:rPr>
            </w:r>
            <w:r w:rsidRPr="00DE52F8">
              <w:rPr>
                <w:rFonts w:ascii="Arial" w:hAnsi="Arial" w:cs="Arial"/>
                <w:b w:val="0"/>
                <w:bCs w:val="0"/>
                <w:i w:val="0"/>
                <w:iCs w:val="0"/>
                <w:noProof/>
                <w:webHidden/>
              </w:rPr>
              <w:fldChar w:fldCharType="separate"/>
            </w:r>
            <w:r w:rsidR="00A578DF">
              <w:rPr>
                <w:rFonts w:ascii="Arial" w:hAnsi="Arial" w:cs="Arial"/>
                <w:b w:val="0"/>
                <w:bCs w:val="0"/>
                <w:i w:val="0"/>
                <w:iCs w:val="0"/>
                <w:noProof/>
                <w:webHidden/>
              </w:rPr>
              <w:t>9</w:t>
            </w:r>
            <w:r w:rsidRPr="00DE52F8">
              <w:rPr>
                <w:rFonts w:ascii="Arial" w:hAnsi="Arial" w:cs="Arial"/>
                <w:b w:val="0"/>
                <w:bCs w:val="0"/>
                <w:i w:val="0"/>
                <w:iCs w:val="0"/>
                <w:noProof/>
                <w:webHidden/>
              </w:rPr>
              <w:fldChar w:fldCharType="end"/>
            </w:r>
          </w:hyperlink>
        </w:p>
        <w:p w14:paraId="07BC40D4" w14:textId="101FFD2E"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41" w:history="1">
            <w:r w:rsidRPr="00DE52F8">
              <w:rPr>
                <w:rStyle w:val="Hyperlink"/>
                <w:rFonts w:ascii="Arial" w:hAnsi="Arial" w:cs="Arial"/>
                <w:b w:val="0"/>
                <w:bCs w:val="0"/>
                <w:noProof/>
                <w:color w:val="auto"/>
              </w:rPr>
              <w:t>1.1 How to interpret the rule inventory</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_Toc237512541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9</w:t>
            </w:r>
            <w:r w:rsidRPr="00DE52F8">
              <w:rPr>
                <w:rFonts w:ascii="Arial" w:hAnsi="Arial" w:cs="Arial"/>
                <w:b w:val="0"/>
                <w:bCs w:val="0"/>
                <w:noProof/>
                <w:webHidden/>
              </w:rPr>
              <w:fldChar w:fldCharType="end"/>
            </w:r>
          </w:hyperlink>
        </w:p>
        <w:p w14:paraId="5C0FB591" w14:textId="64E511E2"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42" w:history="1">
            <w:r w:rsidRPr="00DE52F8">
              <w:rPr>
                <w:rStyle w:val="Hyperlink"/>
                <w:rFonts w:ascii="Arial" w:hAnsi="Arial" w:cs="Arial"/>
                <w:b w:val="0"/>
                <w:bCs w:val="0"/>
                <w:noProof/>
                <w:color w:val="auto"/>
              </w:rPr>
              <w:t>1.2 Division I teaching units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_Toc237512542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9</w:t>
            </w:r>
            <w:r w:rsidRPr="00DE52F8">
              <w:rPr>
                <w:rFonts w:ascii="Arial" w:hAnsi="Arial" w:cs="Arial"/>
                <w:b w:val="0"/>
                <w:bCs w:val="0"/>
                <w:noProof/>
                <w:webHidden/>
              </w:rPr>
              <w:fldChar w:fldCharType="end"/>
            </w:r>
          </w:hyperlink>
        </w:p>
        <w:p w14:paraId="61B5707D" w14:textId="6FB7B7D7"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43" w:history="1">
            <w:r w:rsidRPr="00DE52F8">
              <w:rPr>
                <w:rStyle w:val="Hyperlink"/>
                <w:rFonts w:ascii="Arial" w:hAnsi="Arial" w:cs="Arial"/>
                <w:b w:val="0"/>
                <w:bCs w:val="0"/>
                <w:noProof/>
                <w:color w:val="auto"/>
              </w:rPr>
              <w:t>1.3 School-level staffing positions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_Toc237512543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10</w:t>
            </w:r>
            <w:r w:rsidRPr="00DE52F8">
              <w:rPr>
                <w:rFonts w:ascii="Arial" w:hAnsi="Arial" w:cs="Arial"/>
                <w:b w:val="0"/>
                <w:bCs w:val="0"/>
                <w:noProof/>
                <w:webHidden/>
              </w:rPr>
              <w:fldChar w:fldCharType="end"/>
            </w:r>
          </w:hyperlink>
        </w:p>
        <w:p w14:paraId="08A94C12" w14:textId="10838E3B"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44" w:history="1">
            <w:r w:rsidRPr="00DE52F8">
              <w:rPr>
                <w:rStyle w:val="Hyperlink"/>
                <w:rFonts w:ascii="Arial" w:hAnsi="Arial" w:cs="Arial"/>
                <w:b w:val="0"/>
                <w:bCs w:val="0"/>
                <w:noProof/>
                <w:color w:val="auto"/>
              </w:rPr>
              <w:t>1.4 LEA and Central Office positions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_Toc237512544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10</w:t>
            </w:r>
            <w:r w:rsidRPr="00DE52F8">
              <w:rPr>
                <w:rFonts w:ascii="Arial" w:hAnsi="Arial" w:cs="Arial"/>
                <w:b w:val="0"/>
                <w:bCs w:val="0"/>
                <w:noProof/>
                <w:webHidden/>
              </w:rPr>
              <w:fldChar w:fldCharType="end"/>
            </w:r>
          </w:hyperlink>
        </w:p>
        <w:p w14:paraId="61D80E27" w14:textId="2C1E2DA6"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45" w:history="1">
            <w:r w:rsidRPr="00DE52F8">
              <w:rPr>
                <w:rStyle w:val="Hyperlink"/>
                <w:rFonts w:ascii="Arial" w:hAnsi="Arial" w:cs="Arial"/>
                <w:b w:val="0"/>
                <w:bCs w:val="0"/>
                <w:noProof/>
                <w:color w:val="auto"/>
              </w:rPr>
              <w:t>1.5 Opportunity and Operational Funding: proposed rules and missing current analogues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_Toc237512545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11</w:t>
            </w:r>
            <w:r w:rsidRPr="00DE52F8">
              <w:rPr>
                <w:rFonts w:ascii="Arial" w:hAnsi="Arial" w:cs="Arial"/>
                <w:b w:val="0"/>
                <w:bCs w:val="0"/>
                <w:noProof/>
                <w:webHidden/>
              </w:rPr>
              <w:fldChar w:fldCharType="end"/>
            </w:r>
          </w:hyperlink>
        </w:p>
        <w:p w14:paraId="38A3D02D" w14:textId="0BC0ECFC"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46" w:history="1">
            <w:r w:rsidRPr="00DE52F8">
              <w:rPr>
                <w:rStyle w:val="Hyperlink"/>
                <w:rFonts w:ascii="Arial" w:hAnsi="Arial" w:cs="Arial"/>
                <w:b w:val="0"/>
                <w:bCs w:val="0"/>
                <w:noProof/>
                <w:color w:val="auto"/>
              </w:rPr>
              <w:t>1.6 Evidence-status summary</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_Toc237512546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12</w:t>
            </w:r>
            <w:r w:rsidRPr="00DE52F8">
              <w:rPr>
                <w:rFonts w:ascii="Arial" w:hAnsi="Arial" w:cs="Arial"/>
                <w:b w:val="0"/>
                <w:bCs w:val="0"/>
                <w:noProof/>
                <w:webHidden/>
              </w:rPr>
              <w:fldChar w:fldCharType="end"/>
            </w:r>
          </w:hyperlink>
        </w:p>
        <w:p w14:paraId="7F76184C" w14:textId="36608340"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47" w:history="1">
            <w:r w:rsidRPr="00DE52F8">
              <w:rPr>
                <w:rStyle w:val="Hyperlink"/>
                <w:rFonts w:ascii="Arial" w:hAnsi="Arial" w:cs="Arial"/>
                <w:b w:val="0"/>
                <w:bCs w:val="0"/>
                <w:noProof/>
                <w:color w:val="auto"/>
              </w:rPr>
              <w:t>1.7 What remains unknown</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_Toc237512547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13</w:t>
            </w:r>
            <w:r w:rsidRPr="00DE52F8">
              <w:rPr>
                <w:rFonts w:ascii="Arial" w:hAnsi="Arial" w:cs="Arial"/>
                <w:b w:val="0"/>
                <w:bCs w:val="0"/>
                <w:noProof/>
                <w:webHidden/>
              </w:rPr>
              <w:fldChar w:fldCharType="end"/>
            </w:r>
          </w:hyperlink>
        </w:p>
        <w:p w14:paraId="708F2686" w14:textId="746A5AD3" w:rsidR="007F13D6" w:rsidRPr="00DE52F8" w:rsidRDefault="007F13D6">
          <w:pPr>
            <w:pStyle w:val="TOC1"/>
            <w:tabs>
              <w:tab w:val="right" w:leader="dot" w:pos="9350"/>
            </w:tabs>
            <w:rPr>
              <w:rFonts w:ascii="Arial" w:eastAsiaTheme="minorEastAsia" w:hAnsi="Arial" w:cs="Arial"/>
              <w:b w:val="0"/>
              <w:bCs w:val="0"/>
              <w:i w:val="0"/>
              <w:iCs w:val="0"/>
              <w:noProof/>
              <w:kern w:val="2"/>
              <w14:ligatures w14:val="standardContextual"/>
            </w:rPr>
          </w:pPr>
          <w:hyperlink w:anchor="_Toc237512548" w:history="1">
            <w:r w:rsidRPr="00DE52F8">
              <w:rPr>
                <w:rStyle w:val="Hyperlink"/>
                <w:rFonts w:ascii="Arial" w:hAnsi="Arial" w:cs="Arial"/>
                <w:b w:val="0"/>
                <w:bCs w:val="0"/>
                <w:i w:val="0"/>
                <w:iCs w:val="0"/>
                <w:noProof/>
                <w:color w:val="auto"/>
              </w:rPr>
              <w:t>2. What the IV&amp;V Examined and Why</w:t>
            </w:r>
            <w:r w:rsidRPr="00DE52F8">
              <w:rPr>
                <w:rFonts w:ascii="Arial" w:hAnsi="Arial" w:cs="Arial"/>
                <w:b w:val="0"/>
                <w:bCs w:val="0"/>
                <w:i w:val="0"/>
                <w:iCs w:val="0"/>
                <w:noProof/>
                <w:webHidden/>
              </w:rPr>
              <w:tab/>
            </w:r>
            <w:r w:rsidRPr="00DE52F8">
              <w:rPr>
                <w:rFonts w:ascii="Arial" w:hAnsi="Arial" w:cs="Arial"/>
                <w:b w:val="0"/>
                <w:bCs w:val="0"/>
                <w:i w:val="0"/>
                <w:iCs w:val="0"/>
                <w:noProof/>
                <w:webHidden/>
              </w:rPr>
              <w:fldChar w:fldCharType="begin"/>
            </w:r>
            <w:r w:rsidRPr="00DE52F8">
              <w:rPr>
                <w:rFonts w:ascii="Arial" w:hAnsi="Arial" w:cs="Arial"/>
                <w:b w:val="0"/>
                <w:bCs w:val="0"/>
                <w:i w:val="0"/>
                <w:iCs w:val="0"/>
                <w:noProof/>
                <w:webHidden/>
              </w:rPr>
              <w:instrText xml:space="preserve"> PAGEREF _Toc237512548 \h </w:instrText>
            </w:r>
            <w:r w:rsidRPr="00DE52F8">
              <w:rPr>
                <w:rFonts w:ascii="Arial" w:hAnsi="Arial" w:cs="Arial"/>
                <w:b w:val="0"/>
                <w:bCs w:val="0"/>
                <w:i w:val="0"/>
                <w:iCs w:val="0"/>
                <w:noProof/>
                <w:webHidden/>
              </w:rPr>
            </w:r>
            <w:r w:rsidRPr="00DE52F8">
              <w:rPr>
                <w:rFonts w:ascii="Arial" w:hAnsi="Arial" w:cs="Arial"/>
                <w:b w:val="0"/>
                <w:bCs w:val="0"/>
                <w:i w:val="0"/>
                <w:iCs w:val="0"/>
                <w:noProof/>
                <w:webHidden/>
              </w:rPr>
              <w:fldChar w:fldCharType="separate"/>
            </w:r>
            <w:r w:rsidR="00A578DF">
              <w:rPr>
                <w:rFonts w:ascii="Arial" w:hAnsi="Arial" w:cs="Arial"/>
                <w:b w:val="0"/>
                <w:bCs w:val="0"/>
                <w:i w:val="0"/>
                <w:iCs w:val="0"/>
                <w:noProof/>
                <w:webHidden/>
              </w:rPr>
              <w:t>14</w:t>
            </w:r>
            <w:r w:rsidRPr="00DE52F8">
              <w:rPr>
                <w:rFonts w:ascii="Arial" w:hAnsi="Arial" w:cs="Arial"/>
                <w:b w:val="0"/>
                <w:bCs w:val="0"/>
                <w:i w:val="0"/>
                <w:iCs w:val="0"/>
                <w:noProof/>
                <w:webHidden/>
              </w:rPr>
              <w:fldChar w:fldCharType="end"/>
            </w:r>
          </w:hyperlink>
        </w:p>
        <w:p w14:paraId="3EC5D9BE" w14:textId="2903B32D"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49" w:history="1">
            <w:r w:rsidRPr="00DE52F8">
              <w:rPr>
                <w:rStyle w:val="Hyperlink"/>
                <w:rFonts w:ascii="Arial" w:hAnsi="Arial" w:cs="Arial"/>
                <w:b w:val="0"/>
                <w:bCs w:val="0"/>
                <w:noProof/>
                <w:color w:val="auto"/>
              </w:rPr>
              <w:t>2.1 Scope and interpretation</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_Toc237512549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14</w:t>
            </w:r>
            <w:r w:rsidRPr="00DE52F8">
              <w:rPr>
                <w:rFonts w:ascii="Arial" w:hAnsi="Arial" w:cs="Arial"/>
                <w:b w:val="0"/>
                <w:bCs w:val="0"/>
                <w:noProof/>
                <w:webHidden/>
              </w:rPr>
              <w:fldChar w:fldCharType="end"/>
            </w:r>
          </w:hyperlink>
        </w:p>
        <w:p w14:paraId="473F19A0" w14:textId="531085CB"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50" w:history="1">
            <w:r w:rsidRPr="00DE52F8">
              <w:rPr>
                <w:rStyle w:val="Hyperlink"/>
                <w:rFonts w:ascii="Arial" w:hAnsi="Arial" w:cs="Arial"/>
                <w:b w:val="0"/>
                <w:bCs w:val="0"/>
                <w:noProof/>
                <w:color w:val="auto"/>
              </w:rPr>
              <w:t>2.2 Official school codes and funding calculation units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_Toc237512550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15</w:t>
            </w:r>
            <w:r w:rsidRPr="00DE52F8">
              <w:rPr>
                <w:rFonts w:ascii="Arial" w:hAnsi="Arial" w:cs="Arial"/>
                <w:b w:val="0"/>
                <w:bCs w:val="0"/>
                <w:noProof/>
                <w:webHidden/>
              </w:rPr>
              <w:fldChar w:fldCharType="end"/>
            </w:r>
          </w:hyperlink>
        </w:p>
        <w:p w14:paraId="5AC6F387" w14:textId="0D0615DD" w:rsidR="007F13D6" w:rsidRPr="00DE52F8" w:rsidRDefault="007F13D6">
          <w:pPr>
            <w:pStyle w:val="TOC1"/>
            <w:tabs>
              <w:tab w:val="right" w:leader="dot" w:pos="9350"/>
            </w:tabs>
            <w:rPr>
              <w:rFonts w:ascii="Arial" w:eastAsiaTheme="minorEastAsia" w:hAnsi="Arial" w:cs="Arial"/>
              <w:b w:val="0"/>
              <w:bCs w:val="0"/>
              <w:i w:val="0"/>
              <w:iCs w:val="0"/>
              <w:noProof/>
              <w:kern w:val="2"/>
              <w14:ligatures w14:val="standardContextual"/>
            </w:rPr>
          </w:pPr>
          <w:hyperlink w:anchor="_Toc237512551" w:history="1">
            <w:r w:rsidRPr="00DE52F8">
              <w:rPr>
                <w:rStyle w:val="Hyperlink"/>
                <w:rFonts w:ascii="Arial" w:hAnsi="Arial" w:cs="Arial"/>
                <w:b w:val="0"/>
                <w:bCs w:val="0"/>
                <w:i w:val="0"/>
                <w:iCs w:val="0"/>
                <w:noProof/>
                <w:color w:val="auto"/>
              </w:rPr>
              <w:t>3. What Changes Under the Staffing Rules?</w:t>
            </w:r>
            <w:r w:rsidRPr="00DE52F8">
              <w:rPr>
                <w:rFonts w:ascii="Arial" w:hAnsi="Arial" w:cs="Arial"/>
                <w:b w:val="0"/>
                <w:bCs w:val="0"/>
                <w:i w:val="0"/>
                <w:iCs w:val="0"/>
                <w:noProof/>
                <w:webHidden/>
              </w:rPr>
              <w:tab/>
            </w:r>
            <w:r w:rsidRPr="00DE52F8">
              <w:rPr>
                <w:rFonts w:ascii="Arial" w:hAnsi="Arial" w:cs="Arial"/>
                <w:b w:val="0"/>
                <w:bCs w:val="0"/>
                <w:i w:val="0"/>
                <w:iCs w:val="0"/>
                <w:noProof/>
                <w:webHidden/>
              </w:rPr>
              <w:fldChar w:fldCharType="begin"/>
            </w:r>
            <w:r w:rsidRPr="00DE52F8">
              <w:rPr>
                <w:rFonts w:ascii="Arial" w:hAnsi="Arial" w:cs="Arial"/>
                <w:b w:val="0"/>
                <w:bCs w:val="0"/>
                <w:i w:val="0"/>
                <w:iCs w:val="0"/>
                <w:noProof/>
                <w:webHidden/>
              </w:rPr>
              <w:instrText xml:space="preserve"> PAGEREF _Toc237512551 \h </w:instrText>
            </w:r>
            <w:r w:rsidRPr="00DE52F8">
              <w:rPr>
                <w:rFonts w:ascii="Arial" w:hAnsi="Arial" w:cs="Arial"/>
                <w:b w:val="0"/>
                <w:bCs w:val="0"/>
                <w:i w:val="0"/>
                <w:iCs w:val="0"/>
                <w:noProof/>
                <w:webHidden/>
              </w:rPr>
            </w:r>
            <w:r w:rsidRPr="00DE52F8">
              <w:rPr>
                <w:rFonts w:ascii="Arial" w:hAnsi="Arial" w:cs="Arial"/>
                <w:b w:val="0"/>
                <w:bCs w:val="0"/>
                <w:i w:val="0"/>
                <w:iCs w:val="0"/>
                <w:noProof/>
                <w:webHidden/>
              </w:rPr>
              <w:fldChar w:fldCharType="separate"/>
            </w:r>
            <w:r w:rsidR="00A578DF">
              <w:rPr>
                <w:rFonts w:ascii="Arial" w:hAnsi="Arial" w:cs="Arial"/>
                <w:b w:val="0"/>
                <w:bCs w:val="0"/>
                <w:i w:val="0"/>
                <w:iCs w:val="0"/>
                <w:noProof/>
                <w:webHidden/>
              </w:rPr>
              <w:t>16</w:t>
            </w:r>
            <w:r w:rsidRPr="00DE52F8">
              <w:rPr>
                <w:rFonts w:ascii="Arial" w:hAnsi="Arial" w:cs="Arial"/>
                <w:b w:val="0"/>
                <w:bCs w:val="0"/>
                <w:i w:val="0"/>
                <w:iCs w:val="0"/>
                <w:noProof/>
                <w:webHidden/>
              </w:rPr>
              <w:fldChar w:fldCharType="end"/>
            </w:r>
          </w:hyperlink>
        </w:p>
        <w:p w14:paraId="1D796B2B" w14:textId="2AD18C5E"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52" w:history="1">
            <w:r w:rsidRPr="00DE52F8">
              <w:rPr>
                <w:rStyle w:val="Hyperlink"/>
                <w:rFonts w:ascii="Arial" w:hAnsi="Arial" w:cs="Arial"/>
                <w:b w:val="0"/>
                <w:bCs w:val="0"/>
                <w:noProof/>
                <w:color w:val="auto"/>
              </w:rPr>
              <w:t>3.1 Two views of the statewide staffing comparison</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_Toc237512552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16</w:t>
            </w:r>
            <w:r w:rsidRPr="00DE52F8">
              <w:rPr>
                <w:rFonts w:ascii="Arial" w:hAnsi="Arial" w:cs="Arial"/>
                <w:b w:val="0"/>
                <w:bCs w:val="0"/>
                <w:noProof/>
                <w:webHidden/>
              </w:rPr>
              <w:fldChar w:fldCharType="end"/>
            </w:r>
          </w:hyperlink>
        </w:p>
        <w:p w14:paraId="56112464" w14:textId="35DD8E2F"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53" w:history="1">
            <w:r w:rsidRPr="00DE52F8">
              <w:rPr>
                <w:rStyle w:val="Hyperlink"/>
                <w:rFonts w:ascii="Arial" w:hAnsi="Arial" w:cs="Arial"/>
                <w:b w:val="0"/>
                <w:bCs w:val="0"/>
                <w:noProof/>
                <w:color w:val="auto"/>
              </w:rPr>
              <w:t>3.2 Core teaching quantities are nearly unchanged</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_Toc237512553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17</w:t>
            </w:r>
            <w:r w:rsidRPr="00DE52F8">
              <w:rPr>
                <w:rFonts w:ascii="Arial" w:hAnsi="Arial" w:cs="Arial"/>
                <w:b w:val="0"/>
                <w:bCs w:val="0"/>
                <w:noProof/>
                <w:webHidden/>
              </w:rPr>
              <w:fldChar w:fldCharType="end"/>
            </w:r>
          </w:hyperlink>
        </w:p>
        <w:p w14:paraId="6AADED03" w14:textId="332EDEA4"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54" w:history="1">
            <w:r w:rsidRPr="00DE52F8">
              <w:rPr>
                <w:rStyle w:val="Hyperlink"/>
                <w:rFonts w:ascii="Arial" w:hAnsi="Arial" w:cs="Arial"/>
                <w:b w:val="0"/>
                <w:bCs w:val="0"/>
                <w:noProof/>
                <w:color w:val="auto"/>
              </w:rPr>
              <w:t>3.3 The largest differences occur outside core teaching</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_Toc237512554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18</w:t>
            </w:r>
            <w:r w:rsidRPr="00DE52F8">
              <w:rPr>
                <w:rFonts w:ascii="Arial" w:hAnsi="Arial" w:cs="Arial"/>
                <w:b w:val="0"/>
                <w:bCs w:val="0"/>
                <w:noProof/>
                <w:webHidden/>
              </w:rPr>
              <w:fldChar w:fldCharType="end"/>
            </w:r>
          </w:hyperlink>
        </w:p>
        <w:p w14:paraId="2D6A8061" w14:textId="6D54528E"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55" w:history="1">
            <w:r w:rsidRPr="00DE52F8">
              <w:rPr>
                <w:rStyle w:val="Hyperlink"/>
                <w:rFonts w:ascii="Arial" w:hAnsi="Arial" w:cs="Arial"/>
                <w:b w:val="0"/>
                <w:bCs w:val="0"/>
                <w:noProof/>
                <w:color w:val="auto"/>
              </w:rPr>
              <w:t>3.4 Principals illustrate why calculation units matter</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_Toc237512555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20</w:t>
            </w:r>
            <w:r w:rsidRPr="00DE52F8">
              <w:rPr>
                <w:rFonts w:ascii="Arial" w:hAnsi="Arial" w:cs="Arial"/>
                <w:b w:val="0"/>
                <w:bCs w:val="0"/>
                <w:noProof/>
                <w:webHidden/>
              </w:rPr>
              <w:fldChar w:fldCharType="end"/>
            </w:r>
          </w:hyperlink>
        </w:p>
        <w:p w14:paraId="69CBDF7B" w14:textId="512F77D7"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56" w:history="1">
            <w:r w:rsidRPr="00DE52F8">
              <w:rPr>
                <w:rStyle w:val="Hyperlink"/>
                <w:rFonts w:ascii="Arial" w:hAnsi="Arial" w:cs="Arial"/>
                <w:b w:val="0"/>
                <w:bCs w:val="0"/>
                <w:noProof/>
                <w:color w:val="auto"/>
              </w:rPr>
              <w:t>3.5 District and charter patterns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_Toc237512556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20</w:t>
            </w:r>
            <w:r w:rsidRPr="00DE52F8">
              <w:rPr>
                <w:rFonts w:ascii="Arial" w:hAnsi="Arial" w:cs="Arial"/>
                <w:b w:val="0"/>
                <w:bCs w:val="0"/>
                <w:noProof/>
                <w:webHidden/>
              </w:rPr>
              <w:fldChar w:fldCharType="end"/>
            </w:r>
          </w:hyperlink>
        </w:p>
        <w:p w14:paraId="4D494E25" w14:textId="3FA57586" w:rsidR="007F13D6" w:rsidRPr="00DE52F8" w:rsidRDefault="007F13D6">
          <w:pPr>
            <w:pStyle w:val="TOC1"/>
            <w:tabs>
              <w:tab w:val="right" w:leader="dot" w:pos="9350"/>
            </w:tabs>
            <w:rPr>
              <w:rFonts w:ascii="Arial" w:eastAsiaTheme="minorEastAsia" w:hAnsi="Arial" w:cs="Arial"/>
              <w:b w:val="0"/>
              <w:bCs w:val="0"/>
              <w:i w:val="0"/>
              <w:iCs w:val="0"/>
              <w:noProof/>
              <w:kern w:val="2"/>
              <w14:ligatures w14:val="standardContextual"/>
            </w:rPr>
          </w:pPr>
          <w:hyperlink w:anchor="_Toc237512557" w:history="1">
            <w:r w:rsidRPr="00DE52F8">
              <w:rPr>
                <w:rStyle w:val="Hyperlink"/>
                <w:rFonts w:ascii="Arial" w:hAnsi="Arial" w:cs="Arial"/>
                <w:b w:val="0"/>
                <w:bCs w:val="0"/>
                <w:i w:val="0"/>
                <w:iCs w:val="0"/>
                <w:noProof/>
                <w:color w:val="auto"/>
              </w:rPr>
              <w:t>4. How Do Opportunity and Operational Funding Work?</w:t>
            </w:r>
            <w:r w:rsidRPr="00DE52F8">
              <w:rPr>
                <w:rFonts w:ascii="Arial" w:hAnsi="Arial" w:cs="Arial"/>
                <w:b w:val="0"/>
                <w:bCs w:val="0"/>
                <w:i w:val="0"/>
                <w:iCs w:val="0"/>
                <w:noProof/>
                <w:webHidden/>
              </w:rPr>
              <w:tab/>
            </w:r>
            <w:r w:rsidRPr="00DE52F8">
              <w:rPr>
                <w:rFonts w:ascii="Arial" w:hAnsi="Arial" w:cs="Arial"/>
                <w:b w:val="0"/>
                <w:bCs w:val="0"/>
                <w:i w:val="0"/>
                <w:iCs w:val="0"/>
                <w:noProof/>
                <w:webHidden/>
              </w:rPr>
              <w:fldChar w:fldCharType="begin"/>
            </w:r>
            <w:r w:rsidRPr="00DE52F8">
              <w:rPr>
                <w:rFonts w:ascii="Arial" w:hAnsi="Arial" w:cs="Arial"/>
                <w:b w:val="0"/>
                <w:bCs w:val="0"/>
                <w:i w:val="0"/>
                <w:iCs w:val="0"/>
                <w:noProof/>
                <w:webHidden/>
              </w:rPr>
              <w:instrText xml:space="preserve"> PAGEREF _Toc237512557 \h </w:instrText>
            </w:r>
            <w:r w:rsidRPr="00DE52F8">
              <w:rPr>
                <w:rFonts w:ascii="Arial" w:hAnsi="Arial" w:cs="Arial"/>
                <w:b w:val="0"/>
                <w:bCs w:val="0"/>
                <w:i w:val="0"/>
                <w:iCs w:val="0"/>
                <w:noProof/>
                <w:webHidden/>
              </w:rPr>
            </w:r>
            <w:r w:rsidRPr="00DE52F8">
              <w:rPr>
                <w:rFonts w:ascii="Arial" w:hAnsi="Arial" w:cs="Arial"/>
                <w:b w:val="0"/>
                <w:bCs w:val="0"/>
                <w:i w:val="0"/>
                <w:iCs w:val="0"/>
                <w:noProof/>
                <w:webHidden/>
              </w:rPr>
              <w:fldChar w:fldCharType="separate"/>
            </w:r>
            <w:r w:rsidR="00A578DF">
              <w:rPr>
                <w:rFonts w:ascii="Arial" w:hAnsi="Arial" w:cs="Arial"/>
                <w:b w:val="0"/>
                <w:bCs w:val="0"/>
                <w:i w:val="0"/>
                <w:iCs w:val="0"/>
                <w:noProof/>
                <w:webHidden/>
              </w:rPr>
              <w:t>22</w:t>
            </w:r>
            <w:r w:rsidRPr="00DE52F8">
              <w:rPr>
                <w:rFonts w:ascii="Arial" w:hAnsi="Arial" w:cs="Arial"/>
                <w:b w:val="0"/>
                <w:bCs w:val="0"/>
                <w:i w:val="0"/>
                <w:iCs w:val="0"/>
                <w:noProof/>
                <w:webHidden/>
              </w:rPr>
              <w:fldChar w:fldCharType="end"/>
            </w:r>
          </w:hyperlink>
        </w:p>
        <w:p w14:paraId="1047C0D4" w14:textId="42DAC854"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58" w:history="1">
            <w:r w:rsidRPr="00DE52F8">
              <w:rPr>
                <w:rStyle w:val="Hyperlink"/>
                <w:rFonts w:ascii="Arial" w:hAnsi="Arial" w:cs="Arial"/>
                <w:b w:val="0"/>
                <w:bCs w:val="0"/>
                <w:noProof/>
                <w:color w:val="auto"/>
              </w:rPr>
              <w:t>4.1 Opportunity Funding</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_Toc237512558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22</w:t>
            </w:r>
            <w:r w:rsidRPr="00DE52F8">
              <w:rPr>
                <w:rFonts w:ascii="Arial" w:hAnsi="Arial" w:cs="Arial"/>
                <w:b w:val="0"/>
                <w:bCs w:val="0"/>
                <w:noProof/>
                <w:webHidden/>
              </w:rPr>
              <w:fldChar w:fldCharType="end"/>
            </w:r>
          </w:hyperlink>
        </w:p>
        <w:p w14:paraId="2BBD4142" w14:textId="73C09FBD"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59" w:history="1">
            <w:r w:rsidRPr="00DE52F8">
              <w:rPr>
                <w:rStyle w:val="Hyperlink"/>
                <w:rFonts w:ascii="Arial" w:hAnsi="Arial" w:cs="Arial"/>
                <w:b w:val="0"/>
                <w:bCs w:val="0"/>
                <w:noProof/>
                <w:color w:val="auto"/>
              </w:rPr>
              <w:t>4.2 Operational Funding</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_Toc237512559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22</w:t>
            </w:r>
            <w:r w:rsidRPr="00DE52F8">
              <w:rPr>
                <w:rFonts w:ascii="Arial" w:hAnsi="Arial" w:cs="Arial"/>
                <w:b w:val="0"/>
                <w:bCs w:val="0"/>
                <w:noProof/>
                <w:webHidden/>
              </w:rPr>
              <w:fldChar w:fldCharType="end"/>
            </w:r>
          </w:hyperlink>
        </w:p>
        <w:p w14:paraId="167D5C51" w14:textId="52B7BF92"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60" w:history="1">
            <w:r w:rsidRPr="00DE52F8">
              <w:rPr>
                <w:rStyle w:val="Hyperlink"/>
                <w:rFonts w:ascii="Arial" w:hAnsi="Arial" w:cs="Arial"/>
                <w:b w:val="0"/>
                <w:bCs w:val="0"/>
                <w:noProof/>
                <w:color w:val="auto"/>
              </w:rPr>
              <w:t>4.3 Fixed pools and recalculated rates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_Toc237512560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22</w:t>
            </w:r>
            <w:r w:rsidRPr="00DE52F8">
              <w:rPr>
                <w:rFonts w:ascii="Arial" w:hAnsi="Arial" w:cs="Arial"/>
                <w:b w:val="0"/>
                <w:bCs w:val="0"/>
                <w:noProof/>
                <w:webHidden/>
              </w:rPr>
              <w:fldChar w:fldCharType="end"/>
            </w:r>
          </w:hyperlink>
        </w:p>
        <w:p w14:paraId="624B5302" w14:textId="3A6AEA01"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61" w:history="1">
            <w:r w:rsidRPr="00DE52F8">
              <w:rPr>
                <w:rStyle w:val="Hyperlink"/>
                <w:rFonts w:ascii="Arial" w:hAnsi="Arial" w:cs="Arial"/>
                <w:b w:val="0"/>
                <w:bCs w:val="0"/>
                <w:noProof/>
                <w:color w:val="auto"/>
              </w:rPr>
              <w:t>4.4 Proposed allocation and current comparison status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_Toc237512561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23</w:t>
            </w:r>
            <w:r w:rsidRPr="00DE52F8">
              <w:rPr>
                <w:rFonts w:ascii="Arial" w:hAnsi="Arial" w:cs="Arial"/>
                <w:b w:val="0"/>
                <w:bCs w:val="0"/>
                <w:noProof/>
                <w:webHidden/>
              </w:rPr>
              <w:fldChar w:fldCharType="end"/>
            </w:r>
          </w:hyperlink>
        </w:p>
        <w:p w14:paraId="7EBC6DC8" w14:textId="3F8CD60C"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62" w:history="1">
            <w:r w:rsidRPr="00DE52F8">
              <w:rPr>
                <w:rStyle w:val="Hyperlink"/>
                <w:rFonts w:ascii="Arial" w:hAnsi="Arial" w:cs="Arial"/>
                <w:b w:val="0"/>
                <w:bCs w:val="0"/>
                <w:noProof/>
                <w:color w:val="auto"/>
              </w:rPr>
              <w:t>4.5 LEA-level composition of proposed weighted funding</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_Toc237512562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23</w:t>
            </w:r>
            <w:r w:rsidRPr="00DE52F8">
              <w:rPr>
                <w:rFonts w:ascii="Arial" w:hAnsi="Arial" w:cs="Arial"/>
                <w:b w:val="0"/>
                <w:bCs w:val="0"/>
                <w:noProof/>
                <w:webHidden/>
              </w:rPr>
              <w:fldChar w:fldCharType="end"/>
            </w:r>
          </w:hyperlink>
        </w:p>
        <w:p w14:paraId="1DCC8DBD" w14:textId="2313276E"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63" w:history="1">
            <w:r w:rsidRPr="00DE52F8">
              <w:rPr>
                <w:rStyle w:val="Hyperlink"/>
                <w:rFonts w:ascii="Arial" w:hAnsi="Arial" w:cs="Arial"/>
                <w:b w:val="0"/>
                <w:bCs w:val="0"/>
                <w:noProof/>
                <w:color w:val="auto"/>
              </w:rPr>
              <w:t>4.6 Current model Opportunity and Operational Funding analogues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_Toc237512563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26</w:t>
            </w:r>
            <w:r w:rsidRPr="00DE52F8">
              <w:rPr>
                <w:rFonts w:ascii="Arial" w:hAnsi="Arial" w:cs="Arial"/>
                <w:b w:val="0"/>
                <w:bCs w:val="0"/>
                <w:noProof/>
                <w:webHidden/>
              </w:rPr>
              <w:fldChar w:fldCharType="end"/>
            </w:r>
          </w:hyperlink>
        </w:p>
        <w:p w14:paraId="4B665DB5" w14:textId="120D3AC6" w:rsidR="007F13D6" w:rsidRPr="00DE52F8" w:rsidRDefault="007F13D6">
          <w:pPr>
            <w:pStyle w:val="TOC1"/>
            <w:tabs>
              <w:tab w:val="right" w:leader="dot" w:pos="9350"/>
            </w:tabs>
            <w:rPr>
              <w:rFonts w:ascii="Arial" w:eastAsiaTheme="minorEastAsia" w:hAnsi="Arial" w:cs="Arial"/>
              <w:b w:val="0"/>
              <w:bCs w:val="0"/>
              <w:i w:val="0"/>
              <w:iCs w:val="0"/>
              <w:noProof/>
              <w:kern w:val="2"/>
              <w14:ligatures w14:val="standardContextual"/>
            </w:rPr>
          </w:pPr>
          <w:hyperlink w:anchor="_Toc237512564" w:history="1">
            <w:r w:rsidRPr="00DE52F8">
              <w:rPr>
                <w:rStyle w:val="Hyperlink"/>
                <w:rFonts w:ascii="Arial" w:hAnsi="Arial" w:cs="Arial"/>
                <w:b w:val="0"/>
                <w:bCs w:val="0"/>
                <w:i w:val="0"/>
                <w:iCs w:val="0"/>
                <w:noProof/>
                <w:color w:val="auto"/>
              </w:rPr>
              <w:t>5. How Does the IV&amp;V Proposed Model Compare with the PEFC Workbook?</w:t>
            </w:r>
            <w:r w:rsidRPr="00DE52F8">
              <w:rPr>
                <w:rFonts w:ascii="Arial" w:hAnsi="Arial" w:cs="Arial"/>
                <w:b w:val="0"/>
                <w:bCs w:val="0"/>
                <w:i w:val="0"/>
                <w:iCs w:val="0"/>
                <w:noProof/>
                <w:webHidden/>
              </w:rPr>
              <w:tab/>
            </w:r>
            <w:r w:rsidRPr="00DE52F8">
              <w:rPr>
                <w:rFonts w:ascii="Arial" w:hAnsi="Arial" w:cs="Arial"/>
                <w:b w:val="0"/>
                <w:bCs w:val="0"/>
                <w:i w:val="0"/>
                <w:iCs w:val="0"/>
                <w:noProof/>
                <w:webHidden/>
              </w:rPr>
              <w:fldChar w:fldCharType="begin"/>
            </w:r>
            <w:r w:rsidRPr="00DE52F8">
              <w:rPr>
                <w:rFonts w:ascii="Arial" w:hAnsi="Arial" w:cs="Arial"/>
                <w:b w:val="0"/>
                <w:bCs w:val="0"/>
                <w:i w:val="0"/>
                <w:iCs w:val="0"/>
                <w:noProof/>
                <w:webHidden/>
              </w:rPr>
              <w:instrText xml:space="preserve"> PAGEREF _Toc237512564 \h </w:instrText>
            </w:r>
            <w:r w:rsidRPr="00DE52F8">
              <w:rPr>
                <w:rFonts w:ascii="Arial" w:hAnsi="Arial" w:cs="Arial"/>
                <w:b w:val="0"/>
                <w:bCs w:val="0"/>
                <w:i w:val="0"/>
                <w:iCs w:val="0"/>
                <w:noProof/>
                <w:webHidden/>
              </w:rPr>
            </w:r>
            <w:r w:rsidRPr="00DE52F8">
              <w:rPr>
                <w:rFonts w:ascii="Arial" w:hAnsi="Arial" w:cs="Arial"/>
                <w:b w:val="0"/>
                <w:bCs w:val="0"/>
                <w:i w:val="0"/>
                <w:iCs w:val="0"/>
                <w:noProof/>
                <w:webHidden/>
              </w:rPr>
              <w:fldChar w:fldCharType="separate"/>
            </w:r>
            <w:r w:rsidR="00A578DF">
              <w:rPr>
                <w:rFonts w:ascii="Arial" w:hAnsi="Arial" w:cs="Arial"/>
                <w:b w:val="0"/>
                <w:bCs w:val="0"/>
                <w:i w:val="0"/>
                <w:iCs w:val="0"/>
                <w:noProof/>
                <w:webHidden/>
              </w:rPr>
              <w:t>27</w:t>
            </w:r>
            <w:r w:rsidRPr="00DE52F8">
              <w:rPr>
                <w:rFonts w:ascii="Arial" w:hAnsi="Arial" w:cs="Arial"/>
                <w:b w:val="0"/>
                <w:bCs w:val="0"/>
                <w:i w:val="0"/>
                <w:iCs w:val="0"/>
                <w:noProof/>
                <w:webHidden/>
              </w:rPr>
              <w:fldChar w:fldCharType="end"/>
            </w:r>
          </w:hyperlink>
        </w:p>
        <w:p w14:paraId="3125BE9F" w14:textId="7BFD1B5C"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65" w:history="1">
            <w:r w:rsidRPr="00DE52F8">
              <w:rPr>
                <w:rStyle w:val="Hyperlink"/>
                <w:rFonts w:ascii="Arial" w:hAnsi="Arial" w:cs="Arial"/>
                <w:b w:val="0"/>
                <w:bCs w:val="0"/>
                <w:noProof/>
                <w:color w:val="auto"/>
              </w:rPr>
              <w:t>5.1 Principal positions show the effect of calculation-unit implementation</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_Toc237512565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27</w:t>
            </w:r>
            <w:r w:rsidRPr="00DE52F8">
              <w:rPr>
                <w:rFonts w:ascii="Arial" w:hAnsi="Arial" w:cs="Arial"/>
                <w:b w:val="0"/>
                <w:bCs w:val="0"/>
                <w:noProof/>
                <w:webHidden/>
              </w:rPr>
              <w:fldChar w:fldCharType="end"/>
            </w:r>
          </w:hyperlink>
        </w:p>
        <w:p w14:paraId="100EB9C0" w14:textId="4A397A0B"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66" w:history="1">
            <w:r w:rsidRPr="00DE52F8">
              <w:rPr>
                <w:rStyle w:val="Hyperlink"/>
                <w:rFonts w:ascii="Arial" w:hAnsi="Arial" w:cs="Arial"/>
                <w:b w:val="0"/>
                <w:bCs w:val="0"/>
                <w:noProof/>
                <w:color w:val="auto"/>
              </w:rPr>
              <w:t>5.2 Staffing-rule interpretations produce practical differences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_Toc237512566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28</w:t>
            </w:r>
            <w:r w:rsidRPr="00DE52F8">
              <w:rPr>
                <w:rFonts w:ascii="Arial" w:hAnsi="Arial" w:cs="Arial"/>
                <w:b w:val="0"/>
                <w:bCs w:val="0"/>
                <w:noProof/>
                <w:webHidden/>
              </w:rPr>
              <w:fldChar w:fldCharType="end"/>
            </w:r>
          </w:hyperlink>
        </w:p>
        <w:p w14:paraId="1FF8A204" w14:textId="52867006"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67" w:history="1">
            <w:r w:rsidRPr="00DE52F8">
              <w:rPr>
                <w:rStyle w:val="Hyperlink"/>
                <w:rFonts w:ascii="Arial" w:hAnsi="Arial" w:cs="Arial"/>
                <w:b w:val="0"/>
                <w:bCs w:val="0"/>
                <w:noProof/>
                <w:color w:val="auto"/>
              </w:rPr>
              <w:t>5.3 DAFB creates a scope difference</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_Toc237512567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29</w:t>
            </w:r>
            <w:r w:rsidRPr="00DE52F8">
              <w:rPr>
                <w:rFonts w:ascii="Arial" w:hAnsi="Arial" w:cs="Arial"/>
                <w:b w:val="0"/>
                <w:bCs w:val="0"/>
                <w:noProof/>
                <w:webHidden/>
              </w:rPr>
              <w:fldChar w:fldCharType="end"/>
            </w:r>
          </w:hyperlink>
        </w:p>
        <w:p w14:paraId="206C2DD3" w14:textId="199E7564"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68" w:history="1">
            <w:r w:rsidRPr="00DE52F8">
              <w:rPr>
                <w:rStyle w:val="Hyperlink"/>
                <w:rFonts w:ascii="Arial" w:hAnsi="Arial" w:cs="Arial"/>
                <w:b w:val="0"/>
                <w:bCs w:val="0"/>
                <w:noProof/>
                <w:color w:val="auto"/>
              </w:rPr>
              <w:t>5.4 Overall assessment</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_Toc237512568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29</w:t>
            </w:r>
            <w:r w:rsidRPr="00DE52F8">
              <w:rPr>
                <w:rFonts w:ascii="Arial" w:hAnsi="Arial" w:cs="Arial"/>
                <w:b w:val="0"/>
                <w:bCs w:val="0"/>
                <w:noProof/>
                <w:webHidden/>
              </w:rPr>
              <w:fldChar w:fldCharType="end"/>
            </w:r>
          </w:hyperlink>
        </w:p>
        <w:p w14:paraId="7126BE3B" w14:textId="770D28D7" w:rsidR="007F13D6" w:rsidRPr="00DE52F8" w:rsidRDefault="007F13D6">
          <w:pPr>
            <w:pStyle w:val="TOC1"/>
            <w:tabs>
              <w:tab w:val="right" w:leader="dot" w:pos="9350"/>
            </w:tabs>
            <w:rPr>
              <w:rFonts w:ascii="Arial" w:eastAsiaTheme="minorEastAsia" w:hAnsi="Arial" w:cs="Arial"/>
              <w:b w:val="0"/>
              <w:bCs w:val="0"/>
              <w:i w:val="0"/>
              <w:iCs w:val="0"/>
              <w:noProof/>
              <w:kern w:val="2"/>
              <w14:ligatures w14:val="standardContextual"/>
            </w:rPr>
          </w:pPr>
          <w:hyperlink w:anchor="_Toc237512569" w:history="1">
            <w:r w:rsidRPr="00DE52F8">
              <w:rPr>
                <w:rStyle w:val="Hyperlink"/>
                <w:rFonts w:ascii="Arial" w:hAnsi="Arial" w:cs="Arial"/>
                <w:b w:val="0"/>
                <w:bCs w:val="0"/>
                <w:i w:val="0"/>
                <w:iCs w:val="0"/>
                <w:noProof/>
                <w:color w:val="auto"/>
              </w:rPr>
              <w:t>6. What Remains to Be Confirmed?</w:t>
            </w:r>
            <w:r w:rsidRPr="00DE52F8">
              <w:rPr>
                <w:rFonts w:ascii="Arial" w:hAnsi="Arial" w:cs="Arial"/>
                <w:b w:val="0"/>
                <w:bCs w:val="0"/>
                <w:i w:val="0"/>
                <w:iCs w:val="0"/>
                <w:noProof/>
                <w:webHidden/>
              </w:rPr>
              <w:tab/>
            </w:r>
            <w:r w:rsidRPr="00DE52F8">
              <w:rPr>
                <w:rFonts w:ascii="Arial" w:hAnsi="Arial" w:cs="Arial"/>
                <w:b w:val="0"/>
                <w:bCs w:val="0"/>
                <w:i w:val="0"/>
                <w:iCs w:val="0"/>
                <w:noProof/>
                <w:webHidden/>
              </w:rPr>
              <w:fldChar w:fldCharType="begin"/>
            </w:r>
            <w:r w:rsidRPr="00DE52F8">
              <w:rPr>
                <w:rFonts w:ascii="Arial" w:hAnsi="Arial" w:cs="Arial"/>
                <w:b w:val="0"/>
                <w:bCs w:val="0"/>
                <w:i w:val="0"/>
                <w:iCs w:val="0"/>
                <w:noProof/>
                <w:webHidden/>
              </w:rPr>
              <w:instrText xml:space="preserve"> PAGEREF _Toc237512569 \h </w:instrText>
            </w:r>
            <w:r w:rsidRPr="00DE52F8">
              <w:rPr>
                <w:rFonts w:ascii="Arial" w:hAnsi="Arial" w:cs="Arial"/>
                <w:b w:val="0"/>
                <w:bCs w:val="0"/>
                <w:i w:val="0"/>
                <w:iCs w:val="0"/>
                <w:noProof/>
                <w:webHidden/>
              </w:rPr>
            </w:r>
            <w:r w:rsidRPr="00DE52F8">
              <w:rPr>
                <w:rFonts w:ascii="Arial" w:hAnsi="Arial" w:cs="Arial"/>
                <w:b w:val="0"/>
                <w:bCs w:val="0"/>
                <w:i w:val="0"/>
                <w:iCs w:val="0"/>
                <w:noProof/>
                <w:webHidden/>
              </w:rPr>
              <w:fldChar w:fldCharType="separate"/>
            </w:r>
            <w:r w:rsidR="00A578DF">
              <w:rPr>
                <w:rFonts w:ascii="Arial" w:hAnsi="Arial" w:cs="Arial"/>
                <w:b w:val="0"/>
                <w:bCs w:val="0"/>
                <w:i w:val="0"/>
                <w:iCs w:val="0"/>
                <w:noProof/>
                <w:webHidden/>
              </w:rPr>
              <w:t>30</w:t>
            </w:r>
            <w:r w:rsidRPr="00DE52F8">
              <w:rPr>
                <w:rFonts w:ascii="Arial" w:hAnsi="Arial" w:cs="Arial"/>
                <w:b w:val="0"/>
                <w:bCs w:val="0"/>
                <w:i w:val="0"/>
                <w:iCs w:val="0"/>
                <w:noProof/>
                <w:webHidden/>
              </w:rPr>
              <w:fldChar w:fldCharType="end"/>
            </w:r>
          </w:hyperlink>
        </w:p>
        <w:p w14:paraId="765CE1AE" w14:textId="34DB54AD" w:rsidR="007F13D6" w:rsidRPr="00DE52F8" w:rsidRDefault="007F13D6">
          <w:pPr>
            <w:pStyle w:val="TOC1"/>
            <w:tabs>
              <w:tab w:val="right" w:leader="dot" w:pos="9350"/>
            </w:tabs>
            <w:rPr>
              <w:rFonts w:ascii="Arial" w:eastAsiaTheme="minorEastAsia" w:hAnsi="Arial" w:cs="Arial"/>
              <w:b w:val="0"/>
              <w:bCs w:val="0"/>
              <w:i w:val="0"/>
              <w:iCs w:val="0"/>
              <w:noProof/>
              <w:kern w:val="2"/>
              <w14:ligatures w14:val="standardContextual"/>
            </w:rPr>
          </w:pPr>
          <w:hyperlink w:anchor="_Toc237512570" w:history="1">
            <w:r w:rsidRPr="00DE52F8">
              <w:rPr>
                <w:rStyle w:val="Hyperlink"/>
                <w:rFonts w:ascii="Arial" w:hAnsi="Arial" w:cs="Arial"/>
                <w:b w:val="0"/>
                <w:bCs w:val="0"/>
                <w:i w:val="0"/>
                <w:iCs w:val="0"/>
                <w:noProof/>
                <w:color w:val="auto"/>
              </w:rPr>
              <w:t>7. How Was the Analysis Built and Validated?</w:t>
            </w:r>
            <w:r w:rsidRPr="00DE52F8">
              <w:rPr>
                <w:rFonts w:ascii="Arial" w:hAnsi="Arial" w:cs="Arial"/>
                <w:b w:val="0"/>
                <w:bCs w:val="0"/>
                <w:i w:val="0"/>
                <w:iCs w:val="0"/>
                <w:noProof/>
                <w:webHidden/>
              </w:rPr>
              <w:tab/>
            </w:r>
            <w:r w:rsidRPr="00DE52F8">
              <w:rPr>
                <w:rFonts w:ascii="Arial" w:hAnsi="Arial" w:cs="Arial"/>
                <w:b w:val="0"/>
                <w:bCs w:val="0"/>
                <w:i w:val="0"/>
                <w:iCs w:val="0"/>
                <w:noProof/>
                <w:webHidden/>
              </w:rPr>
              <w:fldChar w:fldCharType="begin"/>
            </w:r>
            <w:r w:rsidRPr="00DE52F8">
              <w:rPr>
                <w:rFonts w:ascii="Arial" w:hAnsi="Arial" w:cs="Arial"/>
                <w:b w:val="0"/>
                <w:bCs w:val="0"/>
                <w:i w:val="0"/>
                <w:iCs w:val="0"/>
                <w:noProof/>
                <w:webHidden/>
              </w:rPr>
              <w:instrText xml:space="preserve"> PAGEREF _Toc237512570 \h </w:instrText>
            </w:r>
            <w:r w:rsidRPr="00DE52F8">
              <w:rPr>
                <w:rFonts w:ascii="Arial" w:hAnsi="Arial" w:cs="Arial"/>
                <w:b w:val="0"/>
                <w:bCs w:val="0"/>
                <w:i w:val="0"/>
                <w:iCs w:val="0"/>
                <w:noProof/>
                <w:webHidden/>
              </w:rPr>
            </w:r>
            <w:r w:rsidRPr="00DE52F8">
              <w:rPr>
                <w:rFonts w:ascii="Arial" w:hAnsi="Arial" w:cs="Arial"/>
                <w:b w:val="0"/>
                <w:bCs w:val="0"/>
                <w:i w:val="0"/>
                <w:iCs w:val="0"/>
                <w:noProof/>
                <w:webHidden/>
              </w:rPr>
              <w:fldChar w:fldCharType="separate"/>
            </w:r>
            <w:r w:rsidR="00A578DF">
              <w:rPr>
                <w:rFonts w:ascii="Arial" w:hAnsi="Arial" w:cs="Arial"/>
                <w:b w:val="0"/>
                <w:bCs w:val="0"/>
                <w:i w:val="0"/>
                <w:iCs w:val="0"/>
                <w:noProof/>
                <w:webHidden/>
              </w:rPr>
              <w:t>31</w:t>
            </w:r>
            <w:r w:rsidRPr="00DE52F8">
              <w:rPr>
                <w:rFonts w:ascii="Arial" w:hAnsi="Arial" w:cs="Arial"/>
                <w:b w:val="0"/>
                <w:bCs w:val="0"/>
                <w:i w:val="0"/>
                <w:iCs w:val="0"/>
                <w:noProof/>
                <w:webHidden/>
              </w:rPr>
              <w:fldChar w:fldCharType="end"/>
            </w:r>
          </w:hyperlink>
        </w:p>
        <w:p w14:paraId="644AC0FA" w14:textId="5252F9B0"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71" w:history="1">
            <w:r w:rsidRPr="00DE52F8">
              <w:rPr>
                <w:rStyle w:val="Hyperlink"/>
                <w:rFonts w:ascii="Arial" w:hAnsi="Arial" w:cs="Arial"/>
                <w:b w:val="0"/>
                <w:bCs w:val="0"/>
                <w:noProof/>
                <w:color w:val="auto"/>
              </w:rPr>
              <w:t>7.1 Technical documentation and audit trail</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_Toc237512571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31</w:t>
            </w:r>
            <w:r w:rsidRPr="00DE52F8">
              <w:rPr>
                <w:rFonts w:ascii="Arial" w:hAnsi="Arial" w:cs="Arial"/>
                <w:b w:val="0"/>
                <w:bCs w:val="0"/>
                <w:noProof/>
                <w:webHidden/>
              </w:rPr>
              <w:fldChar w:fldCharType="end"/>
            </w:r>
          </w:hyperlink>
        </w:p>
        <w:p w14:paraId="22DA1EE6" w14:textId="77117781"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72" w:history="1">
            <w:r w:rsidRPr="00DE52F8">
              <w:rPr>
                <w:rStyle w:val="Hyperlink"/>
                <w:rFonts w:ascii="Arial" w:hAnsi="Arial" w:cs="Arial"/>
                <w:b w:val="0"/>
                <w:bCs w:val="0"/>
                <w:noProof/>
                <w:color w:val="auto"/>
              </w:rPr>
              <w:t>7.2 HFM Calculator: Interactive Implementation of the Technical Reference</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_Toc237512572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31</w:t>
            </w:r>
            <w:r w:rsidRPr="00DE52F8">
              <w:rPr>
                <w:rFonts w:ascii="Arial" w:hAnsi="Arial" w:cs="Arial"/>
                <w:b w:val="0"/>
                <w:bCs w:val="0"/>
                <w:noProof/>
                <w:webHidden/>
              </w:rPr>
              <w:fldChar w:fldCharType="end"/>
            </w:r>
          </w:hyperlink>
        </w:p>
        <w:p w14:paraId="24E01C7F" w14:textId="6CB01156"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73" w:history="1">
            <w:r w:rsidRPr="00DE52F8">
              <w:rPr>
                <w:rStyle w:val="Hyperlink"/>
                <w:rFonts w:ascii="Arial" w:hAnsi="Arial" w:cs="Arial"/>
                <w:b w:val="0"/>
                <w:bCs w:val="0"/>
                <w:noProof/>
                <w:color w:val="auto"/>
              </w:rPr>
              <w:t>7.3 Conclusion</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_Toc237512573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32</w:t>
            </w:r>
            <w:r w:rsidRPr="00DE52F8">
              <w:rPr>
                <w:rFonts w:ascii="Arial" w:hAnsi="Arial" w:cs="Arial"/>
                <w:b w:val="0"/>
                <w:bCs w:val="0"/>
                <w:noProof/>
                <w:webHidden/>
              </w:rPr>
              <w:fldChar w:fldCharType="end"/>
            </w:r>
          </w:hyperlink>
        </w:p>
        <w:p w14:paraId="44B1FDCB" w14:textId="4C60BE67" w:rsidR="007F13D6" w:rsidRPr="00DE52F8" w:rsidRDefault="007F13D6">
          <w:pPr>
            <w:pStyle w:val="TOC1"/>
            <w:tabs>
              <w:tab w:val="right" w:leader="dot" w:pos="9350"/>
            </w:tabs>
            <w:rPr>
              <w:rFonts w:ascii="Arial" w:eastAsiaTheme="minorEastAsia" w:hAnsi="Arial" w:cs="Arial"/>
              <w:b w:val="0"/>
              <w:bCs w:val="0"/>
              <w:i w:val="0"/>
              <w:iCs w:val="0"/>
              <w:noProof/>
              <w:kern w:val="2"/>
              <w14:ligatures w14:val="standardContextual"/>
            </w:rPr>
          </w:pPr>
          <w:hyperlink w:anchor="_Toc237512574" w:history="1">
            <w:r w:rsidRPr="00DE52F8">
              <w:rPr>
                <w:rStyle w:val="Hyperlink"/>
                <w:rFonts w:ascii="Arial" w:hAnsi="Arial" w:cs="Arial"/>
                <w:b w:val="0"/>
                <w:bCs w:val="0"/>
                <w:i w:val="0"/>
                <w:iCs w:val="0"/>
                <w:noProof/>
                <w:color w:val="auto"/>
              </w:rPr>
              <w:t>Technical Appendices</w:t>
            </w:r>
            <w:r w:rsidRPr="00DE52F8">
              <w:rPr>
                <w:rFonts w:ascii="Arial" w:hAnsi="Arial" w:cs="Arial"/>
                <w:b w:val="0"/>
                <w:bCs w:val="0"/>
                <w:i w:val="0"/>
                <w:iCs w:val="0"/>
                <w:noProof/>
                <w:webHidden/>
              </w:rPr>
              <w:tab/>
            </w:r>
            <w:r w:rsidRPr="00DE52F8">
              <w:rPr>
                <w:rFonts w:ascii="Arial" w:hAnsi="Arial" w:cs="Arial"/>
                <w:b w:val="0"/>
                <w:bCs w:val="0"/>
                <w:i w:val="0"/>
                <w:iCs w:val="0"/>
                <w:noProof/>
                <w:webHidden/>
              </w:rPr>
              <w:fldChar w:fldCharType="begin"/>
            </w:r>
            <w:r w:rsidRPr="00DE52F8">
              <w:rPr>
                <w:rFonts w:ascii="Arial" w:hAnsi="Arial" w:cs="Arial"/>
                <w:b w:val="0"/>
                <w:bCs w:val="0"/>
                <w:i w:val="0"/>
                <w:iCs w:val="0"/>
                <w:noProof/>
                <w:webHidden/>
              </w:rPr>
              <w:instrText xml:space="preserve"> PAGEREF _Toc237512574 \h </w:instrText>
            </w:r>
            <w:r w:rsidRPr="00DE52F8">
              <w:rPr>
                <w:rFonts w:ascii="Arial" w:hAnsi="Arial" w:cs="Arial"/>
                <w:b w:val="0"/>
                <w:bCs w:val="0"/>
                <w:i w:val="0"/>
                <w:iCs w:val="0"/>
                <w:noProof/>
                <w:webHidden/>
              </w:rPr>
            </w:r>
            <w:r w:rsidRPr="00DE52F8">
              <w:rPr>
                <w:rFonts w:ascii="Arial" w:hAnsi="Arial" w:cs="Arial"/>
                <w:b w:val="0"/>
                <w:bCs w:val="0"/>
                <w:i w:val="0"/>
                <w:iCs w:val="0"/>
                <w:noProof/>
                <w:webHidden/>
              </w:rPr>
              <w:fldChar w:fldCharType="separate"/>
            </w:r>
            <w:r w:rsidR="00A578DF">
              <w:rPr>
                <w:rFonts w:ascii="Arial" w:hAnsi="Arial" w:cs="Arial"/>
                <w:b w:val="0"/>
                <w:bCs w:val="0"/>
                <w:i w:val="0"/>
                <w:iCs w:val="0"/>
                <w:noProof/>
                <w:webHidden/>
              </w:rPr>
              <w:t>34</w:t>
            </w:r>
            <w:r w:rsidRPr="00DE52F8">
              <w:rPr>
                <w:rFonts w:ascii="Arial" w:hAnsi="Arial" w:cs="Arial"/>
                <w:b w:val="0"/>
                <w:bCs w:val="0"/>
                <w:i w:val="0"/>
                <w:iCs w:val="0"/>
                <w:noProof/>
                <w:webHidden/>
              </w:rPr>
              <w:fldChar w:fldCharType="end"/>
            </w:r>
          </w:hyperlink>
        </w:p>
        <w:p w14:paraId="7B621D6C" w14:textId="4E7F7C5D"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75" w:history="1">
            <w:r w:rsidRPr="00DE52F8">
              <w:rPr>
                <w:rStyle w:val="Hyperlink"/>
                <w:rFonts w:ascii="Arial" w:hAnsi="Arial" w:cs="Arial"/>
                <w:b w:val="0"/>
                <w:bCs w:val="0"/>
                <w:noProof/>
                <w:color w:val="auto"/>
              </w:rPr>
              <w:t>Appendix A. Selected staffing rules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_Toc237512575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34</w:t>
            </w:r>
            <w:r w:rsidRPr="00DE52F8">
              <w:rPr>
                <w:rFonts w:ascii="Arial" w:hAnsi="Arial" w:cs="Arial"/>
                <w:b w:val="0"/>
                <w:bCs w:val="0"/>
                <w:noProof/>
                <w:webHidden/>
              </w:rPr>
              <w:fldChar w:fldCharType="end"/>
            </w:r>
          </w:hyperlink>
        </w:p>
        <w:p w14:paraId="7E0FBFC7" w14:textId="311B1B27"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76" w:history="1">
            <w:r w:rsidRPr="00DE52F8">
              <w:rPr>
                <w:rStyle w:val="Hyperlink"/>
                <w:rFonts w:ascii="Arial" w:hAnsi="Arial" w:cs="Arial"/>
                <w:b w:val="0"/>
                <w:bCs w:val="0"/>
                <w:noProof/>
                <w:color w:val="auto"/>
              </w:rPr>
              <w:t>Appendix B. Report exhibit traceability</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_Toc237512576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35</w:t>
            </w:r>
            <w:r w:rsidRPr="00DE52F8">
              <w:rPr>
                <w:rFonts w:ascii="Arial" w:hAnsi="Arial" w:cs="Arial"/>
                <w:b w:val="0"/>
                <w:bCs w:val="0"/>
                <w:noProof/>
                <w:webHidden/>
              </w:rPr>
              <w:fldChar w:fldCharType="end"/>
            </w:r>
          </w:hyperlink>
        </w:p>
        <w:p w14:paraId="3D3D25C3" w14:textId="6CF9A137" w:rsidR="007F13D6" w:rsidRPr="00DE52F8" w:rsidRDefault="007F13D6">
          <w:pPr>
            <w:pStyle w:val="TOC2"/>
            <w:tabs>
              <w:tab w:val="right" w:leader="dot" w:pos="9350"/>
            </w:tabs>
            <w:rPr>
              <w:rFonts w:ascii="Arial" w:eastAsiaTheme="minorEastAsia" w:hAnsi="Arial" w:cs="Arial"/>
              <w:b w:val="0"/>
              <w:bCs w:val="0"/>
              <w:noProof/>
              <w:kern w:val="2"/>
              <w:sz w:val="24"/>
              <w:szCs w:val="24"/>
              <w14:ligatures w14:val="standardContextual"/>
            </w:rPr>
          </w:pPr>
          <w:hyperlink w:anchor="_Toc237512577" w:history="1">
            <w:r w:rsidRPr="00DE52F8">
              <w:rPr>
                <w:rStyle w:val="Hyperlink"/>
                <w:rFonts w:ascii="Arial" w:hAnsi="Arial" w:cs="Arial"/>
                <w:b w:val="0"/>
                <w:bCs w:val="0"/>
                <w:noProof/>
                <w:color w:val="auto"/>
              </w:rPr>
              <w:t>Appendix C. Interpretation guardrails</w:t>
            </w:r>
            <w:r w:rsidRPr="00DE52F8">
              <w:rPr>
                <w:rFonts w:ascii="Arial" w:hAnsi="Arial" w:cs="Arial"/>
                <w:b w:val="0"/>
                <w:bCs w:val="0"/>
                <w:noProof/>
                <w:webHidden/>
              </w:rPr>
              <w:tab/>
            </w:r>
            <w:r w:rsidRPr="00DE52F8">
              <w:rPr>
                <w:rFonts w:ascii="Arial" w:hAnsi="Arial" w:cs="Arial"/>
                <w:b w:val="0"/>
                <w:bCs w:val="0"/>
                <w:noProof/>
                <w:webHidden/>
              </w:rPr>
              <w:fldChar w:fldCharType="begin"/>
            </w:r>
            <w:r w:rsidRPr="00DE52F8">
              <w:rPr>
                <w:rFonts w:ascii="Arial" w:hAnsi="Arial" w:cs="Arial"/>
                <w:b w:val="0"/>
                <w:bCs w:val="0"/>
                <w:noProof/>
                <w:webHidden/>
              </w:rPr>
              <w:instrText xml:space="preserve"> PAGEREF _Toc237512577 \h </w:instrText>
            </w:r>
            <w:r w:rsidRPr="00DE52F8">
              <w:rPr>
                <w:rFonts w:ascii="Arial" w:hAnsi="Arial" w:cs="Arial"/>
                <w:b w:val="0"/>
                <w:bCs w:val="0"/>
                <w:noProof/>
                <w:webHidden/>
              </w:rPr>
            </w:r>
            <w:r w:rsidRPr="00DE52F8">
              <w:rPr>
                <w:rFonts w:ascii="Arial" w:hAnsi="Arial" w:cs="Arial"/>
                <w:b w:val="0"/>
                <w:bCs w:val="0"/>
                <w:noProof/>
                <w:webHidden/>
              </w:rPr>
              <w:fldChar w:fldCharType="separate"/>
            </w:r>
            <w:r w:rsidR="00A578DF">
              <w:rPr>
                <w:rFonts w:ascii="Arial" w:hAnsi="Arial" w:cs="Arial"/>
                <w:b w:val="0"/>
                <w:bCs w:val="0"/>
                <w:noProof/>
                <w:webHidden/>
              </w:rPr>
              <w:t>35</w:t>
            </w:r>
            <w:r w:rsidRPr="00DE52F8">
              <w:rPr>
                <w:rFonts w:ascii="Arial" w:hAnsi="Arial" w:cs="Arial"/>
                <w:b w:val="0"/>
                <w:bCs w:val="0"/>
                <w:noProof/>
                <w:webHidden/>
              </w:rPr>
              <w:fldChar w:fldCharType="end"/>
            </w:r>
          </w:hyperlink>
        </w:p>
        <w:p w14:paraId="56C4E8C8" w14:textId="6DDE760A" w:rsidR="002C2639" w:rsidRPr="007F13D6" w:rsidRDefault="0089770D" w:rsidP="00CE7AFC">
          <w:pPr>
            <w:spacing w:before="120" w:after="120" w:line="240" w:lineRule="auto"/>
            <w:rPr>
              <w:rFonts w:ascii="Arial" w:hAnsi="Arial" w:cs="Arial"/>
              <w:b/>
              <w:bCs/>
              <w:noProof/>
            </w:rPr>
          </w:pPr>
          <w:r w:rsidRPr="00DE52F8">
            <w:rPr>
              <w:rFonts w:ascii="Arial" w:hAnsi="Arial" w:cs="Arial"/>
              <w:noProof/>
              <w:szCs w:val="20"/>
            </w:rPr>
            <w:fldChar w:fldCharType="end"/>
          </w:r>
        </w:p>
      </w:sdtContent>
    </w:sdt>
    <w:p w14:paraId="48324735" w14:textId="77777777" w:rsidR="0081179A" w:rsidRPr="007F13D6" w:rsidRDefault="0081179A" w:rsidP="00CE7AFC">
      <w:pPr>
        <w:spacing w:before="120" w:after="120" w:line="240" w:lineRule="auto"/>
        <w:rPr>
          <w:rFonts w:ascii="Arial" w:eastAsiaTheme="majorEastAsia" w:hAnsi="Arial" w:cs="Arial"/>
          <w:b/>
          <w:bCs/>
          <w:color w:val="1F4E78"/>
          <w:sz w:val="36"/>
          <w:szCs w:val="28"/>
        </w:rPr>
      </w:pPr>
      <w:r w:rsidRPr="007F13D6">
        <w:rPr>
          <w:rFonts w:ascii="Arial" w:hAnsi="Arial" w:cs="Arial"/>
        </w:rPr>
        <w:br w:type="page"/>
      </w:r>
    </w:p>
    <w:p w14:paraId="5B231F4A" w14:textId="4193A119" w:rsidR="00726538" w:rsidRPr="007F13D6" w:rsidRDefault="00954852" w:rsidP="00CE7AFC">
      <w:pPr>
        <w:pStyle w:val="Heading1"/>
        <w:spacing w:before="120" w:after="120" w:line="240" w:lineRule="auto"/>
        <w:rPr>
          <w:rFonts w:ascii="Arial" w:hAnsi="Arial" w:cs="Arial"/>
        </w:rPr>
      </w:pPr>
      <w:bookmarkStart w:id="0" w:name="_Toc237512535"/>
      <w:r w:rsidRPr="007F13D6">
        <w:rPr>
          <w:rFonts w:ascii="Arial" w:hAnsi="Arial" w:cs="Arial"/>
        </w:rPr>
        <w:lastRenderedPageBreak/>
        <w:t>Executive Summary</w:t>
      </w:r>
      <w:bookmarkEnd w:id="0"/>
    </w:p>
    <w:p w14:paraId="58F73F80" w14:textId="77777777" w:rsidR="001E0FA1" w:rsidRPr="007F13D6" w:rsidRDefault="001E0FA1" w:rsidP="00CE7AFC">
      <w:pPr>
        <w:spacing w:before="120" w:after="120" w:line="240" w:lineRule="auto"/>
        <w:rPr>
          <w:rFonts w:ascii="Arial" w:hAnsi="Arial" w:cs="Arial"/>
          <w:b/>
          <w:bCs/>
          <w:color w:val="2F75B5"/>
          <w:sz w:val="28"/>
          <w:szCs w:val="28"/>
        </w:rPr>
      </w:pPr>
      <w:r w:rsidRPr="007F13D6">
        <w:rPr>
          <w:rFonts w:ascii="Arial" w:hAnsi="Arial" w:cs="Arial"/>
          <w:b/>
          <w:bCs/>
          <w:color w:val="2F75B5"/>
          <w:sz w:val="28"/>
          <w:szCs w:val="28"/>
        </w:rPr>
        <w:t>What the analysis found</w:t>
      </w:r>
    </w:p>
    <w:p w14:paraId="204C086A" w14:textId="77777777" w:rsidR="001E0FA1" w:rsidRPr="007F13D6" w:rsidRDefault="001E0FA1" w:rsidP="00CE7AFC">
      <w:pPr>
        <w:spacing w:before="120" w:after="120" w:line="240" w:lineRule="auto"/>
        <w:rPr>
          <w:rFonts w:ascii="Arial" w:hAnsi="Arial" w:cs="Arial"/>
        </w:rPr>
      </w:pPr>
      <w:r w:rsidRPr="007F13D6">
        <w:rPr>
          <w:rFonts w:ascii="Arial" w:hAnsi="Arial" w:cs="Arial"/>
        </w:rPr>
        <w:t>The proposed Hybrid Funding Model changes how Delaware calculates and distributes school funding, including the staffing positions generated through the formula and two proposed weighted funding streams for student and operational needs.</w:t>
      </w:r>
    </w:p>
    <w:p w14:paraId="693D146F" w14:textId="77777777" w:rsidR="00DA37C7" w:rsidRDefault="001E0FA1" w:rsidP="00CE7AFC">
      <w:pPr>
        <w:spacing w:before="120" w:after="120" w:line="240" w:lineRule="auto"/>
        <w:rPr>
          <w:rFonts w:ascii="Arial" w:hAnsi="Arial" w:cs="Arial"/>
        </w:rPr>
      </w:pPr>
      <w:r w:rsidRPr="007F13D6">
        <w:rPr>
          <w:rFonts w:ascii="Arial" w:hAnsi="Arial" w:cs="Arial"/>
        </w:rPr>
        <w:t xml:space="preserve">The IV&amp;V examined the proposal in three ways: </w:t>
      </w:r>
    </w:p>
    <w:p w14:paraId="4904EE52" w14:textId="77777777" w:rsidR="00DA37C7" w:rsidRDefault="001E0FA1" w:rsidP="00DA37C7">
      <w:pPr>
        <w:pStyle w:val="ListParagraph"/>
        <w:numPr>
          <w:ilvl w:val="0"/>
          <w:numId w:val="32"/>
        </w:numPr>
        <w:spacing w:before="120" w:after="120" w:line="240" w:lineRule="auto"/>
        <w:rPr>
          <w:rFonts w:ascii="Arial" w:hAnsi="Arial" w:cs="Arial"/>
        </w:rPr>
      </w:pPr>
      <w:r w:rsidRPr="00DA37C7">
        <w:rPr>
          <w:rFonts w:ascii="Arial" w:hAnsi="Arial" w:cs="Arial"/>
        </w:rPr>
        <w:t>it recreated the current staffing model for comparison</w:t>
      </w:r>
    </w:p>
    <w:p w14:paraId="759AA61E" w14:textId="77777777" w:rsidR="00DA37C7" w:rsidRDefault="001E0FA1" w:rsidP="00DA37C7">
      <w:pPr>
        <w:pStyle w:val="ListParagraph"/>
        <w:numPr>
          <w:ilvl w:val="0"/>
          <w:numId w:val="32"/>
        </w:numPr>
        <w:spacing w:before="120" w:after="120" w:line="240" w:lineRule="auto"/>
        <w:rPr>
          <w:rFonts w:ascii="Arial" w:hAnsi="Arial" w:cs="Arial"/>
        </w:rPr>
      </w:pPr>
      <w:r w:rsidRPr="00DA37C7">
        <w:rPr>
          <w:rFonts w:ascii="Arial" w:hAnsi="Arial" w:cs="Arial"/>
        </w:rPr>
        <w:t>independently implemented the proposed model</w:t>
      </w:r>
    </w:p>
    <w:p w14:paraId="1FEB881A" w14:textId="17DF8915" w:rsidR="001E0FA1" w:rsidRPr="00DA37C7" w:rsidRDefault="001E0FA1" w:rsidP="00DA37C7">
      <w:pPr>
        <w:pStyle w:val="ListParagraph"/>
        <w:numPr>
          <w:ilvl w:val="0"/>
          <w:numId w:val="32"/>
        </w:numPr>
        <w:spacing w:before="120" w:after="120" w:line="240" w:lineRule="auto"/>
        <w:rPr>
          <w:rFonts w:ascii="Arial" w:hAnsi="Arial" w:cs="Arial"/>
        </w:rPr>
      </w:pPr>
      <w:r w:rsidRPr="00DA37C7">
        <w:rPr>
          <w:rFonts w:ascii="Arial" w:hAnsi="Arial" w:cs="Arial"/>
        </w:rPr>
        <w:t>compared that independent implementation with the PEFC workbook used to present the proposal.</w:t>
      </w:r>
    </w:p>
    <w:p w14:paraId="29D10CC3" w14:textId="45255E04" w:rsidR="001E0FA1" w:rsidRPr="007F13D6" w:rsidRDefault="001E0FA1" w:rsidP="00CE7AFC">
      <w:pPr>
        <w:spacing w:before="120" w:after="120" w:line="240" w:lineRule="auto"/>
        <w:rPr>
          <w:rFonts w:ascii="Arial" w:hAnsi="Arial" w:cs="Arial"/>
        </w:rPr>
      </w:pPr>
      <w:r w:rsidRPr="007F13D6">
        <w:rPr>
          <w:rFonts w:ascii="Arial" w:hAnsi="Arial" w:cs="Arial"/>
        </w:rPr>
        <w:t>The analysis covers 43 LEAs for SY 2025–26: 19 districts and 24 charter schools. BASSE is included; Delaware Air Force Base is excluded.</w:t>
      </w:r>
    </w:p>
    <w:tbl>
      <w:tblPr>
        <w:tblW w:w="9504" w:type="dxa"/>
        <w:jc w:val="center"/>
        <w:tblLayout w:type="fixed"/>
        <w:tblLook w:val="04A0" w:firstRow="1" w:lastRow="0" w:firstColumn="1" w:lastColumn="0" w:noHBand="0" w:noVBand="1"/>
      </w:tblPr>
      <w:tblGrid>
        <w:gridCol w:w="9504"/>
      </w:tblGrid>
      <w:tr w:rsidR="001E0FA1" w:rsidRPr="007F13D6" w14:paraId="5425DCE5" w14:textId="77777777">
        <w:trPr>
          <w:cantSplit/>
          <w:jc w:val="center"/>
        </w:trPr>
        <w:tc>
          <w:tcPr>
            <w:tcW w:w="9504" w:type="dxa"/>
            <w:tcBorders>
              <w:top w:val="single" w:sz="10" w:space="0" w:color="1F4E78"/>
              <w:left w:val="single" w:sz="10" w:space="0" w:color="1F4E78"/>
              <w:bottom w:val="single" w:sz="10" w:space="0" w:color="1F4E78"/>
              <w:right w:val="single" w:sz="10" w:space="0" w:color="1F4E78"/>
            </w:tcBorders>
            <w:shd w:val="clear" w:color="auto" w:fill="D9EAF7"/>
            <w:tcMar>
              <w:top w:w="110" w:type="dxa"/>
              <w:left w:w="150" w:type="dxa"/>
              <w:bottom w:w="110" w:type="dxa"/>
              <w:right w:w="150" w:type="dxa"/>
            </w:tcMar>
          </w:tcPr>
          <w:p w14:paraId="53E35AF9" w14:textId="1506CCA5" w:rsidR="001E0FA1" w:rsidRPr="007F13D6" w:rsidRDefault="00110CEB" w:rsidP="00CE7AFC">
            <w:pPr>
              <w:spacing w:before="120" w:after="120" w:line="240" w:lineRule="auto"/>
              <w:rPr>
                <w:rFonts w:ascii="Arial" w:hAnsi="Arial" w:cs="Arial"/>
              </w:rPr>
            </w:pPr>
            <w:r w:rsidRPr="00110CEB">
              <w:rPr>
                <w:rFonts w:ascii="Arial" w:hAnsi="Arial" w:cs="Arial"/>
                <w:b/>
                <w:color w:val="1F4E78"/>
              </w:rPr>
              <w:t>Key takeaway</w:t>
            </w:r>
            <w:r w:rsidR="001E0FA1" w:rsidRPr="007F13D6">
              <w:rPr>
                <w:rFonts w:ascii="Arial" w:hAnsi="Arial" w:cs="Arial"/>
                <w:b/>
                <w:color w:val="1F4E78"/>
              </w:rPr>
              <w:t>:</w:t>
            </w:r>
            <w:r w:rsidR="001E0FA1" w:rsidRPr="007F13D6">
              <w:rPr>
                <w:rFonts w:ascii="Arial" w:hAnsi="Arial" w:cs="Arial"/>
              </w:rPr>
              <w:t xml:space="preserve"> The proposed model produces approximately $47.1 million more in comparable staffing funding</w:t>
            </w:r>
            <w:r w:rsidR="00E07821">
              <w:rPr>
                <w:rFonts w:ascii="Arial" w:hAnsi="Arial" w:cs="Arial"/>
              </w:rPr>
              <w:t xml:space="preserve"> and</w:t>
            </w:r>
            <w:r w:rsidR="001E0FA1" w:rsidRPr="007F13D6">
              <w:rPr>
                <w:rFonts w:ascii="Arial" w:hAnsi="Arial" w:cs="Arial"/>
              </w:rPr>
              <w:t xml:space="preserve"> that increase is not being driven by core classroom teaching positions. Core teaching is essentially unchanged statewide, while other comparable administrative and support staffing increases by approximately 421 modeled positions. The IV&amp;V also independently reproduces the overall PEFC proposed model within 0.18%.</w:t>
            </w:r>
          </w:p>
        </w:tc>
      </w:tr>
    </w:tbl>
    <w:p w14:paraId="4B98203F" w14:textId="77777777" w:rsidR="001E0FA1" w:rsidRPr="007F13D6" w:rsidRDefault="001E0FA1" w:rsidP="00CE7AFC">
      <w:pPr>
        <w:spacing w:before="120" w:after="120" w:line="240" w:lineRule="auto"/>
        <w:rPr>
          <w:rFonts w:ascii="Arial" w:hAnsi="Arial" w:cs="Arial"/>
          <w:b/>
          <w:bCs/>
          <w:color w:val="2F75B5"/>
          <w:sz w:val="28"/>
          <w:szCs w:val="28"/>
        </w:rPr>
      </w:pPr>
      <w:r w:rsidRPr="007F13D6">
        <w:rPr>
          <w:rFonts w:ascii="Arial" w:hAnsi="Arial" w:cs="Arial"/>
          <w:b/>
          <w:bCs/>
          <w:color w:val="2F75B5"/>
          <w:sz w:val="28"/>
          <w:szCs w:val="28"/>
        </w:rPr>
        <w:t>Four numbers to know</w:t>
      </w:r>
    </w:p>
    <w:tbl>
      <w:tblPr>
        <w:tblW w:w="9792" w:type="dxa"/>
        <w:jc w:val="center"/>
        <w:tblLayout w:type="fixed"/>
        <w:tblLook w:val="04A0" w:firstRow="1" w:lastRow="0" w:firstColumn="1" w:lastColumn="0" w:noHBand="0" w:noVBand="1"/>
      </w:tblPr>
      <w:tblGrid>
        <w:gridCol w:w="2448"/>
        <w:gridCol w:w="2448"/>
        <w:gridCol w:w="2448"/>
        <w:gridCol w:w="2448"/>
      </w:tblGrid>
      <w:tr w:rsidR="001E0FA1" w:rsidRPr="007F13D6" w14:paraId="20DC117D" w14:textId="77777777" w:rsidTr="00C16473">
        <w:trPr>
          <w:cantSplit/>
          <w:jc w:val="center"/>
        </w:trPr>
        <w:tc>
          <w:tcPr>
            <w:tcW w:w="2448" w:type="dxa"/>
            <w:tcBorders>
              <w:top w:val="single" w:sz="6" w:space="0" w:color="B4C6D7"/>
              <w:left w:val="single" w:sz="6" w:space="0" w:color="B4C6D7"/>
              <w:bottom w:val="single" w:sz="6" w:space="0" w:color="B4C6D7"/>
              <w:right w:val="single" w:sz="6" w:space="0" w:color="B4C6D7"/>
            </w:tcBorders>
            <w:shd w:val="clear" w:color="auto" w:fill="EAF3F8"/>
            <w:tcMar>
              <w:top w:w="120" w:type="dxa"/>
              <w:left w:w="85" w:type="dxa"/>
              <w:bottom w:w="110" w:type="dxa"/>
              <w:right w:w="85" w:type="dxa"/>
            </w:tcMar>
            <w:vAlign w:val="center"/>
          </w:tcPr>
          <w:p w14:paraId="2619EFAC" w14:textId="77777777" w:rsidR="001E0FA1" w:rsidRPr="007F13D6" w:rsidRDefault="001E0FA1" w:rsidP="00CE7AFC">
            <w:pPr>
              <w:spacing w:before="120" w:after="120" w:line="240" w:lineRule="auto"/>
              <w:jc w:val="center"/>
              <w:rPr>
                <w:rFonts w:ascii="Arial" w:hAnsi="Arial" w:cs="Arial"/>
                <w:sz w:val="24"/>
                <w:szCs w:val="24"/>
              </w:rPr>
            </w:pPr>
            <w:r w:rsidRPr="007F13D6">
              <w:rPr>
                <w:rFonts w:ascii="Arial" w:hAnsi="Arial" w:cs="Arial"/>
                <w:b/>
                <w:color w:val="1F4E78"/>
                <w:sz w:val="24"/>
                <w:szCs w:val="24"/>
              </w:rPr>
              <w:t>+$47.1M</w:t>
            </w:r>
          </w:p>
          <w:p w14:paraId="4C0C6AB5" w14:textId="77777777" w:rsidR="001E0FA1" w:rsidRPr="007F13D6" w:rsidRDefault="001E0FA1" w:rsidP="00CE7AFC">
            <w:pPr>
              <w:spacing w:before="120" w:after="120" w:line="240" w:lineRule="auto"/>
              <w:jc w:val="center"/>
              <w:rPr>
                <w:rFonts w:ascii="Arial" w:hAnsi="Arial" w:cs="Arial"/>
                <w:sz w:val="17"/>
                <w:szCs w:val="17"/>
              </w:rPr>
            </w:pPr>
            <w:r w:rsidRPr="007F13D6">
              <w:rPr>
                <w:rFonts w:ascii="Arial" w:hAnsi="Arial" w:cs="Arial"/>
                <w:b/>
                <w:color w:val="1F4E78"/>
                <w:sz w:val="17"/>
                <w:szCs w:val="17"/>
              </w:rPr>
              <w:t>Comparable staffing funding</w:t>
            </w:r>
          </w:p>
          <w:p w14:paraId="136677B3" w14:textId="77777777" w:rsidR="001E0FA1" w:rsidRPr="007F13D6" w:rsidRDefault="001E0FA1" w:rsidP="00CE7AFC">
            <w:pPr>
              <w:spacing w:before="120" w:after="120" w:line="240" w:lineRule="auto"/>
              <w:jc w:val="center"/>
              <w:rPr>
                <w:rFonts w:ascii="Arial" w:hAnsi="Arial" w:cs="Arial"/>
                <w:b/>
                <w:bCs/>
                <w:color w:val="2F75B5"/>
                <w:sz w:val="17"/>
                <w:szCs w:val="17"/>
              </w:rPr>
            </w:pPr>
            <w:r w:rsidRPr="007F13D6">
              <w:rPr>
                <w:rFonts w:ascii="Arial" w:hAnsi="Arial" w:cs="Arial"/>
                <w:b/>
                <w:bCs/>
                <w:color w:val="2F75B5"/>
                <w:sz w:val="17"/>
                <w:szCs w:val="17"/>
              </w:rPr>
              <w:t>$1.564B current vs. $1.611B proposed</w:t>
            </w:r>
          </w:p>
          <w:p w14:paraId="5D0ACE9D" w14:textId="77777777" w:rsidR="001E0FA1" w:rsidRPr="007F13D6" w:rsidRDefault="001E0FA1" w:rsidP="00CE7AFC">
            <w:pPr>
              <w:spacing w:before="120" w:after="120" w:line="240" w:lineRule="auto"/>
              <w:jc w:val="center"/>
              <w:rPr>
                <w:rFonts w:ascii="Arial" w:hAnsi="Arial" w:cs="Arial"/>
                <w:color w:val="666666"/>
                <w:sz w:val="17"/>
                <w:szCs w:val="17"/>
              </w:rPr>
            </w:pPr>
            <w:r w:rsidRPr="007F13D6">
              <w:rPr>
                <w:rFonts w:ascii="Arial" w:hAnsi="Arial" w:cs="Arial"/>
                <w:color w:val="666666"/>
                <w:sz w:val="17"/>
                <w:szCs w:val="17"/>
              </w:rPr>
              <w:t>3.0% more modeled staffing funding</w:t>
            </w:r>
          </w:p>
        </w:tc>
        <w:tc>
          <w:tcPr>
            <w:tcW w:w="2448" w:type="dxa"/>
            <w:tcBorders>
              <w:top w:val="single" w:sz="6" w:space="0" w:color="B4C6D7"/>
              <w:left w:val="single" w:sz="6" w:space="0" w:color="B4C6D7"/>
              <w:bottom w:val="single" w:sz="6" w:space="0" w:color="B4C6D7"/>
              <w:right w:val="single" w:sz="6" w:space="0" w:color="B4C6D7"/>
            </w:tcBorders>
            <w:shd w:val="clear" w:color="auto" w:fill="D9EAF7"/>
            <w:tcMar>
              <w:top w:w="120" w:type="dxa"/>
              <w:left w:w="85" w:type="dxa"/>
              <w:bottom w:w="110" w:type="dxa"/>
              <w:right w:w="85" w:type="dxa"/>
            </w:tcMar>
            <w:vAlign w:val="center"/>
          </w:tcPr>
          <w:p w14:paraId="02A54CE8" w14:textId="77777777" w:rsidR="001E0FA1" w:rsidRPr="007F13D6" w:rsidRDefault="001E0FA1" w:rsidP="00CE7AFC">
            <w:pPr>
              <w:spacing w:before="120" w:after="120" w:line="240" w:lineRule="auto"/>
              <w:jc w:val="center"/>
              <w:rPr>
                <w:rFonts w:ascii="Arial" w:hAnsi="Arial" w:cs="Arial"/>
                <w:sz w:val="24"/>
                <w:szCs w:val="24"/>
              </w:rPr>
            </w:pPr>
            <w:r w:rsidRPr="007F13D6">
              <w:rPr>
                <w:rFonts w:ascii="Arial" w:hAnsi="Arial" w:cs="Arial"/>
                <w:b/>
                <w:color w:val="1F4E78"/>
                <w:sz w:val="24"/>
                <w:szCs w:val="24"/>
              </w:rPr>
              <w:t>+0.26 positions</w:t>
            </w:r>
          </w:p>
          <w:p w14:paraId="1A841B07" w14:textId="77777777" w:rsidR="001E0FA1" w:rsidRPr="007F13D6" w:rsidRDefault="001E0FA1" w:rsidP="00CE7AFC">
            <w:pPr>
              <w:spacing w:before="120" w:after="120" w:line="240" w:lineRule="auto"/>
              <w:jc w:val="center"/>
              <w:rPr>
                <w:rFonts w:ascii="Arial" w:hAnsi="Arial" w:cs="Arial"/>
                <w:b/>
                <w:color w:val="1F4E78"/>
                <w:sz w:val="17"/>
                <w:szCs w:val="17"/>
              </w:rPr>
            </w:pPr>
            <w:r w:rsidRPr="007F13D6">
              <w:rPr>
                <w:rFonts w:ascii="Arial" w:hAnsi="Arial" w:cs="Arial"/>
                <w:b/>
                <w:color w:val="1F4E78"/>
                <w:sz w:val="17"/>
                <w:szCs w:val="17"/>
              </w:rPr>
              <w:t>Core Division I teaching positions</w:t>
            </w:r>
          </w:p>
          <w:p w14:paraId="590D9E9B" w14:textId="77777777" w:rsidR="001E0FA1" w:rsidRPr="007F13D6" w:rsidRDefault="001E0FA1" w:rsidP="00CE7AFC">
            <w:pPr>
              <w:spacing w:before="120" w:after="120" w:line="240" w:lineRule="auto"/>
              <w:jc w:val="center"/>
              <w:rPr>
                <w:rFonts w:ascii="Arial" w:hAnsi="Arial" w:cs="Arial"/>
                <w:b/>
                <w:bCs/>
                <w:color w:val="2F75B5"/>
                <w:sz w:val="17"/>
                <w:szCs w:val="17"/>
              </w:rPr>
            </w:pPr>
            <w:r w:rsidRPr="007F13D6">
              <w:rPr>
                <w:rFonts w:ascii="Arial" w:hAnsi="Arial" w:cs="Arial"/>
                <w:b/>
                <w:bCs/>
                <w:color w:val="2F75B5"/>
                <w:sz w:val="17"/>
                <w:szCs w:val="17"/>
              </w:rPr>
              <w:t>11,754.38 current vs. 11,754.64 proposed</w:t>
            </w:r>
          </w:p>
          <w:p w14:paraId="7A8A8097" w14:textId="77777777" w:rsidR="001E0FA1" w:rsidRPr="007F13D6" w:rsidRDefault="001E0FA1" w:rsidP="00CE7AFC">
            <w:pPr>
              <w:spacing w:before="120" w:after="120" w:line="240" w:lineRule="auto"/>
              <w:jc w:val="center"/>
              <w:rPr>
                <w:rFonts w:ascii="Arial" w:hAnsi="Arial" w:cs="Arial"/>
                <w:color w:val="666666"/>
                <w:sz w:val="17"/>
                <w:szCs w:val="17"/>
              </w:rPr>
            </w:pPr>
            <w:r w:rsidRPr="007F13D6">
              <w:rPr>
                <w:rFonts w:ascii="Arial" w:hAnsi="Arial" w:cs="Arial"/>
                <w:color w:val="666666"/>
                <w:sz w:val="17"/>
                <w:szCs w:val="17"/>
              </w:rPr>
              <w:t>Regular education, special education, and net vocational teaching positions are essentially unchanged statewide</w:t>
            </w:r>
          </w:p>
        </w:tc>
        <w:tc>
          <w:tcPr>
            <w:tcW w:w="2448" w:type="dxa"/>
            <w:tcBorders>
              <w:top w:val="single" w:sz="6" w:space="0" w:color="B4C6D7"/>
              <w:left w:val="single" w:sz="6" w:space="0" w:color="B4C6D7"/>
              <w:bottom w:val="single" w:sz="6" w:space="0" w:color="B4C6D7"/>
              <w:right w:val="single" w:sz="6" w:space="0" w:color="B4C6D7"/>
            </w:tcBorders>
            <w:shd w:val="clear" w:color="auto" w:fill="EAF3F8"/>
            <w:tcMar>
              <w:top w:w="120" w:type="dxa"/>
              <w:left w:w="85" w:type="dxa"/>
              <w:bottom w:w="110" w:type="dxa"/>
              <w:right w:w="85" w:type="dxa"/>
            </w:tcMar>
            <w:vAlign w:val="center"/>
          </w:tcPr>
          <w:p w14:paraId="2E740A5B" w14:textId="77777777" w:rsidR="001E0FA1" w:rsidRPr="007F13D6" w:rsidRDefault="001E0FA1" w:rsidP="00CE7AFC">
            <w:pPr>
              <w:spacing w:before="120" w:after="120" w:line="240" w:lineRule="auto"/>
              <w:jc w:val="center"/>
              <w:rPr>
                <w:rFonts w:ascii="Arial" w:hAnsi="Arial" w:cs="Arial"/>
                <w:b/>
                <w:color w:val="1F4E78"/>
                <w:sz w:val="24"/>
                <w:szCs w:val="24"/>
              </w:rPr>
            </w:pPr>
            <w:r w:rsidRPr="007F13D6">
              <w:rPr>
                <w:rFonts w:ascii="Arial" w:hAnsi="Arial" w:cs="Arial"/>
                <w:b/>
                <w:color w:val="1F4E78"/>
                <w:sz w:val="24"/>
                <w:szCs w:val="24"/>
              </w:rPr>
              <w:t>+421 positions</w:t>
            </w:r>
          </w:p>
          <w:p w14:paraId="34BE154F" w14:textId="77777777" w:rsidR="001E0FA1" w:rsidRPr="007F13D6" w:rsidRDefault="001E0FA1" w:rsidP="00CE7AFC">
            <w:pPr>
              <w:spacing w:before="120" w:after="120" w:line="240" w:lineRule="auto"/>
              <w:jc w:val="center"/>
              <w:rPr>
                <w:rFonts w:ascii="Arial" w:hAnsi="Arial" w:cs="Arial"/>
                <w:b/>
                <w:color w:val="1F4E78"/>
                <w:sz w:val="17"/>
                <w:szCs w:val="17"/>
              </w:rPr>
            </w:pPr>
            <w:r w:rsidRPr="007F13D6">
              <w:rPr>
                <w:rFonts w:ascii="Arial" w:hAnsi="Arial" w:cs="Arial"/>
                <w:b/>
                <w:color w:val="1F4E78"/>
                <w:sz w:val="17"/>
                <w:szCs w:val="17"/>
              </w:rPr>
              <w:t>School administration, support &amp; Central Office positions</w:t>
            </w:r>
          </w:p>
          <w:p w14:paraId="7B443FC7" w14:textId="77777777" w:rsidR="001E0FA1" w:rsidRPr="007F13D6" w:rsidRDefault="001E0FA1" w:rsidP="00CE7AFC">
            <w:pPr>
              <w:spacing w:before="120" w:after="120" w:line="240" w:lineRule="auto"/>
              <w:jc w:val="center"/>
              <w:rPr>
                <w:rFonts w:ascii="Arial" w:hAnsi="Arial" w:cs="Arial"/>
                <w:b/>
                <w:bCs/>
                <w:color w:val="2F75B5"/>
                <w:sz w:val="17"/>
                <w:szCs w:val="17"/>
              </w:rPr>
            </w:pPr>
            <w:r w:rsidRPr="007F13D6">
              <w:rPr>
                <w:rFonts w:ascii="Arial" w:hAnsi="Arial" w:cs="Arial"/>
                <w:b/>
                <w:bCs/>
                <w:color w:val="2F75B5"/>
                <w:sz w:val="17"/>
                <w:szCs w:val="17"/>
              </w:rPr>
              <w:t>Approximately +421 positions on net</w:t>
            </w:r>
          </w:p>
          <w:p w14:paraId="044FAB75" w14:textId="77777777" w:rsidR="001E0FA1" w:rsidRPr="007F13D6" w:rsidRDefault="001E0FA1" w:rsidP="00CE7AFC">
            <w:pPr>
              <w:spacing w:before="120" w:after="120" w:line="240" w:lineRule="auto"/>
              <w:jc w:val="center"/>
              <w:rPr>
                <w:rFonts w:ascii="Arial" w:hAnsi="Arial" w:cs="Arial"/>
                <w:color w:val="666666"/>
                <w:sz w:val="17"/>
                <w:szCs w:val="17"/>
              </w:rPr>
            </w:pPr>
            <w:r w:rsidRPr="007F13D6">
              <w:rPr>
                <w:rFonts w:ascii="Arial" w:hAnsi="Arial" w:cs="Arial"/>
                <w:color w:val="666666"/>
                <w:sz w:val="17"/>
                <w:szCs w:val="17"/>
              </w:rPr>
              <w:t>Net modeled increase across comparable staffing categories outside core Division I teaching</w:t>
            </w:r>
          </w:p>
        </w:tc>
        <w:tc>
          <w:tcPr>
            <w:tcW w:w="2448" w:type="dxa"/>
            <w:tcBorders>
              <w:top w:val="single" w:sz="6" w:space="0" w:color="B4C6D7"/>
              <w:left w:val="single" w:sz="6" w:space="0" w:color="B4C6D7"/>
              <w:bottom w:val="single" w:sz="6" w:space="0" w:color="B4C6D7"/>
              <w:right w:val="single" w:sz="6" w:space="0" w:color="B4C6D7"/>
            </w:tcBorders>
            <w:shd w:val="clear" w:color="auto" w:fill="D9EAF7"/>
            <w:tcMar>
              <w:top w:w="120" w:type="dxa"/>
              <w:left w:w="85" w:type="dxa"/>
              <w:bottom w:w="110" w:type="dxa"/>
              <w:right w:w="85" w:type="dxa"/>
            </w:tcMar>
            <w:vAlign w:val="center"/>
          </w:tcPr>
          <w:p w14:paraId="7F716C36" w14:textId="77777777" w:rsidR="001E0FA1" w:rsidRPr="007F13D6" w:rsidRDefault="001E0FA1" w:rsidP="00CE7AFC">
            <w:pPr>
              <w:spacing w:before="120" w:after="120" w:line="240" w:lineRule="auto"/>
              <w:jc w:val="center"/>
              <w:rPr>
                <w:rFonts w:ascii="Arial" w:hAnsi="Arial" w:cs="Arial"/>
                <w:sz w:val="24"/>
                <w:szCs w:val="24"/>
              </w:rPr>
            </w:pPr>
            <w:r w:rsidRPr="007F13D6">
              <w:rPr>
                <w:rFonts w:ascii="Arial" w:hAnsi="Arial" w:cs="Arial"/>
                <w:b/>
                <w:color w:val="1F4E78"/>
                <w:sz w:val="24"/>
                <w:szCs w:val="24"/>
              </w:rPr>
              <w:t>0.18%</w:t>
            </w:r>
          </w:p>
          <w:p w14:paraId="3D51431C" w14:textId="77777777" w:rsidR="001E0FA1" w:rsidRPr="007F13D6" w:rsidRDefault="001E0FA1" w:rsidP="00CE7AFC">
            <w:pPr>
              <w:spacing w:before="120" w:after="120" w:line="240" w:lineRule="auto"/>
              <w:jc w:val="center"/>
              <w:rPr>
                <w:rFonts w:ascii="Arial" w:hAnsi="Arial" w:cs="Arial"/>
                <w:sz w:val="17"/>
                <w:szCs w:val="17"/>
              </w:rPr>
            </w:pPr>
            <w:r w:rsidRPr="007F13D6">
              <w:rPr>
                <w:rFonts w:ascii="Arial" w:hAnsi="Arial" w:cs="Arial"/>
                <w:b/>
                <w:color w:val="1F4E78"/>
                <w:sz w:val="17"/>
                <w:szCs w:val="17"/>
              </w:rPr>
              <w:t>PEFC vs. IV&amp;V</w:t>
            </w:r>
          </w:p>
          <w:p w14:paraId="71886DCC" w14:textId="77777777" w:rsidR="001E0FA1" w:rsidRPr="007F13D6" w:rsidRDefault="001E0FA1" w:rsidP="00CE7AFC">
            <w:pPr>
              <w:spacing w:before="120" w:after="120" w:line="240" w:lineRule="auto"/>
              <w:jc w:val="center"/>
              <w:rPr>
                <w:rFonts w:ascii="Arial" w:hAnsi="Arial" w:cs="Arial"/>
                <w:color w:val="666666"/>
                <w:sz w:val="17"/>
                <w:szCs w:val="17"/>
              </w:rPr>
            </w:pPr>
            <w:r w:rsidRPr="007F13D6">
              <w:rPr>
                <w:rFonts w:ascii="Arial" w:hAnsi="Arial" w:cs="Arial"/>
                <w:b/>
                <w:bCs/>
                <w:color w:val="2F75B5"/>
                <w:sz w:val="17"/>
                <w:szCs w:val="17"/>
              </w:rPr>
              <w:t>$2.054B PEFC vs. $2.058B IV&amp;V on the same 43-LEA scope</w:t>
            </w:r>
          </w:p>
          <w:p w14:paraId="19E92924" w14:textId="77777777" w:rsidR="001E0FA1" w:rsidRPr="007F13D6" w:rsidRDefault="001E0FA1" w:rsidP="00CE7AFC">
            <w:pPr>
              <w:spacing w:before="120" w:after="120" w:line="240" w:lineRule="auto"/>
              <w:jc w:val="center"/>
              <w:rPr>
                <w:rFonts w:ascii="Arial" w:hAnsi="Arial" w:cs="Arial"/>
                <w:color w:val="666666"/>
                <w:sz w:val="17"/>
                <w:szCs w:val="17"/>
              </w:rPr>
            </w:pPr>
            <w:r w:rsidRPr="007F13D6">
              <w:rPr>
                <w:rFonts w:ascii="Arial" w:hAnsi="Arial" w:cs="Arial"/>
                <w:color w:val="666666"/>
                <w:sz w:val="17"/>
                <w:szCs w:val="17"/>
              </w:rPr>
              <w:t>Shows the independent IV&amp;V closely reproduces the proposed PEFC model</w:t>
            </w:r>
          </w:p>
        </w:tc>
      </w:tr>
    </w:tbl>
    <w:p w14:paraId="35979FDC" w14:textId="77777777" w:rsidR="001E0FA1" w:rsidRPr="007F13D6" w:rsidRDefault="001E0FA1" w:rsidP="00CE7AFC">
      <w:pPr>
        <w:spacing w:before="120" w:after="120" w:line="240" w:lineRule="auto"/>
        <w:rPr>
          <w:rFonts w:ascii="Arial" w:hAnsi="Arial" w:cs="Arial"/>
          <w:i/>
          <w:iCs/>
        </w:rPr>
      </w:pPr>
      <w:r w:rsidRPr="007F13D6">
        <w:rPr>
          <w:rFonts w:ascii="Arial" w:hAnsi="Arial" w:cs="Arial"/>
          <w:i/>
          <w:iCs/>
          <w:color w:val="666666"/>
          <w:sz w:val="17"/>
          <w:szCs w:val="17"/>
        </w:rPr>
        <w:t xml:space="preserve">Note: The +421 figure is a net modeled change across comparable staffing categories outside core Division I teaching. Some current and proposed support categories are functional mappings rather than identical positions, and the current Food Services Supervisor quantity remains provisional. </w:t>
      </w:r>
    </w:p>
    <w:p w14:paraId="428D3CBC" w14:textId="77777777" w:rsidR="004C092B" w:rsidRPr="004C092B" w:rsidRDefault="004C092B" w:rsidP="004C092B">
      <w:pPr>
        <w:spacing w:before="120" w:after="120" w:line="240" w:lineRule="auto"/>
        <w:rPr>
          <w:rFonts w:ascii="Arial" w:hAnsi="Arial" w:cs="Arial"/>
        </w:rPr>
      </w:pPr>
      <w:r w:rsidRPr="004C092B">
        <w:rPr>
          <w:rFonts w:ascii="Arial" w:hAnsi="Arial" w:cs="Arial"/>
        </w:rPr>
        <w:t>Together, the first three numbers tell the staffing story. Comparable staffing funding increases by $47.1 million, while core teaching changes by only 0.26 positions statewide. The additional modeled staffing is instead concentrated in school administration, support functions, and Central Office positions, which increase by approximately 421 positions on net across the other comparable categories. The 0.18% answers a separate validation question: it shows how closely the IV&amp;V independently reproduces PEFC</w:t>
      </w:r>
      <w:r w:rsidRPr="004C092B">
        <w:rPr>
          <w:rFonts w:ascii="Arial" w:hAnsi="Arial" w:cs="Arial" w:hint="cs"/>
        </w:rPr>
        <w:t>’</w:t>
      </w:r>
      <w:r w:rsidRPr="004C092B">
        <w:rPr>
          <w:rFonts w:ascii="Arial" w:hAnsi="Arial" w:cs="Arial"/>
        </w:rPr>
        <w:t>s proposed model.</w:t>
      </w:r>
    </w:p>
    <w:p w14:paraId="69E5754F" w14:textId="6D612904" w:rsidR="001E0FA1" w:rsidRPr="007F13D6" w:rsidRDefault="001E0FA1" w:rsidP="00CE7AFC">
      <w:pPr>
        <w:pStyle w:val="Heading2"/>
        <w:spacing w:before="120" w:after="120" w:line="240" w:lineRule="auto"/>
        <w:rPr>
          <w:rFonts w:ascii="Arial" w:hAnsi="Arial" w:cs="Arial"/>
        </w:rPr>
      </w:pPr>
      <w:bookmarkStart w:id="1" w:name="_Toc237512536"/>
      <w:r w:rsidRPr="007F13D6">
        <w:rPr>
          <w:rFonts w:ascii="Arial" w:hAnsi="Arial" w:cs="Arial"/>
        </w:rPr>
        <w:t>Staffing funding increases but core teaching is essentially unchanged</w:t>
      </w:r>
      <w:bookmarkEnd w:id="1"/>
    </w:p>
    <w:p w14:paraId="22D239C8" w14:textId="77777777" w:rsidR="001E0FA1" w:rsidRPr="007F13D6" w:rsidRDefault="001E0FA1" w:rsidP="00CE7AFC">
      <w:pPr>
        <w:spacing w:before="120" w:after="120" w:line="240" w:lineRule="auto"/>
        <w:rPr>
          <w:rFonts w:ascii="Arial" w:hAnsi="Arial" w:cs="Arial"/>
        </w:rPr>
      </w:pPr>
      <w:r w:rsidRPr="007F13D6">
        <w:rPr>
          <w:rFonts w:ascii="Arial" w:hAnsi="Arial" w:cs="Arial"/>
        </w:rPr>
        <w:t xml:space="preserve">For staffing categories that can be compared under both models, modeled funding increases from approximately $1.564 billion under the recreated current model to $1.611 billion under the proposed model, an increase of $47.1 million, or 3.0%. This is the best available statewide comparison because it includes only categories with funding amounts available on both sides; Buildings and Grounds Supervisor </w:t>
      </w:r>
      <w:r w:rsidRPr="007F13D6">
        <w:rPr>
          <w:rFonts w:ascii="Arial" w:hAnsi="Arial" w:cs="Arial"/>
        </w:rPr>
        <w:lastRenderedPageBreak/>
        <w:t>is excluded because the current quantity cannot yet be estimated. Food Services Supervisor remains provisional because current LEA-level quantities are incomplete.</w:t>
      </w:r>
    </w:p>
    <w:p w14:paraId="75FF7E93" w14:textId="77777777" w:rsidR="001E0FA1" w:rsidRPr="007F13D6" w:rsidRDefault="001E0FA1" w:rsidP="00CE7AFC">
      <w:pPr>
        <w:spacing w:before="120" w:after="120" w:line="240" w:lineRule="auto"/>
        <w:rPr>
          <w:rFonts w:ascii="Arial" w:hAnsi="Arial" w:cs="Arial"/>
        </w:rPr>
      </w:pPr>
      <w:r w:rsidRPr="007F13D6">
        <w:rPr>
          <w:rFonts w:ascii="Arial" w:hAnsi="Arial" w:cs="Arial"/>
        </w:rPr>
        <w:t>The increase is not being driven by the basic classroom teaching formulas. Across K–3 regular education, grades 4–12 regular education, Basic, Intensive, and Complex special education, and net vocational Division I positions, the recreated current model generates 11,754.38 positions and the proposed model generates 11,754.64 positions. The statewide difference is just +0.26 positions.</w:t>
      </w:r>
    </w:p>
    <w:p w14:paraId="65A7D432" w14:textId="77777777" w:rsidR="001E0FA1" w:rsidRPr="007F13D6" w:rsidRDefault="001E0FA1" w:rsidP="00CE7AFC">
      <w:pPr>
        <w:spacing w:before="120" w:after="120" w:line="240" w:lineRule="auto"/>
        <w:rPr>
          <w:rFonts w:ascii="Arial" w:hAnsi="Arial" w:cs="Arial"/>
        </w:rPr>
      </w:pPr>
      <w:r w:rsidRPr="007F13D6">
        <w:rPr>
          <w:rFonts w:ascii="Arial" w:hAnsi="Arial" w:cs="Arial"/>
        </w:rPr>
        <w:t>Instead, the net increase occurs almost entirely in other school administration, support, and Central Office staffing. Across those other comparable categories, the proposed model generates approximately 421 additional modeled positions on net.</w:t>
      </w:r>
    </w:p>
    <w:p w14:paraId="728479AC" w14:textId="77777777" w:rsidR="001E0FA1" w:rsidRPr="007F13D6" w:rsidRDefault="001E0FA1" w:rsidP="001E55F0">
      <w:pPr>
        <w:rPr>
          <w:rFonts w:ascii="Arial" w:hAnsi="Arial" w:cs="Arial"/>
          <w:b/>
          <w:bCs/>
          <w:color w:val="1F4E78"/>
        </w:rPr>
      </w:pPr>
      <w:r w:rsidRPr="007F13D6">
        <w:rPr>
          <w:rFonts w:ascii="Arial" w:hAnsi="Arial" w:cs="Arial"/>
          <w:b/>
          <w:bCs/>
          <w:color w:val="1F4E78"/>
        </w:rPr>
        <w:t>Largest modeled staffing drivers</w:t>
      </w:r>
    </w:p>
    <w:tbl>
      <w:tblPr>
        <w:tblW w:w="9504" w:type="dxa"/>
        <w:jc w:val="center"/>
        <w:tblLayout w:type="fixed"/>
        <w:tblLook w:val="04A0" w:firstRow="1" w:lastRow="0" w:firstColumn="1" w:lastColumn="0" w:noHBand="0" w:noVBand="1"/>
      </w:tblPr>
      <w:tblGrid>
        <w:gridCol w:w="4608"/>
        <w:gridCol w:w="2448"/>
        <w:gridCol w:w="2448"/>
      </w:tblGrid>
      <w:tr w:rsidR="001E0FA1" w:rsidRPr="007F13D6" w14:paraId="38D4F8A3" w14:textId="77777777">
        <w:trPr>
          <w:cantSplit/>
          <w:jc w:val="center"/>
        </w:trPr>
        <w:tc>
          <w:tcPr>
            <w:tcW w:w="4608" w:type="dxa"/>
            <w:shd w:val="clear" w:color="auto" w:fill="1F4E78"/>
            <w:tcMar>
              <w:top w:w="70" w:type="dxa"/>
              <w:left w:w="90" w:type="dxa"/>
              <w:bottom w:w="70" w:type="dxa"/>
              <w:right w:w="90" w:type="dxa"/>
            </w:tcMar>
            <w:vAlign w:val="center"/>
          </w:tcPr>
          <w:p w14:paraId="5F3CB0D2" w14:textId="77777777" w:rsidR="001E0FA1" w:rsidRPr="007F13D6" w:rsidRDefault="001E0FA1" w:rsidP="00CE7AFC">
            <w:pPr>
              <w:spacing w:after="0" w:line="240" w:lineRule="auto"/>
              <w:jc w:val="center"/>
              <w:rPr>
                <w:rFonts w:ascii="Arial" w:hAnsi="Arial" w:cs="Arial"/>
                <w:b/>
                <w:bCs/>
                <w:color w:val="FFFFFF" w:themeColor="background1"/>
                <w:sz w:val="17"/>
                <w:szCs w:val="17"/>
              </w:rPr>
            </w:pPr>
            <w:r w:rsidRPr="007F13D6">
              <w:rPr>
                <w:rFonts w:ascii="Arial" w:hAnsi="Arial" w:cs="Arial"/>
                <w:b/>
                <w:bCs/>
                <w:color w:val="FFFFFF" w:themeColor="background1"/>
                <w:sz w:val="17"/>
                <w:szCs w:val="17"/>
              </w:rPr>
              <w:t>Category</w:t>
            </w:r>
          </w:p>
        </w:tc>
        <w:tc>
          <w:tcPr>
            <w:tcW w:w="2448" w:type="dxa"/>
            <w:shd w:val="clear" w:color="auto" w:fill="1F4E78"/>
            <w:tcMar>
              <w:top w:w="70" w:type="dxa"/>
              <w:left w:w="90" w:type="dxa"/>
              <w:bottom w:w="70" w:type="dxa"/>
              <w:right w:w="90" w:type="dxa"/>
            </w:tcMar>
            <w:vAlign w:val="center"/>
          </w:tcPr>
          <w:p w14:paraId="3658535D" w14:textId="77777777" w:rsidR="001E0FA1" w:rsidRPr="007F13D6" w:rsidRDefault="001E0FA1" w:rsidP="00CE7AFC">
            <w:pPr>
              <w:spacing w:after="0" w:line="240" w:lineRule="auto"/>
              <w:jc w:val="center"/>
              <w:rPr>
                <w:rFonts w:ascii="Arial" w:hAnsi="Arial" w:cs="Arial"/>
                <w:b/>
                <w:bCs/>
                <w:color w:val="FFFFFF" w:themeColor="background1"/>
                <w:sz w:val="17"/>
                <w:szCs w:val="17"/>
              </w:rPr>
            </w:pPr>
            <w:r w:rsidRPr="007F13D6">
              <w:rPr>
                <w:rFonts w:ascii="Arial" w:hAnsi="Arial" w:cs="Arial"/>
                <w:b/>
                <w:bCs/>
                <w:color w:val="FFFFFF" w:themeColor="background1"/>
                <w:sz w:val="17"/>
                <w:szCs w:val="17"/>
              </w:rPr>
              <w:t>Position difference</w:t>
            </w:r>
          </w:p>
        </w:tc>
        <w:tc>
          <w:tcPr>
            <w:tcW w:w="2448" w:type="dxa"/>
            <w:shd w:val="clear" w:color="auto" w:fill="1F4E78"/>
            <w:vAlign w:val="center"/>
          </w:tcPr>
          <w:p w14:paraId="7582DFEA" w14:textId="77777777" w:rsidR="001E0FA1" w:rsidRPr="007F13D6" w:rsidRDefault="001E0FA1" w:rsidP="00CE7AFC">
            <w:pPr>
              <w:spacing w:after="0" w:line="240" w:lineRule="auto"/>
              <w:jc w:val="center"/>
              <w:rPr>
                <w:rFonts w:ascii="Arial" w:hAnsi="Arial" w:cs="Arial"/>
                <w:b/>
                <w:bCs/>
                <w:color w:val="FFFFFF" w:themeColor="background1"/>
                <w:sz w:val="17"/>
                <w:szCs w:val="17"/>
              </w:rPr>
            </w:pPr>
            <w:r w:rsidRPr="007F13D6">
              <w:rPr>
                <w:rFonts w:ascii="Arial" w:hAnsi="Arial" w:cs="Arial"/>
                <w:b/>
                <w:bCs/>
                <w:color w:val="FFFFFF" w:themeColor="background1"/>
                <w:sz w:val="17"/>
                <w:szCs w:val="17"/>
              </w:rPr>
              <w:t>Funding difference</w:t>
            </w:r>
          </w:p>
        </w:tc>
      </w:tr>
      <w:tr w:rsidR="001E0FA1" w:rsidRPr="007F13D6" w14:paraId="6F424132" w14:textId="77777777">
        <w:trPr>
          <w:cantSplit/>
          <w:jc w:val="center"/>
        </w:trPr>
        <w:tc>
          <w:tcPr>
            <w:tcW w:w="4608" w:type="dxa"/>
            <w:tcMar>
              <w:top w:w="55" w:type="dxa"/>
              <w:left w:w="90" w:type="dxa"/>
              <w:bottom w:w="55" w:type="dxa"/>
              <w:right w:w="90" w:type="dxa"/>
            </w:tcMar>
            <w:vAlign w:val="center"/>
          </w:tcPr>
          <w:p w14:paraId="5D535CF4" w14:textId="77777777" w:rsidR="001E0FA1" w:rsidRPr="007F13D6" w:rsidRDefault="001E0FA1" w:rsidP="00CE7AFC">
            <w:pPr>
              <w:spacing w:after="0" w:line="240" w:lineRule="auto"/>
              <w:jc w:val="center"/>
              <w:rPr>
                <w:rFonts w:ascii="Arial" w:hAnsi="Arial" w:cs="Arial"/>
                <w:sz w:val="17"/>
                <w:szCs w:val="17"/>
              </w:rPr>
            </w:pPr>
            <w:r w:rsidRPr="007F13D6">
              <w:rPr>
                <w:rFonts w:ascii="Arial" w:hAnsi="Arial" w:cs="Arial"/>
                <w:color w:val="000000"/>
                <w:sz w:val="17"/>
                <w:szCs w:val="17"/>
              </w:rPr>
              <w:t>Assistant Principals</w:t>
            </w:r>
          </w:p>
        </w:tc>
        <w:tc>
          <w:tcPr>
            <w:tcW w:w="2448" w:type="dxa"/>
            <w:tcMar>
              <w:top w:w="55" w:type="dxa"/>
              <w:left w:w="90" w:type="dxa"/>
              <w:bottom w:w="55" w:type="dxa"/>
              <w:right w:w="90" w:type="dxa"/>
            </w:tcMar>
            <w:vAlign w:val="center"/>
          </w:tcPr>
          <w:p w14:paraId="6221F161" w14:textId="77777777" w:rsidR="001E0FA1" w:rsidRPr="007F13D6" w:rsidRDefault="001E0FA1" w:rsidP="00CE7AFC">
            <w:pPr>
              <w:spacing w:after="0" w:line="240" w:lineRule="auto"/>
              <w:jc w:val="center"/>
              <w:rPr>
                <w:rFonts w:ascii="Arial" w:hAnsi="Arial" w:cs="Arial"/>
                <w:sz w:val="17"/>
                <w:szCs w:val="17"/>
              </w:rPr>
            </w:pPr>
            <w:r w:rsidRPr="007F13D6">
              <w:rPr>
                <w:rStyle w:val="Strong"/>
                <w:rFonts w:ascii="Arial" w:hAnsi="Arial" w:cs="Arial"/>
                <w:b w:val="0"/>
                <w:bCs w:val="0"/>
                <w:color w:val="000000"/>
                <w:sz w:val="17"/>
                <w:szCs w:val="17"/>
              </w:rPr>
              <w:t>+132.85</w:t>
            </w:r>
          </w:p>
        </w:tc>
        <w:tc>
          <w:tcPr>
            <w:tcW w:w="2448" w:type="dxa"/>
            <w:vAlign w:val="center"/>
          </w:tcPr>
          <w:p w14:paraId="4B35EFED" w14:textId="77777777" w:rsidR="001E0FA1" w:rsidRPr="007F13D6" w:rsidRDefault="001E0FA1" w:rsidP="00CE7AFC">
            <w:pPr>
              <w:spacing w:after="0" w:line="240" w:lineRule="auto"/>
              <w:jc w:val="center"/>
              <w:rPr>
                <w:rFonts w:ascii="Arial" w:hAnsi="Arial" w:cs="Arial"/>
                <w:sz w:val="17"/>
                <w:szCs w:val="17"/>
              </w:rPr>
            </w:pPr>
            <w:r w:rsidRPr="007F13D6">
              <w:rPr>
                <w:rStyle w:val="Strong"/>
                <w:rFonts w:ascii="Arial" w:hAnsi="Arial" w:cs="Arial"/>
                <w:b w:val="0"/>
                <w:bCs w:val="0"/>
                <w:color w:val="000000"/>
                <w:sz w:val="17"/>
                <w:szCs w:val="17"/>
              </w:rPr>
              <w:t>+$17.8M</w:t>
            </w:r>
          </w:p>
        </w:tc>
      </w:tr>
      <w:tr w:rsidR="001E0FA1" w:rsidRPr="007F13D6" w14:paraId="39ABCB99" w14:textId="77777777">
        <w:trPr>
          <w:cantSplit/>
          <w:jc w:val="center"/>
        </w:trPr>
        <w:tc>
          <w:tcPr>
            <w:tcW w:w="4608" w:type="dxa"/>
            <w:shd w:val="clear" w:color="auto" w:fill="EAF3F8"/>
            <w:tcMar>
              <w:top w:w="55" w:type="dxa"/>
              <w:left w:w="90" w:type="dxa"/>
              <w:bottom w:w="55" w:type="dxa"/>
              <w:right w:w="90" w:type="dxa"/>
            </w:tcMar>
            <w:vAlign w:val="center"/>
          </w:tcPr>
          <w:p w14:paraId="5BCBFCCB" w14:textId="77777777" w:rsidR="001E0FA1" w:rsidRPr="007F13D6" w:rsidRDefault="001E0FA1" w:rsidP="00CE7AFC">
            <w:pPr>
              <w:spacing w:after="0" w:line="240" w:lineRule="auto"/>
              <w:jc w:val="center"/>
              <w:rPr>
                <w:rFonts w:ascii="Arial" w:hAnsi="Arial" w:cs="Arial"/>
                <w:sz w:val="17"/>
                <w:szCs w:val="17"/>
              </w:rPr>
            </w:pPr>
            <w:r w:rsidRPr="007F13D6">
              <w:rPr>
                <w:rFonts w:ascii="Arial" w:hAnsi="Arial" w:cs="Arial"/>
                <w:color w:val="000000"/>
                <w:sz w:val="17"/>
                <w:szCs w:val="17"/>
              </w:rPr>
              <w:t>Administrative Support Professionals</w:t>
            </w:r>
          </w:p>
        </w:tc>
        <w:tc>
          <w:tcPr>
            <w:tcW w:w="2448" w:type="dxa"/>
            <w:shd w:val="clear" w:color="auto" w:fill="EAF3F8"/>
            <w:tcMar>
              <w:top w:w="55" w:type="dxa"/>
              <w:left w:w="90" w:type="dxa"/>
              <w:bottom w:w="55" w:type="dxa"/>
              <w:right w:w="90" w:type="dxa"/>
            </w:tcMar>
            <w:vAlign w:val="center"/>
          </w:tcPr>
          <w:p w14:paraId="3BADEBA9" w14:textId="77777777" w:rsidR="001E0FA1" w:rsidRPr="007F13D6" w:rsidRDefault="001E0FA1" w:rsidP="00CE7AFC">
            <w:pPr>
              <w:spacing w:after="0" w:line="240" w:lineRule="auto"/>
              <w:jc w:val="center"/>
              <w:rPr>
                <w:rFonts w:ascii="Arial" w:hAnsi="Arial" w:cs="Arial"/>
                <w:sz w:val="17"/>
                <w:szCs w:val="17"/>
              </w:rPr>
            </w:pPr>
            <w:r w:rsidRPr="007F13D6">
              <w:rPr>
                <w:rStyle w:val="Strong"/>
                <w:rFonts w:ascii="Arial" w:hAnsi="Arial" w:cs="Arial"/>
                <w:b w:val="0"/>
                <w:bCs w:val="0"/>
                <w:color w:val="000000"/>
                <w:sz w:val="17"/>
                <w:szCs w:val="17"/>
              </w:rPr>
              <w:t>+239.00</w:t>
            </w:r>
          </w:p>
        </w:tc>
        <w:tc>
          <w:tcPr>
            <w:tcW w:w="2448" w:type="dxa"/>
            <w:shd w:val="clear" w:color="auto" w:fill="EAF3F8"/>
            <w:vAlign w:val="center"/>
          </w:tcPr>
          <w:p w14:paraId="1A368C29" w14:textId="77777777" w:rsidR="001E0FA1" w:rsidRPr="007F13D6" w:rsidRDefault="001E0FA1" w:rsidP="00CE7AFC">
            <w:pPr>
              <w:spacing w:after="0" w:line="240" w:lineRule="auto"/>
              <w:jc w:val="center"/>
              <w:rPr>
                <w:rFonts w:ascii="Arial" w:hAnsi="Arial" w:cs="Arial"/>
                <w:sz w:val="17"/>
                <w:szCs w:val="17"/>
              </w:rPr>
            </w:pPr>
            <w:r w:rsidRPr="007F13D6">
              <w:rPr>
                <w:rStyle w:val="Strong"/>
                <w:rFonts w:ascii="Arial" w:hAnsi="Arial" w:cs="Arial"/>
                <w:b w:val="0"/>
                <w:bCs w:val="0"/>
                <w:color w:val="000000"/>
                <w:sz w:val="17"/>
                <w:szCs w:val="17"/>
              </w:rPr>
              <w:t>+$17.7M</w:t>
            </w:r>
          </w:p>
        </w:tc>
      </w:tr>
      <w:tr w:rsidR="001E0FA1" w:rsidRPr="007F13D6" w14:paraId="753995A4" w14:textId="77777777">
        <w:trPr>
          <w:cantSplit/>
          <w:jc w:val="center"/>
        </w:trPr>
        <w:tc>
          <w:tcPr>
            <w:tcW w:w="4608" w:type="dxa"/>
            <w:tcMar>
              <w:top w:w="55" w:type="dxa"/>
              <w:left w:w="90" w:type="dxa"/>
              <w:bottom w:w="55" w:type="dxa"/>
              <w:right w:w="90" w:type="dxa"/>
            </w:tcMar>
            <w:vAlign w:val="center"/>
          </w:tcPr>
          <w:p w14:paraId="0EAE8A19" w14:textId="77777777" w:rsidR="001E0FA1" w:rsidRPr="007F13D6" w:rsidRDefault="001E0FA1" w:rsidP="00CE7AFC">
            <w:pPr>
              <w:spacing w:after="0" w:line="240" w:lineRule="auto"/>
              <w:jc w:val="center"/>
              <w:rPr>
                <w:rFonts w:ascii="Arial" w:hAnsi="Arial" w:cs="Arial"/>
                <w:sz w:val="17"/>
                <w:szCs w:val="17"/>
              </w:rPr>
            </w:pPr>
            <w:r w:rsidRPr="007F13D6">
              <w:rPr>
                <w:rFonts w:ascii="Arial" w:hAnsi="Arial" w:cs="Arial"/>
                <w:color w:val="000000"/>
                <w:sz w:val="17"/>
                <w:szCs w:val="17"/>
              </w:rPr>
              <w:t>Instructional Supports</w:t>
            </w:r>
          </w:p>
        </w:tc>
        <w:tc>
          <w:tcPr>
            <w:tcW w:w="2448" w:type="dxa"/>
            <w:tcMar>
              <w:top w:w="55" w:type="dxa"/>
              <w:left w:w="90" w:type="dxa"/>
              <w:bottom w:w="55" w:type="dxa"/>
              <w:right w:w="90" w:type="dxa"/>
            </w:tcMar>
            <w:vAlign w:val="center"/>
          </w:tcPr>
          <w:p w14:paraId="58F48891" w14:textId="77777777" w:rsidR="001E0FA1" w:rsidRPr="007F13D6" w:rsidRDefault="001E0FA1" w:rsidP="00CE7AFC">
            <w:pPr>
              <w:spacing w:after="0" w:line="240" w:lineRule="auto"/>
              <w:jc w:val="center"/>
              <w:rPr>
                <w:rFonts w:ascii="Arial" w:hAnsi="Arial" w:cs="Arial"/>
                <w:sz w:val="17"/>
                <w:szCs w:val="17"/>
              </w:rPr>
            </w:pPr>
            <w:r w:rsidRPr="007F13D6">
              <w:rPr>
                <w:rStyle w:val="Strong"/>
                <w:rFonts w:ascii="Arial" w:hAnsi="Arial" w:cs="Arial"/>
                <w:b w:val="0"/>
                <w:bCs w:val="0"/>
                <w:color w:val="000000"/>
                <w:sz w:val="17"/>
                <w:szCs w:val="17"/>
              </w:rPr>
              <w:t>−114.88</w:t>
            </w:r>
          </w:p>
        </w:tc>
        <w:tc>
          <w:tcPr>
            <w:tcW w:w="2448" w:type="dxa"/>
            <w:vAlign w:val="center"/>
          </w:tcPr>
          <w:p w14:paraId="38281850" w14:textId="77777777" w:rsidR="001E0FA1" w:rsidRPr="007F13D6" w:rsidRDefault="001E0FA1" w:rsidP="00CE7AFC">
            <w:pPr>
              <w:spacing w:after="0" w:line="240" w:lineRule="auto"/>
              <w:jc w:val="center"/>
              <w:rPr>
                <w:rFonts w:ascii="Arial" w:hAnsi="Arial" w:cs="Arial"/>
                <w:sz w:val="17"/>
                <w:szCs w:val="17"/>
              </w:rPr>
            </w:pPr>
            <w:r w:rsidRPr="007F13D6">
              <w:rPr>
                <w:rStyle w:val="Strong"/>
                <w:rFonts w:ascii="Arial" w:hAnsi="Arial" w:cs="Arial"/>
                <w:b w:val="0"/>
                <w:bCs w:val="0"/>
                <w:color w:val="000000"/>
                <w:sz w:val="17"/>
                <w:szCs w:val="17"/>
              </w:rPr>
              <w:t>−$11.0M</w:t>
            </w:r>
          </w:p>
        </w:tc>
      </w:tr>
      <w:tr w:rsidR="001E0FA1" w:rsidRPr="007F13D6" w14:paraId="49BCA17F" w14:textId="77777777">
        <w:trPr>
          <w:cantSplit/>
          <w:jc w:val="center"/>
        </w:trPr>
        <w:tc>
          <w:tcPr>
            <w:tcW w:w="4608" w:type="dxa"/>
            <w:shd w:val="clear" w:color="auto" w:fill="EAF3F8"/>
            <w:tcMar>
              <w:top w:w="55" w:type="dxa"/>
              <w:left w:w="90" w:type="dxa"/>
              <w:bottom w:w="55" w:type="dxa"/>
              <w:right w:w="90" w:type="dxa"/>
            </w:tcMar>
            <w:vAlign w:val="center"/>
          </w:tcPr>
          <w:p w14:paraId="3D2EB9F3" w14:textId="77777777" w:rsidR="001E0FA1" w:rsidRPr="007F13D6" w:rsidRDefault="001E0FA1" w:rsidP="00CE7AFC">
            <w:pPr>
              <w:spacing w:after="0" w:line="240" w:lineRule="auto"/>
              <w:jc w:val="center"/>
              <w:rPr>
                <w:rFonts w:ascii="Arial" w:hAnsi="Arial" w:cs="Arial"/>
                <w:sz w:val="17"/>
                <w:szCs w:val="17"/>
              </w:rPr>
            </w:pPr>
            <w:r w:rsidRPr="007F13D6">
              <w:rPr>
                <w:rFonts w:ascii="Arial" w:hAnsi="Arial" w:cs="Arial"/>
                <w:color w:val="000000"/>
                <w:sz w:val="17"/>
                <w:szCs w:val="17"/>
              </w:rPr>
              <w:t>Principals</w:t>
            </w:r>
          </w:p>
        </w:tc>
        <w:tc>
          <w:tcPr>
            <w:tcW w:w="2448" w:type="dxa"/>
            <w:shd w:val="clear" w:color="auto" w:fill="EAF3F8"/>
            <w:tcMar>
              <w:top w:w="55" w:type="dxa"/>
              <w:left w:w="90" w:type="dxa"/>
              <w:bottom w:w="55" w:type="dxa"/>
              <w:right w:w="90" w:type="dxa"/>
            </w:tcMar>
            <w:vAlign w:val="center"/>
          </w:tcPr>
          <w:p w14:paraId="44A08568" w14:textId="77777777" w:rsidR="001E0FA1" w:rsidRPr="007F13D6" w:rsidRDefault="001E0FA1" w:rsidP="00CE7AFC">
            <w:pPr>
              <w:spacing w:after="0" w:line="240" w:lineRule="auto"/>
              <w:jc w:val="center"/>
              <w:rPr>
                <w:rFonts w:ascii="Arial" w:hAnsi="Arial" w:cs="Arial"/>
                <w:sz w:val="17"/>
                <w:szCs w:val="17"/>
              </w:rPr>
            </w:pPr>
            <w:r w:rsidRPr="007F13D6">
              <w:rPr>
                <w:rStyle w:val="Strong"/>
                <w:rFonts w:ascii="Arial" w:hAnsi="Arial" w:cs="Arial"/>
                <w:b w:val="0"/>
                <w:bCs w:val="0"/>
                <w:color w:val="000000"/>
                <w:sz w:val="17"/>
                <w:szCs w:val="17"/>
              </w:rPr>
              <w:t>+30.00</w:t>
            </w:r>
          </w:p>
        </w:tc>
        <w:tc>
          <w:tcPr>
            <w:tcW w:w="2448" w:type="dxa"/>
            <w:shd w:val="clear" w:color="auto" w:fill="EAF3F8"/>
            <w:vAlign w:val="center"/>
          </w:tcPr>
          <w:p w14:paraId="5D2AB05C" w14:textId="77777777" w:rsidR="001E0FA1" w:rsidRPr="007F13D6" w:rsidRDefault="001E0FA1" w:rsidP="00CE7AFC">
            <w:pPr>
              <w:spacing w:after="0" w:line="240" w:lineRule="auto"/>
              <w:jc w:val="center"/>
              <w:rPr>
                <w:rFonts w:ascii="Arial" w:hAnsi="Arial" w:cs="Arial"/>
                <w:sz w:val="17"/>
                <w:szCs w:val="17"/>
              </w:rPr>
            </w:pPr>
            <w:r w:rsidRPr="007F13D6">
              <w:rPr>
                <w:rStyle w:val="Strong"/>
                <w:rFonts w:ascii="Arial" w:hAnsi="Arial" w:cs="Arial"/>
                <w:b w:val="0"/>
                <w:bCs w:val="0"/>
                <w:color w:val="000000"/>
                <w:sz w:val="17"/>
                <w:szCs w:val="17"/>
              </w:rPr>
              <w:t>+$4.6M</w:t>
            </w:r>
          </w:p>
        </w:tc>
      </w:tr>
      <w:tr w:rsidR="001E0FA1" w:rsidRPr="007F13D6" w14:paraId="6FC85581" w14:textId="77777777">
        <w:trPr>
          <w:cantSplit/>
          <w:jc w:val="center"/>
        </w:trPr>
        <w:tc>
          <w:tcPr>
            <w:tcW w:w="4608" w:type="dxa"/>
            <w:tcMar>
              <w:top w:w="55" w:type="dxa"/>
              <w:left w:w="90" w:type="dxa"/>
              <w:bottom w:w="55" w:type="dxa"/>
              <w:right w:w="90" w:type="dxa"/>
            </w:tcMar>
            <w:vAlign w:val="center"/>
          </w:tcPr>
          <w:p w14:paraId="648C6A70" w14:textId="77777777" w:rsidR="001E0FA1" w:rsidRPr="007F13D6" w:rsidRDefault="001E0FA1" w:rsidP="00CE7AFC">
            <w:pPr>
              <w:spacing w:after="0" w:line="240" w:lineRule="auto"/>
              <w:jc w:val="center"/>
              <w:rPr>
                <w:rFonts w:ascii="Arial" w:hAnsi="Arial" w:cs="Arial"/>
                <w:sz w:val="17"/>
                <w:szCs w:val="17"/>
              </w:rPr>
            </w:pPr>
            <w:r w:rsidRPr="007F13D6">
              <w:rPr>
                <w:rFonts w:ascii="Arial" w:hAnsi="Arial" w:cs="Arial"/>
                <w:color w:val="000000"/>
                <w:sz w:val="17"/>
                <w:szCs w:val="17"/>
              </w:rPr>
              <w:t>Superintendents</w:t>
            </w:r>
          </w:p>
        </w:tc>
        <w:tc>
          <w:tcPr>
            <w:tcW w:w="2448" w:type="dxa"/>
            <w:tcMar>
              <w:top w:w="55" w:type="dxa"/>
              <w:left w:w="90" w:type="dxa"/>
              <w:bottom w:w="55" w:type="dxa"/>
              <w:right w:w="90" w:type="dxa"/>
            </w:tcMar>
            <w:vAlign w:val="center"/>
          </w:tcPr>
          <w:p w14:paraId="79DC3AB4" w14:textId="77777777" w:rsidR="001E0FA1" w:rsidRPr="007F13D6" w:rsidRDefault="001E0FA1" w:rsidP="00CE7AFC">
            <w:pPr>
              <w:spacing w:after="0" w:line="240" w:lineRule="auto"/>
              <w:jc w:val="center"/>
              <w:rPr>
                <w:rFonts w:ascii="Arial" w:hAnsi="Arial" w:cs="Arial"/>
                <w:sz w:val="17"/>
                <w:szCs w:val="17"/>
              </w:rPr>
            </w:pPr>
            <w:r w:rsidRPr="007F13D6">
              <w:rPr>
                <w:rStyle w:val="Strong"/>
                <w:rFonts w:ascii="Arial" w:hAnsi="Arial" w:cs="Arial"/>
                <w:b w:val="0"/>
                <w:bCs w:val="0"/>
                <w:color w:val="000000"/>
                <w:sz w:val="17"/>
                <w:szCs w:val="17"/>
              </w:rPr>
              <w:t>+24.00</w:t>
            </w:r>
          </w:p>
        </w:tc>
        <w:tc>
          <w:tcPr>
            <w:tcW w:w="2448" w:type="dxa"/>
            <w:vAlign w:val="center"/>
          </w:tcPr>
          <w:p w14:paraId="10C4FA70" w14:textId="77777777" w:rsidR="001E0FA1" w:rsidRPr="007F13D6" w:rsidRDefault="001E0FA1" w:rsidP="00CE7AFC">
            <w:pPr>
              <w:spacing w:after="0" w:line="240" w:lineRule="auto"/>
              <w:jc w:val="center"/>
              <w:rPr>
                <w:rFonts w:ascii="Arial" w:hAnsi="Arial" w:cs="Arial"/>
                <w:sz w:val="17"/>
                <w:szCs w:val="17"/>
              </w:rPr>
            </w:pPr>
            <w:r w:rsidRPr="007F13D6">
              <w:rPr>
                <w:rStyle w:val="Strong"/>
                <w:rFonts w:ascii="Arial" w:hAnsi="Arial" w:cs="Arial"/>
                <w:b w:val="0"/>
                <w:bCs w:val="0"/>
                <w:color w:val="000000"/>
                <w:sz w:val="17"/>
                <w:szCs w:val="17"/>
              </w:rPr>
              <w:t>+$4.5M</w:t>
            </w:r>
          </w:p>
        </w:tc>
      </w:tr>
    </w:tbl>
    <w:p w14:paraId="73852641" w14:textId="77777777" w:rsidR="001E0FA1" w:rsidRPr="007F13D6" w:rsidRDefault="001E0FA1" w:rsidP="00CE7AFC">
      <w:pPr>
        <w:spacing w:before="120" w:after="120" w:line="240" w:lineRule="auto"/>
        <w:rPr>
          <w:rFonts w:ascii="Arial" w:hAnsi="Arial" w:cs="Arial"/>
        </w:rPr>
      </w:pPr>
      <w:r w:rsidRPr="007F13D6">
        <w:rPr>
          <w:rFonts w:ascii="Arial" w:hAnsi="Arial" w:cs="Arial"/>
        </w:rPr>
        <w:t>The three largest differences alone illustrate the pattern. Assistant Principals and Administrative Support Professionals increase substantially, while the proposed consolidated Instructional Supports formula offsets part of those increases. </w:t>
      </w:r>
    </w:p>
    <w:p w14:paraId="56197722" w14:textId="77777777" w:rsidR="001E0FA1" w:rsidRPr="007F13D6" w:rsidRDefault="001E0FA1" w:rsidP="00CE7AFC">
      <w:pPr>
        <w:spacing w:before="120" w:after="120" w:line="240" w:lineRule="auto"/>
        <w:rPr>
          <w:rFonts w:ascii="Arial" w:hAnsi="Arial" w:cs="Arial"/>
        </w:rPr>
      </w:pPr>
      <w:r w:rsidRPr="007F13D6">
        <w:rPr>
          <w:rFonts w:ascii="Arial" w:hAnsi="Arial" w:cs="Arial"/>
        </w:rPr>
        <w:t>These changes result primarily from differences in how schools and LEAs generate administrative and support positions, rather than from changes in teacher-to-student ratios. The proposed model:</w:t>
      </w:r>
    </w:p>
    <w:p w14:paraId="29FC465E" w14:textId="77777777" w:rsidR="001E0FA1" w:rsidRPr="007F13D6" w:rsidRDefault="001E0FA1" w:rsidP="00CE7AFC">
      <w:pPr>
        <w:numPr>
          <w:ilvl w:val="0"/>
          <w:numId w:val="30"/>
        </w:numPr>
        <w:spacing w:before="120" w:after="120" w:line="240" w:lineRule="auto"/>
        <w:rPr>
          <w:rFonts w:ascii="Arial" w:hAnsi="Arial" w:cs="Arial"/>
        </w:rPr>
      </w:pPr>
      <w:r w:rsidRPr="007F13D6">
        <w:rPr>
          <w:rFonts w:ascii="Arial" w:hAnsi="Arial" w:cs="Arial"/>
        </w:rPr>
        <w:t>uses additional charter building calculation units for school-based formulas;</w:t>
      </w:r>
    </w:p>
    <w:p w14:paraId="4E245705" w14:textId="77777777" w:rsidR="001E0FA1" w:rsidRPr="007F13D6" w:rsidRDefault="001E0FA1" w:rsidP="00CE7AFC">
      <w:pPr>
        <w:numPr>
          <w:ilvl w:val="0"/>
          <w:numId w:val="30"/>
        </w:numPr>
        <w:spacing w:before="120" w:after="120" w:line="240" w:lineRule="auto"/>
        <w:rPr>
          <w:rFonts w:ascii="Arial" w:hAnsi="Arial" w:cs="Arial"/>
        </w:rPr>
      </w:pPr>
      <w:r w:rsidRPr="007F13D6">
        <w:rPr>
          <w:rFonts w:ascii="Arial" w:hAnsi="Arial" w:cs="Arial"/>
        </w:rPr>
        <w:t>removes the current 15-Division-I-unit minimum for Principals;</w:t>
      </w:r>
    </w:p>
    <w:p w14:paraId="632B309C" w14:textId="77777777" w:rsidR="001E0FA1" w:rsidRPr="007F13D6" w:rsidRDefault="001E0FA1" w:rsidP="00CE7AFC">
      <w:pPr>
        <w:numPr>
          <w:ilvl w:val="0"/>
          <w:numId w:val="30"/>
        </w:numPr>
        <w:spacing w:before="120" w:after="120" w:line="240" w:lineRule="auto"/>
        <w:rPr>
          <w:rFonts w:ascii="Arial" w:hAnsi="Arial" w:cs="Arial"/>
        </w:rPr>
      </w:pPr>
      <w:r w:rsidRPr="007F13D6">
        <w:rPr>
          <w:rFonts w:ascii="Arial" w:hAnsi="Arial" w:cs="Arial"/>
        </w:rPr>
        <w:t>extends eligibility for some LEA-level positions to charter schools; and</w:t>
      </w:r>
    </w:p>
    <w:p w14:paraId="0AF4A9B1" w14:textId="77777777" w:rsidR="001E0FA1" w:rsidRPr="007F13D6" w:rsidRDefault="001E0FA1" w:rsidP="00CE7AFC">
      <w:pPr>
        <w:numPr>
          <w:ilvl w:val="0"/>
          <w:numId w:val="30"/>
        </w:numPr>
        <w:spacing w:before="120" w:after="120" w:line="240" w:lineRule="auto"/>
        <w:rPr>
          <w:rFonts w:ascii="Arial" w:hAnsi="Arial" w:cs="Arial"/>
        </w:rPr>
      </w:pPr>
      <w:r w:rsidRPr="007F13D6">
        <w:rPr>
          <w:rFonts w:ascii="Arial" w:hAnsi="Arial" w:cs="Arial"/>
        </w:rPr>
        <w:t>uses a broader staffing base for selected Central Office formulas.</w:t>
      </w:r>
    </w:p>
    <w:p w14:paraId="671E96AF" w14:textId="77777777" w:rsidR="001E0FA1" w:rsidRPr="007F13D6" w:rsidRDefault="001E0FA1" w:rsidP="00CE7AFC">
      <w:pPr>
        <w:spacing w:before="120" w:after="120" w:line="240" w:lineRule="auto"/>
        <w:rPr>
          <w:rFonts w:ascii="Arial" w:hAnsi="Arial" w:cs="Arial"/>
        </w:rPr>
      </w:pPr>
      <w:r w:rsidRPr="007F13D6">
        <w:rPr>
          <w:rFonts w:ascii="Arial" w:hAnsi="Arial" w:cs="Arial"/>
        </w:rPr>
        <w:t>For example, Principal positions increase from 223 to 253. Twenty-four of the additional positions result from using 48 charter building calculation units rather than 24 charter organization codes, while six result from removing the current 15-unit minimum. </w:t>
      </w:r>
    </w:p>
    <w:p w14:paraId="1B8797EF" w14:textId="77777777" w:rsidR="001E0FA1" w:rsidRPr="007F13D6" w:rsidRDefault="001E0FA1" w:rsidP="00CE7AFC">
      <w:pPr>
        <w:spacing w:before="120" w:after="120" w:line="240" w:lineRule="auto"/>
        <w:rPr>
          <w:rFonts w:ascii="Arial" w:hAnsi="Arial" w:cs="Arial"/>
        </w:rPr>
      </w:pPr>
      <w:r w:rsidRPr="007F13D6">
        <w:rPr>
          <w:rFonts w:ascii="Arial" w:hAnsi="Arial" w:cs="Arial"/>
        </w:rPr>
        <w:t>The overall staffing result is therefore a structural shift in where formula-generated positions occur, even though statewide core teaching quantities remain essentially unchanged.</w:t>
      </w:r>
    </w:p>
    <w:p w14:paraId="3BDC75EE" w14:textId="104F8E53" w:rsidR="001E0FA1" w:rsidRPr="007F13D6" w:rsidRDefault="001E0FA1" w:rsidP="00CE7AFC">
      <w:pPr>
        <w:pStyle w:val="Heading2"/>
        <w:spacing w:before="120" w:after="120" w:line="240" w:lineRule="auto"/>
        <w:rPr>
          <w:rFonts w:ascii="Arial" w:hAnsi="Arial" w:cs="Arial"/>
        </w:rPr>
      </w:pPr>
      <w:bookmarkStart w:id="2" w:name="_Toc237512537"/>
      <w:r w:rsidRPr="007F13D6">
        <w:rPr>
          <w:rFonts w:ascii="Arial" w:hAnsi="Arial" w:cs="Arial"/>
        </w:rPr>
        <w:t>The proposal separately distributes $442.0 million through weighted funding</w:t>
      </w:r>
      <w:bookmarkEnd w:id="2"/>
    </w:p>
    <w:p w14:paraId="13A4F797" w14:textId="77777777" w:rsidR="001E0FA1" w:rsidRPr="007F13D6" w:rsidRDefault="001E0FA1" w:rsidP="00CE7AFC">
      <w:pPr>
        <w:spacing w:before="120" w:after="120" w:line="240" w:lineRule="auto"/>
        <w:rPr>
          <w:rFonts w:ascii="Arial" w:hAnsi="Arial" w:cs="Arial"/>
        </w:rPr>
      </w:pPr>
      <w:r w:rsidRPr="007F13D6">
        <w:rPr>
          <w:rFonts w:ascii="Arial" w:hAnsi="Arial" w:cs="Arial"/>
        </w:rPr>
        <w:t>In addition to staffing-based funding, the proposed model creates two weighted funding streams that are not tied to staffing positions:</w:t>
      </w:r>
    </w:p>
    <w:p w14:paraId="3ABB2450" w14:textId="77777777" w:rsidR="001E0FA1" w:rsidRPr="007F13D6" w:rsidRDefault="001E0FA1" w:rsidP="00CE7AFC">
      <w:pPr>
        <w:pStyle w:val="ListParagraph"/>
        <w:numPr>
          <w:ilvl w:val="0"/>
          <w:numId w:val="31"/>
        </w:numPr>
        <w:spacing w:before="120" w:after="120" w:line="240" w:lineRule="auto"/>
        <w:contextualSpacing w:val="0"/>
        <w:rPr>
          <w:rFonts w:ascii="Arial" w:hAnsi="Arial" w:cs="Arial"/>
        </w:rPr>
      </w:pPr>
      <w:r w:rsidRPr="007F13D6">
        <w:rPr>
          <w:rFonts w:ascii="Arial" w:hAnsi="Arial" w:cs="Arial"/>
          <w:b/>
          <w:bCs/>
        </w:rPr>
        <w:t>Opportunity Funding:</w:t>
      </w:r>
      <w:r w:rsidRPr="007F13D6">
        <w:rPr>
          <w:rFonts w:ascii="Arial" w:hAnsi="Arial" w:cs="Arial"/>
        </w:rPr>
        <w:t xml:space="preserve"> $163.0 million distributed based on low-income and active multilingual learner enrollment.</w:t>
      </w:r>
    </w:p>
    <w:p w14:paraId="386CDD57" w14:textId="77777777" w:rsidR="001E0FA1" w:rsidRPr="007F13D6" w:rsidRDefault="001E0FA1" w:rsidP="00CE7AFC">
      <w:pPr>
        <w:pStyle w:val="ListParagraph"/>
        <w:numPr>
          <w:ilvl w:val="0"/>
          <w:numId w:val="31"/>
        </w:numPr>
        <w:spacing w:before="120" w:after="120" w:line="240" w:lineRule="auto"/>
        <w:contextualSpacing w:val="0"/>
        <w:rPr>
          <w:rFonts w:ascii="Arial" w:hAnsi="Arial" w:cs="Arial"/>
        </w:rPr>
      </w:pPr>
      <w:r w:rsidRPr="007F13D6">
        <w:rPr>
          <w:rFonts w:ascii="Arial" w:hAnsi="Arial" w:cs="Arial"/>
          <w:b/>
          <w:bCs/>
        </w:rPr>
        <w:t>Operational Funding:</w:t>
      </w:r>
      <w:r w:rsidRPr="007F13D6">
        <w:rPr>
          <w:rFonts w:ascii="Arial" w:hAnsi="Arial" w:cs="Arial"/>
        </w:rPr>
        <w:t xml:space="preserve"> $279.0268 million distributed based on total enrollment, low-income and multilingual learner enrollment, special education, and vocational enrollment.</w:t>
      </w:r>
    </w:p>
    <w:p w14:paraId="437428FF" w14:textId="77777777" w:rsidR="001E0FA1" w:rsidRPr="007F13D6" w:rsidRDefault="001E0FA1" w:rsidP="00CE7AFC">
      <w:pPr>
        <w:spacing w:before="120" w:after="120" w:line="240" w:lineRule="auto"/>
        <w:rPr>
          <w:rFonts w:ascii="Arial" w:hAnsi="Arial" w:cs="Arial"/>
        </w:rPr>
      </w:pPr>
      <w:r w:rsidRPr="007F13D6">
        <w:rPr>
          <w:rFonts w:ascii="Arial" w:hAnsi="Arial" w:cs="Arial"/>
        </w:rPr>
        <w:t>Together, these formulas distribute approximately $442.0 million across the 43-LEA scope. Districts receive approximately $392.0 million, or 88.7%, while charters receive approximately $50.1 million, or 11.3%.</w:t>
      </w:r>
    </w:p>
    <w:tbl>
      <w:tblPr>
        <w:tblW w:w="9504" w:type="dxa"/>
        <w:jc w:val="center"/>
        <w:tblLayout w:type="fixed"/>
        <w:tblLook w:val="04A0" w:firstRow="1" w:lastRow="0" w:firstColumn="1" w:lastColumn="0" w:noHBand="0" w:noVBand="1"/>
      </w:tblPr>
      <w:tblGrid>
        <w:gridCol w:w="9504"/>
      </w:tblGrid>
      <w:tr w:rsidR="001E0FA1" w:rsidRPr="007F13D6" w14:paraId="2342956A" w14:textId="77777777">
        <w:trPr>
          <w:cantSplit/>
          <w:jc w:val="center"/>
        </w:trPr>
        <w:tc>
          <w:tcPr>
            <w:tcW w:w="9504" w:type="dxa"/>
            <w:tcBorders>
              <w:top w:val="single" w:sz="10" w:space="0" w:color="D6B656"/>
              <w:left w:val="single" w:sz="10" w:space="0" w:color="D6B656"/>
              <w:bottom w:val="single" w:sz="10" w:space="0" w:color="D6B656"/>
              <w:right w:val="single" w:sz="10" w:space="0" w:color="D6B656"/>
            </w:tcBorders>
            <w:shd w:val="clear" w:color="auto" w:fill="FFF2CC"/>
            <w:tcMar>
              <w:top w:w="110" w:type="dxa"/>
              <w:left w:w="150" w:type="dxa"/>
              <w:bottom w:w="110" w:type="dxa"/>
              <w:right w:w="150" w:type="dxa"/>
            </w:tcMar>
          </w:tcPr>
          <w:p w14:paraId="5A55A909" w14:textId="191B07E2" w:rsidR="001E0FA1" w:rsidRPr="007F13D6" w:rsidRDefault="001E0FA1" w:rsidP="00CE7AFC">
            <w:pPr>
              <w:spacing w:before="120" w:after="120" w:line="240" w:lineRule="auto"/>
              <w:rPr>
                <w:rFonts w:ascii="Arial" w:hAnsi="Arial" w:cs="Arial"/>
              </w:rPr>
            </w:pPr>
            <w:r w:rsidRPr="007F13D6">
              <w:rPr>
                <w:rFonts w:ascii="Arial" w:hAnsi="Arial" w:cs="Arial"/>
                <w:b/>
                <w:color w:val="1F4E78"/>
              </w:rPr>
              <w:lastRenderedPageBreak/>
              <w:t>Important:</w:t>
            </w:r>
            <w:r w:rsidRPr="007F13D6">
              <w:rPr>
                <w:rFonts w:ascii="Arial" w:hAnsi="Arial" w:cs="Arial"/>
              </w:rPr>
              <w:t xml:space="preserve"> The $442.0 million should not be read as $442.0 million in new state spending.</w:t>
            </w:r>
            <w:r w:rsidR="00A1702D">
              <w:rPr>
                <w:rFonts w:ascii="Arial" w:hAnsi="Arial" w:cs="Arial"/>
              </w:rPr>
              <w:t xml:space="preserve"> </w:t>
            </w:r>
            <w:r w:rsidR="00A1702D" w:rsidRPr="007F13D6">
              <w:rPr>
                <w:rFonts w:ascii="Arial" w:hAnsi="Arial" w:cs="Arial"/>
              </w:rPr>
              <w:t>Existing Delaware funding already supports many of the needs represented by the proposed Opportunity and Operational formulas. However, an authoritative mapping of existing funding streams into these two proposed categories has not yet been established. Until that crosswalk is established, the IV&amp;V can show how the proposed $442.0 million would be distributed but cannot determine how much more or less Delaware would spend compared with the current system</w:t>
            </w:r>
          </w:p>
        </w:tc>
      </w:tr>
    </w:tbl>
    <w:p w14:paraId="3667C2CC" w14:textId="233E7AB3" w:rsidR="001E0FA1" w:rsidRPr="007F13D6" w:rsidRDefault="001E0FA1" w:rsidP="00CE7AFC">
      <w:pPr>
        <w:pStyle w:val="Heading2"/>
        <w:spacing w:before="120" w:after="120" w:line="240" w:lineRule="auto"/>
        <w:rPr>
          <w:rFonts w:ascii="Arial" w:hAnsi="Arial" w:cs="Arial"/>
        </w:rPr>
      </w:pPr>
      <w:bookmarkStart w:id="3" w:name="_Toc237512538"/>
      <w:r w:rsidRPr="007F13D6">
        <w:rPr>
          <w:rFonts w:ascii="Arial" w:hAnsi="Arial" w:cs="Arial"/>
        </w:rPr>
        <w:t>The IV&amp;V independently reproduces the PEFC proposed model</w:t>
      </w:r>
      <w:bookmarkEnd w:id="3"/>
    </w:p>
    <w:p w14:paraId="45A8CCD9" w14:textId="77777777" w:rsidR="001E0FA1" w:rsidRPr="007F13D6" w:rsidRDefault="001E0FA1" w:rsidP="00CE7AFC">
      <w:pPr>
        <w:spacing w:before="120" w:after="120" w:line="240" w:lineRule="auto"/>
        <w:rPr>
          <w:rFonts w:ascii="Arial" w:hAnsi="Arial" w:cs="Arial"/>
        </w:rPr>
      </w:pPr>
      <w:r w:rsidRPr="007F13D6">
        <w:rPr>
          <w:rFonts w:ascii="Arial" w:hAnsi="Arial" w:cs="Arial"/>
        </w:rPr>
        <w:t>The IV&amp;V also addressed a separate question: Can the proposed model be independently rebuilt and produce results consistent with the PEFC workbook?</w:t>
      </w:r>
    </w:p>
    <w:p w14:paraId="77C77845" w14:textId="77777777" w:rsidR="001E0FA1" w:rsidRPr="007F13D6" w:rsidRDefault="001E0FA1" w:rsidP="00CE7AFC">
      <w:pPr>
        <w:spacing w:before="120" w:after="120" w:line="240" w:lineRule="auto"/>
        <w:rPr>
          <w:rFonts w:ascii="Arial" w:hAnsi="Arial" w:cs="Arial"/>
        </w:rPr>
      </w:pPr>
      <w:r w:rsidRPr="007F13D6">
        <w:rPr>
          <w:rFonts w:ascii="Arial" w:hAnsi="Arial" w:cs="Arial"/>
        </w:rPr>
        <w:t>When the two implementations are placed on the same 43-LEA scope:</w:t>
      </w:r>
    </w:p>
    <w:tbl>
      <w:tblPr>
        <w:tblW w:w="9648" w:type="dxa"/>
        <w:jc w:val="center"/>
        <w:tblLayout w:type="fixed"/>
        <w:tblLook w:val="04A0" w:firstRow="1" w:lastRow="0" w:firstColumn="1" w:lastColumn="0" w:noHBand="0" w:noVBand="1"/>
      </w:tblPr>
      <w:tblGrid>
        <w:gridCol w:w="3312"/>
        <w:gridCol w:w="3168"/>
        <w:gridCol w:w="3168"/>
      </w:tblGrid>
      <w:tr w:rsidR="001E0FA1" w:rsidRPr="007F13D6" w14:paraId="23EFBD50" w14:textId="77777777">
        <w:trPr>
          <w:cantSplit/>
          <w:jc w:val="center"/>
        </w:trPr>
        <w:tc>
          <w:tcPr>
            <w:tcW w:w="3312" w:type="dxa"/>
            <w:shd w:val="clear" w:color="auto" w:fill="1F4E78"/>
            <w:tcMar>
              <w:top w:w="70" w:type="dxa"/>
              <w:left w:w="90" w:type="dxa"/>
              <w:bottom w:w="70" w:type="dxa"/>
              <w:right w:w="90" w:type="dxa"/>
            </w:tcMar>
            <w:vAlign w:val="center"/>
          </w:tcPr>
          <w:p w14:paraId="3A5DEE4C" w14:textId="77777777" w:rsidR="001E0FA1" w:rsidRPr="007F13D6" w:rsidRDefault="001E0FA1" w:rsidP="00CE7AFC">
            <w:pPr>
              <w:spacing w:after="0" w:line="240" w:lineRule="auto"/>
              <w:jc w:val="center"/>
              <w:rPr>
                <w:rFonts w:ascii="Arial" w:hAnsi="Arial" w:cs="Arial"/>
              </w:rPr>
            </w:pPr>
            <w:r w:rsidRPr="007F13D6">
              <w:rPr>
                <w:rFonts w:ascii="Arial" w:hAnsi="Arial" w:cs="Arial"/>
                <w:b/>
                <w:color w:val="FFFFFF"/>
                <w:sz w:val="17"/>
              </w:rPr>
              <w:t>PEFC proposed model</w:t>
            </w:r>
          </w:p>
        </w:tc>
        <w:tc>
          <w:tcPr>
            <w:tcW w:w="3168" w:type="dxa"/>
            <w:shd w:val="clear" w:color="auto" w:fill="1F4E78"/>
            <w:tcMar>
              <w:top w:w="70" w:type="dxa"/>
              <w:left w:w="90" w:type="dxa"/>
              <w:bottom w:w="70" w:type="dxa"/>
              <w:right w:w="90" w:type="dxa"/>
            </w:tcMar>
            <w:vAlign w:val="center"/>
          </w:tcPr>
          <w:p w14:paraId="408B9D6B" w14:textId="77777777" w:rsidR="001E0FA1" w:rsidRPr="007F13D6" w:rsidRDefault="001E0FA1" w:rsidP="00CE7AFC">
            <w:pPr>
              <w:spacing w:after="0" w:line="240" w:lineRule="auto"/>
              <w:jc w:val="center"/>
              <w:rPr>
                <w:rFonts w:ascii="Arial" w:hAnsi="Arial" w:cs="Arial"/>
              </w:rPr>
            </w:pPr>
            <w:r w:rsidRPr="007F13D6">
              <w:rPr>
                <w:rFonts w:ascii="Arial" w:hAnsi="Arial" w:cs="Arial"/>
                <w:b/>
                <w:color w:val="FFFFFF"/>
                <w:sz w:val="17"/>
              </w:rPr>
              <w:t>IV&amp;V proposed model</w:t>
            </w:r>
          </w:p>
        </w:tc>
        <w:tc>
          <w:tcPr>
            <w:tcW w:w="3168" w:type="dxa"/>
            <w:shd w:val="clear" w:color="auto" w:fill="1F4E78"/>
            <w:tcMar>
              <w:top w:w="70" w:type="dxa"/>
              <w:left w:w="90" w:type="dxa"/>
              <w:bottom w:w="70" w:type="dxa"/>
              <w:right w:w="90" w:type="dxa"/>
            </w:tcMar>
            <w:vAlign w:val="center"/>
          </w:tcPr>
          <w:p w14:paraId="4722FA79" w14:textId="77777777" w:rsidR="001E0FA1" w:rsidRPr="007F13D6" w:rsidRDefault="001E0FA1" w:rsidP="00CE7AFC">
            <w:pPr>
              <w:spacing w:after="0" w:line="240" w:lineRule="auto"/>
              <w:jc w:val="center"/>
              <w:rPr>
                <w:rFonts w:ascii="Arial" w:hAnsi="Arial" w:cs="Arial"/>
              </w:rPr>
            </w:pPr>
            <w:r w:rsidRPr="007F13D6">
              <w:rPr>
                <w:rFonts w:ascii="Arial" w:hAnsi="Arial" w:cs="Arial"/>
                <w:b/>
                <w:color w:val="FFFFFF"/>
                <w:sz w:val="17"/>
              </w:rPr>
              <w:t>Difference</w:t>
            </w:r>
          </w:p>
        </w:tc>
      </w:tr>
      <w:tr w:rsidR="001E0FA1" w:rsidRPr="007F13D6" w14:paraId="002F5112" w14:textId="77777777">
        <w:trPr>
          <w:cantSplit/>
          <w:jc w:val="center"/>
        </w:trPr>
        <w:tc>
          <w:tcPr>
            <w:tcW w:w="3312" w:type="dxa"/>
            <w:tcMar>
              <w:top w:w="55" w:type="dxa"/>
              <w:left w:w="90" w:type="dxa"/>
              <w:bottom w:w="55" w:type="dxa"/>
              <w:right w:w="90" w:type="dxa"/>
            </w:tcMar>
            <w:vAlign w:val="center"/>
          </w:tcPr>
          <w:p w14:paraId="3F3E793C" w14:textId="77777777" w:rsidR="001E0FA1" w:rsidRPr="007F13D6" w:rsidRDefault="001E0FA1" w:rsidP="00CE7AFC">
            <w:pPr>
              <w:spacing w:after="0" w:line="240" w:lineRule="auto"/>
              <w:jc w:val="center"/>
              <w:rPr>
                <w:rFonts w:ascii="Arial" w:hAnsi="Arial" w:cs="Arial"/>
              </w:rPr>
            </w:pPr>
            <w:r w:rsidRPr="007F13D6">
              <w:rPr>
                <w:rFonts w:ascii="Arial" w:hAnsi="Arial" w:cs="Arial"/>
                <w:sz w:val="17"/>
              </w:rPr>
              <w:t>$2.054B</w:t>
            </w:r>
          </w:p>
        </w:tc>
        <w:tc>
          <w:tcPr>
            <w:tcW w:w="3168" w:type="dxa"/>
            <w:tcMar>
              <w:top w:w="55" w:type="dxa"/>
              <w:left w:w="90" w:type="dxa"/>
              <w:bottom w:w="55" w:type="dxa"/>
              <w:right w:w="90" w:type="dxa"/>
            </w:tcMar>
            <w:vAlign w:val="center"/>
          </w:tcPr>
          <w:p w14:paraId="5ABDBE19" w14:textId="77777777" w:rsidR="001E0FA1" w:rsidRPr="007F13D6" w:rsidRDefault="001E0FA1" w:rsidP="00CE7AFC">
            <w:pPr>
              <w:spacing w:after="0" w:line="240" w:lineRule="auto"/>
              <w:jc w:val="center"/>
              <w:rPr>
                <w:rFonts w:ascii="Arial" w:hAnsi="Arial" w:cs="Arial"/>
              </w:rPr>
            </w:pPr>
            <w:r w:rsidRPr="007F13D6">
              <w:rPr>
                <w:rFonts w:ascii="Arial" w:hAnsi="Arial" w:cs="Arial"/>
                <w:sz w:val="17"/>
              </w:rPr>
              <w:t>$2.058B</w:t>
            </w:r>
          </w:p>
        </w:tc>
        <w:tc>
          <w:tcPr>
            <w:tcW w:w="3168" w:type="dxa"/>
            <w:tcMar>
              <w:top w:w="55" w:type="dxa"/>
              <w:left w:w="90" w:type="dxa"/>
              <w:bottom w:w="55" w:type="dxa"/>
              <w:right w:w="90" w:type="dxa"/>
            </w:tcMar>
            <w:vAlign w:val="center"/>
          </w:tcPr>
          <w:p w14:paraId="3C32B3FA" w14:textId="77777777" w:rsidR="001E0FA1" w:rsidRPr="007F13D6" w:rsidRDefault="001E0FA1" w:rsidP="00CE7AFC">
            <w:pPr>
              <w:spacing w:after="0" w:line="240" w:lineRule="auto"/>
              <w:jc w:val="center"/>
              <w:rPr>
                <w:rFonts w:ascii="Arial" w:hAnsi="Arial" w:cs="Arial"/>
              </w:rPr>
            </w:pPr>
            <w:r w:rsidRPr="007F13D6">
              <w:rPr>
                <w:rFonts w:ascii="Arial" w:hAnsi="Arial" w:cs="Arial"/>
                <w:sz w:val="17"/>
              </w:rPr>
              <w:t>+$3.72M / +0.18%</w:t>
            </w:r>
          </w:p>
        </w:tc>
      </w:tr>
    </w:tbl>
    <w:p w14:paraId="3245CB73" w14:textId="77777777" w:rsidR="001E0FA1" w:rsidRPr="007F13D6" w:rsidRDefault="001E0FA1" w:rsidP="00CE7AFC">
      <w:pPr>
        <w:spacing w:before="120" w:after="120" w:line="240" w:lineRule="auto"/>
        <w:rPr>
          <w:rFonts w:ascii="Arial" w:hAnsi="Arial" w:cs="Arial"/>
        </w:rPr>
      </w:pPr>
      <w:r w:rsidRPr="007F13D6">
        <w:rPr>
          <w:rFonts w:ascii="Arial" w:hAnsi="Arial" w:cs="Arial"/>
        </w:rPr>
        <w:t>A difference of 0.18% indicates that the IV&amp;V independently reproduces the overall proposed funding structure very closely.</w:t>
      </w:r>
    </w:p>
    <w:p w14:paraId="3A9ABF30" w14:textId="77777777" w:rsidR="001E0FA1" w:rsidRPr="007F13D6" w:rsidRDefault="001E0FA1" w:rsidP="00CE7AFC">
      <w:pPr>
        <w:spacing w:before="120" w:after="120" w:line="240" w:lineRule="auto"/>
        <w:rPr>
          <w:rFonts w:ascii="Arial" w:hAnsi="Arial" w:cs="Arial"/>
        </w:rPr>
      </w:pPr>
      <w:r w:rsidRPr="007F13D6">
        <w:rPr>
          <w:rFonts w:ascii="Arial" w:hAnsi="Arial" w:cs="Arial"/>
        </w:rPr>
        <w:t>The remaining differences are traceable to specific implementation choices, including Principal treatment for five district calculation units, fractional Assistant Principal awards, Assistant Superintendent thresholds, Instructional Supports calculations for some multi-building charters, and the treatment of Delaware Air Force Base.</w:t>
      </w:r>
    </w:p>
    <w:p w14:paraId="5DA57671" w14:textId="77777777" w:rsidR="001E0FA1" w:rsidRPr="007F13D6" w:rsidRDefault="001E0FA1" w:rsidP="00CE7AFC">
      <w:pPr>
        <w:spacing w:before="120" w:after="120" w:line="240" w:lineRule="auto"/>
        <w:rPr>
          <w:rFonts w:ascii="Arial" w:hAnsi="Arial" w:cs="Arial"/>
        </w:rPr>
      </w:pPr>
      <w:r w:rsidRPr="007F13D6">
        <w:rPr>
          <w:rFonts w:ascii="Arial" w:hAnsi="Arial" w:cs="Arial"/>
        </w:rPr>
        <w:t>These differences are important for final implementation, but they do not materially change the broader conclusion that the proposed model can be independently reproduced.</w:t>
      </w:r>
    </w:p>
    <w:p w14:paraId="2FBDBD5F" w14:textId="77777777" w:rsidR="001E0FA1" w:rsidRPr="007F13D6" w:rsidRDefault="001E0FA1" w:rsidP="00CE7AFC">
      <w:pPr>
        <w:pStyle w:val="Heading2"/>
        <w:spacing w:before="120" w:after="120" w:line="240" w:lineRule="auto"/>
        <w:rPr>
          <w:rFonts w:ascii="Arial" w:hAnsi="Arial" w:cs="Arial"/>
        </w:rPr>
      </w:pPr>
      <w:bookmarkStart w:id="4" w:name="_Toc237512539"/>
      <w:r w:rsidRPr="007F13D6">
        <w:rPr>
          <w:rFonts w:ascii="Arial" w:hAnsi="Arial" w:cs="Arial"/>
        </w:rPr>
        <w:t>What is still needed before a final fiscal impact can be estimated?</w:t>
      </w:r>
      <w:bookmarkEnd w:id="4"/>
    </w:p>
    <w:p w14:paraId="1D16A3B4" w14:textId="77777777" w:rsidR="001E0FA1" w:rsidRPr="007F13D6" w:rsidRDefault="001E0FA1" w:rsidP="00CE7AFC">
      <w:pPr>
        <w:spacing w:before="120" w:after="120" w:line="240" w:lineRule="auto"/>
        <w:rPr>
          <w:rFonts w:ascii="Arial" w:hAnsi="Arial" w:cs="Arial"/>
        </w:rPr>
      </w:pPr>
      <w:r w:rsidRPr="007F13D6">
        <w:rPr>
          <w:rFonts w:ascii="Arial" w:hAnsi="Arial" w:cs="Arial"/>
        </w:rPr>
        <w:t>Several outstanding items prevent the IV&amp;V from presenting a complete current-versus-proposed fiscal estimate:</w:t>
      </w:r>
    </w:p>
    <w:tbl>
      <w:tblPr>
        <w:tblW w:w="9504" w:type="dxa"/>
        <w:jc w:val="center"/>
        <w:tblLayout w:type="fixed"/>
        <w:tblLook w:val="04A0" w:firstRow="1" w:lastRow="0" w:firstColumn="1" w:lastColumn="0" w:noHBand="0" w:noVBand="1"/>
      </w:tblPr>
      <w:tblGrid>
        <w:gridCol w:w="3312"/>
        <w:gridCol w:w="6192"/>
      </w:tblGrid>
      <w:tr w:rsidR="001E0FA1" w:rsidRPr="007F13D6" w14:paraId="5B4BAD89" w14:textId="77777777" w:rsidTr="00FF52B2">
        <w:trPr>
          <w:cantSplit/>
          <w:jc w:val="center"/>
        </w:trPr>
        <w:tc>
          <w:tcPr>
            <w:tcW w:w="3312" w:type="dxa"/>
            <w:shd w:val="clear" w:color="auto" w:fill="1F4E78"/>
            <w:tcMar>
              <w:top w:w="48" w:type="dxa"/>
              <w:left w:w="85" w:type="dxa"/>
              <w:bottom w:w="48" w:type="dxa"/>
              <w:right w:w="85" w:type="dxa"/>
            </w:tcMar>
            <w:vAlign w:val="center"/>
          </w:tcPr>
          <w:p w14:paraId="08930118" w14:textId="77777777" w:rsidR="001E0FA1" w:rsidRPr="007F13D6" w:rsidRDefault="001E0FA1" w:rsidP="00CE7AFC">
            <w:pPr>
              <w:spacing w:after="0" w:line="240" w:lineRule="auto"/>
              <w:rPr>
                <w:rFonts w:ascii="Arial" w:hAnsi="Arial" w:cs="Arial"/>
                <w:b/>
                <w:color w:val="FFFFFF" w:themeColor="background1"/>
                <w:sz w:val="17"/>
                <w:szCs w:val="17"/>
              </w:rPr>
            </w:pPr>
            <w:r w:rsidRPr="007F13D6">
              <w:rPr>
                <w:rFonts w:ascii="Arial" w:hAnsi="Arial" w:cs="Arial"/>
                <w:b/>
                <w:bCs/>
                <w:color w:val="FFFFFF" w:themeColor="background1"/>
                <w:sz w:val="17"/>
                <w:szCs w:val="17"/>
              </w:rPr>
              <w:t>Outstanding item</w:t>
            </w:r>
          </w:p>
        </w:tc>
        <w:tc>
          <w:tcPr>
            <w:tcW w:w="6192" w:type="dxa"/>
            <w:shd w:val="clear" w:color="auto" w:fill="1F4E78"/>
            <w:tcMar>
              <w:top w:w="48" w:type="dxa"/>
              <w:left w:w="85" w:type="dxa"/>
              <w:bottom w:w="48" w:type="dxa"/>
              <w:right w:w="85" w:type="dxa"/>
            </w:tcMar>
            <w:vAlign w:val="center"/>
          </w:tcPr>
          <w:p w14:paraId="0A9D9AE3" w14:textId="77777777" w:rsidR="001E0FA1" w:rsidRPr="007F13D6" w:rsidRDefault="001E0FA1" w:rsidP="00CE7AFC">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Why it matters</w:t>
            </w:r>
          </w:p>
        </w:tc>
      </w:tr>
      <w:tr w:rsidR="001E0FA1" w:rsidRPr="007F13D6" w14:paraId="375DDF0B" w14:textId="77777777" w:rsidTr="00FF52B2">
        <w:trPr>
          <w:cantSplit/>
          <w:jc w:val="center"/>
        </w:trPr>
        <w:tc>
          <w:tcPr>
            <w:tcW w:w="3312" w:type="dxa"/>
            <w:shd w:val="clear" w:color="auto" w:fill="EAF3F8"/>
            <w:tcMar>
              <w:top w:w="48" w:type="dxa"/>
              <w:left w:w="85" w:type="dxa"/>
              <w:bottom w:w="48" w:type="dxa"/>
              <w:right w:w="85" w:type="dxa"/>
            </w:tcMar>
            <w:vAlign w:val="center"/>
          </w:tcPr>
          <w:p w14:paraId="014D4E05" w14:textId="77777777" w:rsidR="001E0FA1" w:rsidRPr="007F13D6" w:rsidRDefault="001E0FA1" w:rsidP="00CE7AFC">
            <w:pPr>
              <w:spacing w:after="0" w:line="240" w:lineRule="auto"/>
              <w:rPr>
                <w:rFonts w:ascii="Arial" w:hAnsi="Arial" w:cs="Arial"/>
                <w:sz w:val="17"/>
                <w:szCs w:val="17"/>
              </w:rPr>
            </w:pPr>
            <w:r w:rsidRPr="007F13D6">
              <w:rPr>
                <w:rStyle w:val="Strong"/>
                <w:rFonts w:ascii="Arial" w:hAnsi="Arial" w:cs="Arial"/>
                <w:color w:val="000000"/>
                <w:sz w:val="17"/>
                <w:szCs w:val="17"/>
              </w:rPr>
              <w:t>Opportunity &amp; Operational Funding crosswalk</w:t>
            </w:r>
          </w:p>
        </w:tc>
        <w:tc>
          <w:tcPr>
            <w:tcW w:w="6192" w:type="dxa"/>
            <w:shd w:val="clear" w:color="auto" w:fill="EAF3F8"/>
            <w:tcMar>
              <w:top w:w="48" w:type="dxa"/>
              <w:left w:w="85" w:type="dxa"/>
              <w:bottom w:w="48" w:type="dxa"/>
              <w:right w:w="85" w:type="dxa"/>
            </w:tcMar>
            <w:vAlign w:val="center"/>
          </w:tcPr>
          <w:p w14:paraId="0DB6C2DA" w14:textId="77777777" w:rsidR="001E0FA1" w:rsidRPr="007F13D6" w:rsidRDefault="001E0FA1" w:rsidP="00CE7AFC">
            <w:pPr>
              <w:spacing w:after="0" w:line="240" w:lineRule="auto"/>
              <w:rPr>
                <w:rFonts w:ascii="Arial" w:hAnsi="Arial" w:cs="Arial"/>
                <w:sz w:val="17"/>
                <w:szCs w:val="17"/>
              </w:rPr>
            </w:pPr>
            <w:r w:rsidRPr="007F13D6">
              <w:rPr>
                <w:rFonts w:ascii="Arial" w:hAnsi="Arial" w:cs="Arial"/>
                <w:color w:val="000000"/>
                <w:sz w:val="17"/>
                <w:szCs w:val="17"/>
              </w:rPr>
              <w:t>Needed to determine how the proposed $442.0M compares with existing funding</w:t>
            </w:r>
          </w:p>
        </w:tc>
      </w:tr>
      <w:tr w:rsidR="001E0FA1" w:rsidRPr="007F13D6" w14:paraId="199D6659" w14:textId="77777777" w:rsidTr="00FF52B2">
        <w:trPr>
          <w:cantSplit/>
          <w:jc w:val="center"/>
        </w:trPr>
        <w:tc>
          <w:tcPr>
            <w:tcW w:w="3312" w:type="dxa"/>
            <w:tcMar>
              <w:top w:w="48" w:type="dxa"/>
              <w:left w:w="85" w:type="dxa"/>
              <w:bottom w:w="48" w:type="dxa"/>
              <w:right w:w="85" w:type="dxa"/>
            </w:tcMar>
            <w:vAlign w:val="center"/>
          </w:tcPr>
          <w:p w14:paraId="274270AB" w14:textId="77777777" w:rsidR="001E0FA1" w:rsidRPr="007F13D6" w:rsidRDefault="001E0FA1" w:rsidP="00CE7AFC">
            <w:pPr>
              <w:spacing w:after="0" w:line="240" w:lineRule="auto"/>
              <w:rPr>
                <w:rFonts w:ascii="Arial" w:hAnsi="Arial" w:cs="Arial"/>
                <w:sz w:val="17"/>
                <w:szCs w:val="17"/>
              </w:rPr>
            </w:pPr>
            <w:r w:rsidRPr="007F13D6">
              <w:rPr>
                <w:rStyle w:val="Strong"/>
                <w:rFonts w:ascii="Arial" w:hAnsi="Arial" w:cs="Arial"/>
                <w:color w:val="000000"/>
                <w:sz w:val="17"/>
                <w:szCs w:val="17"/>
              </w:rPr>
              <w:t>Buildings &amp; Grounds Supervisor data</w:t>
            </w:r>
          </w:p>
        </w:tc>
        <w:tc>
          <w:tcPr>
            <w:tcW w:w="6192" w:type="dxa"/>
            <w:tcMar>
              <w:top w:w="48" w:type="dxa"/>
              <w:left w:w="85" w:type="dxa"/>
              <w:bottom w:w="48" w:type="dxa"/>
              <w:right w:w="85" w:type="dxa"/>
            </w:tcMar>
            <w:vAlign w:val="center"/>
          </w:tcPr>
          <w:p w14:paraId="3AE90CD0" w14:textId="77777777" w:rsidR="001E0FA1" w:rsidRPr="007F13D6" w:rsidRDefault="001E0FA1" w:rsidP="00CE7AFC">
            <w:pPr>
              <w:spacing w:after="0" w:line="240" w:lineRule="auto"/>
              <w:rPr>
                <w:rFonts w:ascii="Arial" w:hAnsi="Arial" w:cs="Arial"/>
                <w:sz w:val="17"/>
                <w:szCs w:val="17"/>
              </w:rPr>
            </w:pPr>
            <w:r w:rsidRPr="007F13D6">
              <w:rPr>
                <w:rFonts w:ascii="Arial" w:hAnsi="Arial" w:cs="Arial"/>
                <w:color w:val="000000"/>
                <w:sz w:val="17"/>
                <w:szCs w:val="17"/>
              </w:rPr>
              <w:t>Current custodial-unit counts are needed to calculate current eligibility</w:t>
            </w:r>
          </w:p>
        </w:tc>
      </w:tr>
      <w:tr w:rsidR="001E0FA1" w:rsidRPr="007F13D6" w14:paraId="3FEA47FF" w14:textId="77777777" w:rsidTr="00FF52B2">
        <w:trPr>
          <w:cantSplit/>
          <w:jc w:val="center"/>
        </w:trPr>
        <w:tc>
          <w:tcPr>
            <w:tcW w:w="3312" w:type="dxa"/>
            <w:shd w:val="clear" w:color="auto" w:fill="EAF3F8"/>
            <w:tcMar>
              <w:top w:w="48" w:type="dxa"/>
              <w:left w:w="85" w:type="dxa"/>
              <w:bottom w:w="48" w:type="dxa"/>
              <w:right w:w="85" w:type="dxa"/>
            </w:tcMar>
            <w:vAlign w:val="center"/>
          </w:tcPr>
          <w:p w14:paraId="466C358E" w14:textId="77777777" w:rsidR="001E0FA1" w:rsidRPr="007F13D6" w:rsidRDefault="001E0FA1" w:rsidP="00CE7AFC">
            <w:pPr>
              <w:spacing w:after="0" w:line="240" w:lineRule="auto"/>
              <w:rPr>
                <w:rFonts w:ascii="Arial" w:hAnsi="Arial" w:cs="Arial"/>
                <w:sz w:val="17"/>
                <w:szCs w:val="17"/>
              </w:rPr>
            </w:pPr>
            <w:r w:rsidRPr="007F13D6">
              <w:rPr>
                <w:rStyle w:val="Strong"/>
                <w:rFonts w:ascii="Arial" w:hAnsi="Arial" w:cs="Arial"/>
                <w:color w:val="000000"/>
                <w:sz w:val="17"/>
                <w:szCs w:val="17"/>
              </w:rPr>
              <w:t>Food Services Supervisor allocations</w:t>
            </w:r>
          </w:p>
        </w:tc>
        <w:tc>
          <w:tcPr>
            <w:tcW w:w="6192" w:type="dxa"/>
            <w:shd w:val="clear" w:color="auto" w:fill="EAF3F8"/>
            <w:tcMar>
              <w:top w:w="48" w:type="dxa"/>
              <w:left w:w="85" w:type="dxa"/>
              <w:bottom w:w="48" w:type="dxa"/>
              <w:right w:w="85" w:type="dxa"/>
            </w:tcMar>
            <w:vAlign w:val="center"/>
          </w:tcPr>
          <w:p w14:paraId="404F5E87" w14:textId="77777777" w:rsidR="001E0FA1" w:rsidRPr="007F13D6" w:rsidRDefault="001E0FA1" w:rsidP="00CE7AFC">
            <w:pPr>
              <w:spacing w:after="0" w:line="240" w:lineRule="auto"/>
              <w:rPr>
                <w:rFonts w:ascii="Arial" w:hAnsi="Arial" w:cs="Arial"/>
                <w:sz w:val="17"/>
                <w:szCs w:val="17"/>
              </w:rPr>
            </w:pPr>
            <w:r w:rsidRPr="007F13D6">
              <w:rPr>
                <w:rFonts w:ascii="Arial" w:hAnsi="Arial" w:cs="Arial"/>
                <w:color w:val="000000"/>
                <w:sz w:val="17"/>
                <w:szCs w:val="17"/>
              </w:rPr>
              <w:t>Current LEA-level awards remain incomplete</w:t>
            </w:r>
          </w:p>
        </w:tc>
      </w:tr>
      <w:tr w:rsidR="001E0FA1" w:rsidRPr="007F13D6" w14:paraId="7531C57F" w14:textId="77777777" w:rsidTr="00FF52B2">
        <w:trPr>
          <w:cantSplit/>
          <w:jc w:val="center"/>
        </w:trPr>
        <w:tc>
          <w:tcPr>
            <w:tcW w:w="3312" w:type="dxa"/>
            <w:tcMar>
              <w:top w:w="48" w:type="dxa"/>
              <w:left w:w="85" w:type="dxa"/>
              <w:bottom w:w="48" w:type="dxa"/>
              <w:right w:w="85" w:type="dxa"/>
            </w:tcMar>
            <w:vAlign w:val="center"/>
          </w:tcPr>
          <w:p w14:paraId="19D8CB25" w14:textId="77777777" w:rsidR="001E0FA1" w:rsidRPr="007F13D6" w:rsidRDefault="001E0FA1" w:rsidP="00CE7AFC">
            <w:pPr>
              <w:spacing w:after="0" w:line="240" w:lineRule="auto"/>
              <w:rPr>
                <w:rFonts w:ascii="Arial" w:hAnsi="Arial" w:cs="Arial"/>
                <w:sz w:val="17"/>
                <w:szCs w:val="17"/>
              </w:rPr>
            </w:pPr>
            <w:r w:rsidRPr="007F13D6">
              <w:rPr>
                <w:rStyle w:val="Strong"/>
                <w:rFonts w:ascii="Arial" w:hAnsi="Arial" w:cs="Arial"/>
                <w:color w:val="000000"/>
                <w:sz w:val="17"/>
                <w:szCs w:val="17"/>
              </w:rPr>
              <w:t>Vocational enrollment</w:t>
            </w:r>
          </w:p>
        </w:tc>
        <w:tc>
          <w:tcPr>
            <w:tcW w:w="6192" w:type="dxa"/>
            <w:tcMar>
              <w:top w:w="48" w:type="dxa"/>
              <w:left w:w="85" w:type="dxa"/>
              <w:bottom w:w="48" w:type="dxa"/>
              <w:right w:w="85" w:type="dxa"/>
            </w:tcMar>
            <w:vAlign w:val="center"/>
          </w:tcPr>
          <w:p w14:paraId="2CF60530" w14:textId="77777777" w:rsidR="001E0FA1" w:rsidRPr="007F13D6" w:rsidRDefault="001E0FA1" w:rsidP="00CE7AFC">
            <w:pPr>
              <w:spacing w:after="0" w:line="240" w:lineRule="auto"/>
              <w:rPr>
                <w:rFonts w:ascii="Arial" w:hAnsi="Arial" w:cs="Arial"/>
                <w:sz w:val="17"/>
                <w:szCs w:val="17"/>
              </w:rPr>
            </w:pPr>
            <w:r w:rsidRPr="007F13D6">
              <w:rPr>
                <w:rFonts w:ascii="Arial" w:hAnsi="Arial" w:cs="Arial"/>
                <w:color w:val="000000"/>
                <w:sz w:val="17"/>
                <w:szCs w:val="17"/>
              </w:rPr>
              <w:t>The Operational Funding input is retained from PEFC but has not been independently validated</w:t>
            </w:r>
          </w:p>
        </w:tc>
      </w:tr>
    </w:tbl>
    <w:p w14:paraId="5309F57D" w14:textId="77777777" w:rsidR="001E0FA1" w:rsidRPr="007F13D6" w:rsidRDefault="001E0FA1" w:rsidP="00CE7AFC">
      <w:pPr>
        <w:spacing w:before="120" w:after="120" w:line="240" w:lineRule="auto"/>
        <w:rPr>
          <w:rFonts w:ascii="Arial" w:hAnsi="Arial" w:cs="Arial"/>
        </w:rPr>
      </w:pPr>
      <w:r w:rsidRPr="007F13D6">
        <w:rPr>
          <w:rFonts w:ascii="Arial" w:hAnsi="Arial" w:cs="Arial"/>
        </w:rPr>
        <w:t>The IV&amp;V currently recreates nine Food Services Supervisor positions across the 19 eligible districts. Because the remaining LEA-level awards have not yet been confirmed, the primary analysis retains these nine independently recreated positions as an incomplete minimum estimate.</w:t>
      </w:r>
    </w:p>
    <w:p w14:paraId="401B932D" w14:textId="77777777" w:rsidR="001E0FA1" w:rsidRPr="007F13D6" w:rsidRDefault="001E0FA1" w:rsidP="007F13D6">
      <w:pPr>
        <w:rPr>
          <w:rFonts w:ascii="Arial" w:hAnsi="Arial" w:cs="Arial"/>
          <w:b/>
          <w:bCs/>
          <w:color w:val="2F75B5"/>
          <w:sz w:val="28"/>
          <w:szCs w:val="28"/>
        </w:rPr>
      </w:pPr>
      <w:r w:rsidRPr="007F13D6">
        <w:rPr>
          <w:rFonts w:ascii="Arial" w:hAnsi="Arial" w:cs="Arial"/>
          <w:b/>
          <w:bCs/>
          <w:color w:val="2F75B5"/>
          <w:sz w:val="28"/>
          <w:szCs w:val="28"/>
        </w:rPr>
        <w:t>Overall assessment</w:t>
      </w:r>
    </w:p>
    <w:p w14:paraId="7CEA0C39" w14:textId="0141B4DB" w:rsidR="001E0FA1" w:rsidRPr="007F13D6" w:rsidRDefault="001E0FA1" w:rsidP="00CE7AFC">
      <w:pPr>
        <w:spacing w:before="120" w:after="120" w:line="240" w:lineRule="auto"/>
        <w:rPr>
          <w:rFonts w:ascii="Arial" w:hAnsi="Arial" w:cs="Arial"/>
        </w:rPr>
      </w:pPr>
      <w:r w:rsidRPr="007F13D6">
        <w:rPr>
          <w:rFonts w:ascii="Arial" w:hAnsi="Arial" w:cs="Arial"/>
        </w:rPr>
        <w:t>The IV&amp;V establishes a reproducible technical foundation for evaluating Delaware’s proposed Hybrid Funding Model. The independently implemented proposed model is within 0.18% of the aligned PEFC implementation.</w:t>
      </w:r>
    </w:p>
    <w:p w14:paraId="39E3CF9B" w14:textId="77777777" w:rsidR="001E0FA1" w:rsidRPr="007F13D6" w:rsidRDefault="001E0FA1" w:rsidP="00CE7AFC">
      <w:pPr>
        <w:spacing w:before="120" w:after="120" w:line="240" w:lineRule="auto"/>
        <w:rPr>
          <w:rFonts w:ascii="Arial" w:hAnsi="Arial" w:cs="Arial"/>
        </w:rPr>
      </w:pPr>
      <w:r w:rsidRPr="007F13D6">
        <w:rPr>
          <w:rFonts w:ascii="Arial" w:hAnsi="Arial" w:cs="Arial"/>
        </w:rPr>
        <w:t>The analysis also provides a clear picture of where the proposed staffing model changes. Comparable staffing funding increases by approximately $47.1 million, but statewide core teaching positions remain essentially unchanged. The modeled increase is instead concentrated in administrative and support staffing generated through changes in calculation units, eligibility rules, staffing bases, and position formulas.</w:t>
      </w:r>
    </w:p>
    <w:p w14:paraId="73A05289" w14:textId="77777777" w:rsidR="001E0FA1" w:rsidRPr="007F13D6" w:rsidRDefault="001E0FA1" w:rsidP="00CE7AFC">
      <w:pPr>
        <w:spacing w:before="120" w:after="120" w:line="240" w:lineRule="auto"/>
        <w:rPr>
          <w:rFonts w:ascii="Arial" w:hAnsi="Arial" w:cs="Arial"/>
        </w:rPr>
      </w:pPr>
      <w:r w:rsidRPr="007F13D6">
        <w:rPr>
          <w:rFonts w:ascii="Arial" w:hAnsi="Arial" w:cs="Arial"/>
        </w:rPr>
        <w:lastRenderedPageBreak/>
        <w:t>The proposed Opportunity and Operational Funding formulas can also be independently reproduced, and their $442.0 million in proposed allocations can be examined by LEA and funding component. However, their relationship to existing funding must still be established before those allocations can be translated into a net fiscal change.</w:t>
      </w:r>
    </w:p>
    <w:p w14:paraId="688B3AD1" w14:textId="77777777" w:rsidR="001E0FA1" w:rsidRPr="007F13D6" w:rsidRDefault="001E0FA1" w:rsidP="00CE7AFC">
      <w:pPr>
        <w:spacing w:before="120" w:after="120" w:line="240" w:lineRule="auto"/>
        <w:rPr>
          <w:rFonts w:ascii="Arial" w:hAnsi="Arial" w:cs="Arial"/>
        </w:rPr>
      </w:pPr>
      <w:r w:rsidRPr="007F13D6">
        <w:rPr>
          <w:rFonts w:ascii="Arial" w:hAnsi="Arial" w:cs="Arial"/>
        </w:rPr>
        <w:t>Accordingly, the analysis is ready to support technical and policy discussion, but it should not yet be interpreted as a final estimate of increased state spending or confirmed LEA gains and losses.</w:t>
      </w:r>
    </w:p>
    <w:p w14:paraId="405C5717" w14:textId="77777777" w:rsidR="001E0FA1" w:rsidRPr="007F13D6" w:rsidRDefault="001E0FA1" w:rsidP="00CE7AFC">
      <w:pPr>
        <w:spacing w:before="120" w:after="120" w:line="240" w:lineRule="auto"/>
        <w:rPr>
          <w:rFonts w:ascii="Arial" w:hAnsi="Arial" w:cs="Arial"/>
        </w:rPr>
      </w:pPr>
    </w:p>
    <w:p w14:paraId="473EC0DE" w14:textId="77777777" w:rsidR="00AE0583" w:rsidRPr="007F13D6" w:rsidRDefault="00AE0583" w:rsidP="00CE7AFC">
      <w:pPr>
        <w:spacing w:before="120" w:after="120" w:line="240" w:lineRule="auto"/>
        <w:rPr>
          <w:rFonts w:ascii="Arial" w:hAnsi="Arial" w:cs="Arial"/>
        </w:rPr>
      </w:pPr>
    </w:p>
    <w:p w14:paraId="4D79E47B" w14:textId="77777777" w:rsidR="00AE0583" w:rsidRPr="007F13D6" w:rsidRDefault="00AE0583" w:rsidP="00CE7AFC">
      <w:pPr>
        <w:spacing w:before="120" w:after="120" w:line="240" w:lineRule="auto"/>
        <w:rPr>
          <w:rFonts w:ascii="Arial" w:hAnsi="Arial" w:cs="Arial"/>
        </w:rPr>
      </w:pPr>
    </w:p>
    <w:p w14:paraId="2C6ED8D1" w14:textId="77777777" w:rsidR="00CE7AFC" w:rsidRPr="007F13D6" w:rsidRDefault="00CE7AFC" w:rsidP="00CE7AFC">
      <w:pPr>
        <w:spacing w:before="120" w:after="120" w:line="240" w:lineRule="auto"/>
        <w:rPr>
          <w:rFonts w:ascii="Arial" w:hAnsi="Arial" w:cs="Arial"/>
        </w:rPr>
      </w:pPr>
    </w:p>
    <w:p w14:paraId="640CC1F1" w14:textId="77777777" w:rsidR="00CE7AFC" w:rsidRPr="007F13D6" w:rsidRDefault="00CE7AFC" w:rsidP="00CE7AFC">
      <w:pPr>
        <w:spacing w:before="120" w:after="120" w:line="240" w:lineRule="auto"/>
        <w:rPr>
          <w:rFonts w:ascii="Arial" w:hAnsi="Arial" w:cs="Arial"/>
        </w:rPr>
      </w:pPr>
    </w:p>
    <w:p w14:paraId="3954E363" w14:textId="77777777" w:rsidR="00CE7AFC" w:rsidRPr="007F13D6" w:rsidRDefault="00CE7AFC" w:rsidP="00CE7AFC">
      <w:pPr>
        <w:spacing w:before="120" w:after="120" w:line="240" w:lineRule="auto"/>
        <w:rPr>
          <w:rFonts w:ascii="Arial" w:hAnsi="Arial" w:cs="Arial"/>
        </w:rPr>
      </w:pPr>
    </w:p>
    <w:p w14:paraId="1B942878" w14:textId="77777777" w:rsidR="00CE7AFC" w:rsidRPr="007F13D6" w:rsidRDefault="00CE7AFC" w:rsidP="00CE7AFC">
      <w:pPr>
        <w:spacing w:before="120" w:after="120" w:line="240" w:lineRule="auto"/>
        <w:rPr>
          <w:rFonts w:ascii="Arial" w:hAnsi="Arial" w:cs="Arial"/>
        </w:rPr>
      </w:pPr>
    </w:p>
    <w:p w14:paraId="6588CE02" w14:textId="77777777" w:rsidR="00CE7AFC" w:rsidRPr="007F13D6" w:rsidRDefault="00CE7AFC" w:rsidP="00CE7AFC">
      <w:pPr>
        <w:spacing w:before="120" w:after="120" w:line="240" w:lineRule="auto"/>
        <w:rPr>
          <w:rFonts w:ascii="Arial" w:hAnsi="Arial" w:cs="Arial"/>
        </w:rPr>
      </w:pPr>
    </w:p>
    <w:p w14:paraId="511509EB" w14:textId="77777777" w:rsidR="00CE7AFC" w:rsidRPr="007F13D6" w:rsidRDefault="00CE7AFC" w:rsidP="00CE7AFC">
      <w:pPr>
        <w:spacing w:before="120" w:after="120" w:line="240" w:lineRule="auto"/>
        <w:rPr>
          <w:rFonts w:ascii="Arial" w:hAnsi="Arial" w:cs="Arial"/>
        </w:rPr>
      </w:pPr>
    </w:p>
    <w:p w14:paraId="08A9EB3B" w14:textId="77777777" w:rsidR="00CE7AFC" w:rsidRPr="007F13D6" w:rsidRDefault="00CE7AFC" w:rsidP="00CE7AFC">
      <w:pPr>
        <w:spacing w:before="120" w:after="120" w:line="240" w:lineRule="auto"/>
        <w:rPr>
          <w:rFonts w:ascii="Arial" w:hAnsi="Arial" w:cs="Arial"/>
        </w:rPr>
      </w:pPr>
    </w:p>
    <w:p w14:paraId="378D16A8" w14:textId="77777777" w:rsidR="00CE7AFC" w:rsidRPr="007F13D6" w:rsidRDefault="00CE7AFC" w:rsidP="00CE7AFC">
      <w:pPr>
        <w:spacing w:before="120" w:after="120" w:line="240" w:lineRule="auto"/>
        <w:rPr>
          <w:rFonts w:ascii="Arial" w:hAnsi="Arial" w:cs="Arial"/>
        </w:rPr>
      </w:pPr>
    </w:p>
    <w:p w14:paraId="4C430391" w14:textId="77777777" w:rsidR="00CE7AFC" w:rsidRPr="007F13D6" w:rsidRDefault="00CE7AFC" w:rsidP="00CE7AFC">
      <w:pPr>
        <w:spacing w:before="120" w:after="120" w:line="240" w:lineRule="auto"/>
        <w:rPr>
          <w:rFonts w:ascii="Arial" w:hAnsi="Arial" w:cs="Arial"/>
        </w:rPr>
      </w:pPr>
    </w:p>
    <w:p w14:paraId="2D99CE5A" w14:textId="77777777" w:rsidR="00CE7AFC" w:rsidRPr="007F13D6" w:rsidRDefault="00CE7AFC" w:rsidP="00CE7AFC">
      <w:pPr>
        <w:spacing w:before="120" w:after="120" w:line="240" w:lineRule="auto"/>
        <w:rPr>
          <w:rFonts w:ascii="Arial" w:hAnsi="Arial" w:cs="Arial"/>
        </w:rPr>
      </w:pPr>
    </w:p>
    <w:p w14:paraId="6983131C" w14:textId="77777777" w:rsidR="00CE7AFC" w:rsidRPr="007F13D6" w:rsidRDefault="00CE7AFC" w:rsidP="00CE7AFC">
      <w:pPr>
        <w:spacing w:before="120" w:after="120" w:line="240" w:lineRule="auto"/>
        <w:rPr>
          <w:rFonts w:ascii="Arial" w:hAnsi="Arial" w:cs="Arial"/>
        </w:rPr>
      </w:pPr>
    </w:p>
    <w:p w14:paraId="4807D164" w14:textId="77777777" w:rsidR="00CE7AFC" w:rsidRPr="007F13D6" w:rsidRDefault="00CE7AFC" w:rsidP="00CE7AFC">
      <w:pPr>
        <w:spacing w:before="120" w:after="120" w:line="240" w:lineRule="auto"/>
        <w:rPr>
          <w:rFonts w:ascii="Arial" w:hAnsi="Arial" w:cs="Arial"/>
        </w:rPr>
      </w:pPr>
    </w:p>
    <w:p w14:paraId="5713C96C" w14:textId="77777777" w:rsidR="00CE7AFC" w:rsidRPr="007F13D6" w:rsidRDefault="00CE7AFC" w:rsidP="00CE7AFC">
      <w:pPr>
        <w:spacing w:before="120" w:after="120" w:line="240" w:lineRule="auto"/>
        <w:rPr>
          <w:rFonts w:ascii="Arial" w:hAnsi="Arial" w:cs="Arial"/>
        </w:rPr>
      </w:pPr>
    </w:p>
    <w:p w14:paraId="3815DB96" w14:textId="77777777" w:rsidR="00CE7AFC" w:rsidRPr="007F13D6" w:rsidRDefault="00CE7AFC" w:rsidP="00CE7AFC">
      <w:pPr>
        <w:spacing w:before="120" w:after="120" w:line="240" w:lineRule="auto"/>
        <w:rPr>
          <w:rFonts w:ascii="Arial" w:hAnsi="Arial" w:cs="Arial"/>
        </w:rPr>
      </w:pPr>
    </w:p>
    <w:p w14:paraId="47C5F3F6" w14:textId="77777777" w:rsidR="00CE7AFC" w:rsidRPr="007F13D6" w:rsidRDefault="00CE7AFC" w:rsidP="00CE7AFC">
      <w:pPr>
        <w:spacing w:before="120" w:after="120" w:line="240" w:lineRule="auto"/>
        <w:rPr>
          <w:rFonts w:ascii="Arial" w:hAnsi="Arial" w:cs="Arial"/>
        </w:rPr>
      </w:pPr>
    </w:p>
    <w:p w14:paraId="2B4EAFD7" w14:textId="77777777" w:rsidR="00CE7AFC" w:rsidRPr="007F13D6" w:rsidRDefault="00CE7AFC" w:rsidP="00CE7AFC">
      <w:pPr>
        <w:spacing w:before="120" w:after="120" w:line="240" w:lineRule="auto"/>
        <w:rPr>
          <w:rFonts w:ascii="Arial" w:hAnsi="Arial" w:cs="Arial"/>
        </w:rPr>
      </w:pPr>
    </w:p>
    <w:p w14:paraId="4F2B61F9" w14:textId="77777777" w:rsidR="00CE7AFC" w:rsidRPr="007F13D6" w:rsidRDefault="00CE7AFC" w:rsidP="00CE7AFC">
      <w:pPr>
        <w:spacing w:before="120" w:after="120" w:line="240" w:lineRule="auto"/>
        <w:rPr>
          <w:rFonts w:ascii="Arial" w:hAnsi="Arial" w:cs="Arial"/>
        </w:rPr>
      </w:pPr>
    </w:p>
    <w:p w14:paraId="7C36EBEB" w14:textId="77777777" w:rsidR="00CE7AFC" w:rsidRPr="007F13D6" w:rsidRDefault="00CE7AFC" w:rsidP="00CE7AFC">
      <w:pPr>
        <w:spacing w:before="120" w:after="120" w:line="240" w:lineRule="auto"/>
        <w:rPr>
          <w:rFonts w:ascii="Arial" w:hAnsi="Arial" w:cs="Arial"/>
        </w:rPr>
      </w:pPr>
    </w:p>
    <w:p w14:paraId="09746DEA" w14:textId="77777777" w:rsidR="00CE7AFC" w:rsidRPr="007F13D6" w:rsidRDefault="00CE7AFC" w:rsidP="00CE7AFC">
      <w:pPr>
        <w:spacing w:before="120" w:after="120" w:line="240" w:lineRule="auto"/>
        <w:rPr>
          <w:rFonts w:ascii="Arial" w:hAnsi="Arial" w:cs="Arial"/>
        </w:rPr>
      </w:pPr>
    </w:p>
    <w:p w14:paraId="46E44AAD" w14:textId="77777777" w:rsidR="00CE7AFC" w:rsidRPr="007F13D6" w:rsidRDefault="00CE7AFC" w:rsidP="00CE7AFC">
      <w:pPr>
        <w:spacing w:before="120" w:after="120" w:line="240" w:lineRule="auto"/>
        <w:rPr>
          <w:rFonts w:ascii="Arial" w:hAnsi="Arial" w:cs="Arial"/>
        </w:rPr>
      </w:pPr>
    </w:p>
    <w:p w14:paraId="225926EF" w14:textId="77777777" w:rsidR="00CE7AFC" w:rsidRPr="007F13D6" w:rsidRDefault="00CE7AFC" w:rsidP="00CE7AFC">
      <w:pPr>
        <w:spacing w:before="120" w:after="120" w:line="240" w:lineRule="auto"/>
        <w:rPr>
          <w:rFonts w:ascii="Arial" w:hAnsi="Arial" w:cs="Arial"/>
        </w:rPr>
      </w:pPr>
    </w:p>
    <w:p w14:paraId="52AAC227" w14:textId="77777777" w:rsidR="00CE7AFC" w:rsidRPr="007F13D6" w:rsidRDefault="00CE7AFC" w:rsidP="00CE7AFC">
      <w:pPr>
        <w:spacing w:before="120" w:after="120" w:line="240" w:lineRule="auto"/>
        <w:rPr>
          <w:rFonts w:ascii="Arial" w:hAnsi="Arial" w:cs="Arial"/>
        </w:rPr>
      </w:pPr>
    </w:p>
    <w:p w14:paraId="583F28BC" w14:textId="77777777" w:rsidR="00AE0583" w:rsidRDefault="00AE0583" w:rsidP="00CE7AFC">
      <w:pPr>
        <w:spacing w:before="120" w:after="120" w:line="240" w:lineRule="auto"/>
        <w:rPr>
          <w:rFonts w:ascii="Arial" w:hAnsi="Arial" w:cs="Arial"/>
        </w:rPr>
      </w:pPr>
    </w:p>
    <w:p w14:paraId="7F66D051" w14:textId="77777777" w:rsidR="00FD5BA9" w:rsidRDefault="00FD5BA9" w:rsidP="00CE7AFC">
      <w:pPr>
        <w:spacing w:before="120" w:after="120" w:line="240" w:lineRule="auto"/>
        <w:rPr>
          <w:rFonts w:ascii="Arial" w:hAnsi="Arial" w:cs="Arial"/>
        </w:rPr>
      </w:pPr>
    </w:p>
    <w:p w14:paraId="4C3DEA9E" w14:textId="77777777" w:rsidR="00FD5BA9" w:rsidRDefault="00FD5BA9" w:rsidP="00CE7AFC">
      <w:pPr>
        <w:spacing w:before="120" w:after="120" w:line="240" w:lineRule="auto"/>
        <w:rPr>
          <w:rFonts w:ascii="Arial" w:hAnsi="Arial" w:cs="Arial"/>
        </w:rPr>
      </w:pPr>
    </w:p>
    <w:p w14:paraId="4A43A747" w14:textId="77777777" w:rsidR="00FD5BA9" w:rsidRPr="007F13D6" w:rsidRDefault="00FD5BA9" w:rsidP="00CE7AFC">
      <w:pPr>
        <w:spacing w:before="120" w:after="120" w:line="240" w:lineRule="auto"/>
        <w:rPr>
          <w:rFonts w:ascii="Arial" w:hAnsi="Arial" w:cs="Arial"/>
        </w:rPr>
      </w:pPr>
    </w:p>
    <w:p w14:paraId="08FE0A83" w14:textId="244003B1" w:rsidR="00AE0583" w:rsidRPr="007F13D6" w:rsidRDefault="00500E31" w:rsidP="00CE7AFC">
      <w:pPr>
        <w:pStyle w:val="Heading1"/>
        <w:spacing w:before="120" w:after="120" w:line="240" w:lineRule="auto"/>
        <w:rPr>
          <w:rFonts w:ascii="Arial" w:hAnsi="Arial" w:cs="Arial"/>
        </w:rPr>
      </w:pPr>
      <w:bookmarkStart w:id="5" w:name="_Toc237512540"/>
      <w:r w:rsidRPr="007F13D6">
        <w:rPr>
          <w:rFonts w:ascii="Arial" w:hAnsi="Arial" w:cs="Arial"/>
        </w:rPr>
        <w:lastRenderedPageBreak/>
        <w:t xml:space="preserve">1. </w:t>
      </w:r>
      <w:r w:rsidR="00DD20EE" w:rsidRPr="007F13D6">
        <w:rPr>
          <w:rFonts w:ascii="Arial" w:hAnsi="Arial" w:cs="Arial"/>
        </w:rPr>
        <w:t>Current Funding Rules, Proposed Treatments, and Evidence Status</w:t>
      </w:r>
      <w:bookmarkEnd w:id="5"/>
    </w:p>
    <w:p w14:paraId="14E5F8DE" w14:textId="77777777" w:rsidR="00DD20EE" w:rsidRPr="007F13D6" w:rsidRDefault="00DD20EE" w:rsidP="00CE7AFC">
      <w:pPr>
        <w:pStyle w:val="Heading2"/>
        <w:spacing w:before="120" w:after="120" w:line="240" w:lineRule="auto"/>
        <w:rPr>
          <w:rFonts w:ascii="Arial" w:hAnsi="Arial" w:cs="Arial"/>
        </w:rPr>
      </w:pPr>
      <w:bookmarkStart w:id="6" w:name="_Toc237512541"/>
      <w:r w:rsidRPr="007F13D6">
        <w:rPr>
          <w:rFonts w:ascii="Arial" w:hAnsi="Arial" w:cs="Arial"/>
        </w:rPr>
        <w:t>1.1 How to interpret the rule inventory</w:t>
      </w:r>
      <w:bookmarkEnd w:id="6"/>
    </w:p>
    <w:p w14:paraId="3EE29268" w14:textId="77777777" w:rsidR="008711CF" w:rsidRPr="007F13D6" w:rsidRDefault="008711CF" w:rsidP="00CE7AFC">
      <w:pPr>
        <w:spacing w:before="120" w:after="120" w:line="240" w:lineRule="auto"/>
        <w:rPr>
          <w:rFonts w:ascii="Arial" w:hAnsi="Arial" w:cs="Arial"/>
        </w:rPr>
      </w:pPr>
      <w:r w:rsidRPr="007F13D6">
        <w:rPr>
          <w:rFonts w:ascii="Arial" w:hAnsi="Arial" w:cs="Arial"/>
        </w:rPr>
        <w:t>Delaware's school funding framework is not represented by a single, fully documented source. The available record includes statutory provisions, annual appropriations, operational practices, PEFC recommendations, IV&amp;V implementation interpretations, and formulas or precomputed values contained in the FY2025-26 reference workbook.</w:t>
      </w:r>
    </w:p>
    <w:p w14:paraId="151764F1" w14:textId="77777777" w:rsidR="008711CF" w:rsidRPr="007F13D6" w:rsidRDefault="008711CF" w:rsidP="00CE7AFC">
      <w:pPr>
        <w:spacing w:before="120" w:after="120" w:line="240" w:lineRule="auto"/>
        <w:rPr>
          <w:rFonts w:ascii="Arial" w:hAnsi="Arial" w:cs="Arial"/>
        </w:rPr>
      </w:pPr>
      <w:r w:rsidRPr="007F13D6">
        <w:rPr>
          <w:rFonts w:ascii="Arial" w:hAnsi="Arial" w:cs="Arial"/>
        </w:rPr>
        <w:t>This report therefore distinguishes among three analytical contexts:</w:t>
      </w:r>
    </w:p>
    <w:p w14:paraId="3D883E21" w14:textId="77777777" w:rsidR="008711CF" w:rsidRPr="007F13D6" w:rsidRDefault="008711CF" w:rsidP="00CE7AFC">
      <w:pPr>
        <w:pStyle w:val="ListParagraph"/>
        <w:numPr>
          <w:ilvl w:val="0"/>
          <w:numId w:val="29"/>
        </w:numPr>
        <w:spacing w:before="120" w:after="120" w:line="240" w:lineRule="auto"/>
        <w:contextualSpacing w:val="0"/>
        <w:rPr>
          <w:rFonts w:ascii="Arial" w:hAnsi="Arial" w:cs="Arial"/>
        </w:rPr>
      </w:pPr>
      <w:r w:rsidRPr="007F13D6">
        <w:rPr>
          <w:rFonts w:ascii="Arial" w:hAnsi="Arial" w:cs="Arial"/>
          <w:b/>
          <w:bCs/>
        </w:rPr>
        <w:t xml:space="preserve">Recreated Current Staffing Rules: </w:t>
      </w:r>
      <w:r w:rsidRPr="007F13D6">
        <w:rPr>
          <w:rFonts w:ascii="Arial" w:hAnsi="Arial" w:cs="Arial"/>
        </w:rPr>
        <w:t>the documented current rules, reported quantities, maintained comparison mappings, and available supplemental inputs used to recreate current staffing quantities and available modeled funding amounts. This serves as a comparison baseline rather than a complete estimate of Delaware's current funding system.</w:t>
      </w:r>
    </w:p>
    <w:p w14:paraId="2EC443E4" w14:textId="77777777" w:rsidR="008711CF" w:rsidRPr="007F13D6" w:rsidRDefault="008711CF" w:rsidP="00CE7AFC">
      <w:pPr>
        <w:pStyle w:val="ListParagraph"/>
        <w:numPr>
          <w:ilvl w:val="0"/>
          <w:numId w:val="29"/>
        </w:numPr>
        <w:spacing w:before="120" w:after="120" w:line="240" w:lineRule="auto"/>
        <w:contextualSpacing w:val="0"/>
        <w:rPr>
          <w:rFonts w:ascii="Arial" w:hAnsi="Arial" w:cs="Arial"/>
        </w:rPr>
      </w:pPr>
      <w:r w:rsidRPr="007F13D6">
        <w:rPr>
          <w:rFonts w:ascii="Arial" w:hAnsi="Arial" w:cs="Arial"/>
          <w:b/>
          <w:bCs/>
        </w:rPr>
        <w:t xml:space="preserve">IV&amp;V Proposed Model: </w:t>
      </w:r>
      <w:r w:rsidRPr="007F13D6">
        <w:rPr>
          <w:rFonts w:ascii="Arial" w:hAnsi="Arial" w:cs="Arial"/>
        </w:rPr>
        <w:t>the proposed Base, Central Office, Opportunity, and Operational Funding rules independently implemented by the IV&amp;V using common inputs and explicit interpretation rules where needed.</w:t>
      </w:r>
    </w:p>
    <w:p w14:paraId="3A6D5BBE" w14:textId="77777777" w:rsidR="008711CF" w:rsidRPr="007F13D6" w:rsidRDefault="008711CF" w:rsidP="00CE7AFC">
      <w:pPr>
        <w:pStyle w:val="ListParagraph"/>
        <w:numPr>
          <w:ilvl w:val="0"/>
          <w:numId w:val="29"/>
        </w:numPr>
        <w:spacing w:before="120" w:after="120" w:line="240" w:lineRule="auto"/>
        <w:contextualSpacing w:val="0"/>
        <w:rPr>
          <w:rFonts w:ascii="Arial" w:hAnsi="Arial" w:cs="Arial"/>
        </w:rPr>
      </w:pPr>
      <w:r w:rsidRPr="007F13D6">
        <w:rPr>
          <w:rFonts w:ascii="Arial" w:hAnsi="Arial" w:cs="Arial"/>
          <w:b/>
          <w:bCs/>
        </w:rPr>
        <w:t>PEFC Workbook as Presented:</w:t>
      </w:r>
      <w:r w:rsidRPr="007F13D6">
        <w:rPr>
          <w:rFonts w:ascii="Arial" w:hAnsi="Arial" w:cs="Arial"/>
        </w:rPr>
        <w:t xml:space="preserve"> the supplied workbook treated as a separate reference implementation of the proposed model, including its inputs, calculation units, formulas or precomputed values, and scope treatment.</w:t>
      </w:r>
    </w:p>
    <w:p w14:paraId="106560AB" w14:textId="77777777" w:rsidR="008711CF" w:rsidRPr="007F13D6" w:rsidRDefault="008711CF" w:rsidP="00CE7AFC">
      <w:pPr>
        <w:spacing w:before="120" w:after="120" w:line="240" w:lineRule="auto"/>
        <w:rPr>
          <w:rFonts w:ascii="Arial" w:hAnsi="Arial" w:cs="Arial"/>
        </w:rPr>
      </w:pPr>
      <w:r w:rsidRPr="007F13D6">
        <w:rPr>
          <w:rFonts w:ascii="Arial" w:hAnsi="Arial" w:cs="Arial"/>
        </w:rPr>
        <w:t>Evidence status is reported separately from analytical context. A rule may be supported by current statute, documented as a PEFC recommendation requiring governing action, reproduced from the workbook, or remain unresolved where available sources conflict or are incomplete. Reproducing a proposed or workbook treatment does not imply that it has been enacted, funded, approved, or independently established as current policy.</w:t>
      </w:r>
    </w:p>
    <w:p w14:paraId="1C3A2F07" w14:textId="77777777" w:rsidR="008711CF" w:rsidRPr="007F13D6" w:rsidRDefault="008711CF" w:rsidP="00CE7AFC">
      <w:pPr>
        <w:spacing w:before="120" w:after="120" w:line="240" w:lineRule="auto"/>
        <w:rPr>
          <w:rFonts w:ascii="Arial" w:hAnsi="Arial" w:cs="Arial"/>
        </w:rPr>
      </w:pPr>
      <w:r w:rsidRPr="007F13D6">
        <w:rPr>
          <w:rFonts w:ascii="Arial" w:hAnsi="Arial" w:cs="Arial"/>
        </w:rPr>
        <w:t>In the staffing comparison, Confirmed has a narrower analytical meaning: the comparison mapping, quantity, and common rate are established for the IV&amp;V analysis. It does not mean that every underlying policy or implementation question has been resolved.</w:t>
      </w:r>
    </w:p>
    <w:p w14:paraId="378D5237" w14:textId="7CA521EF" w:rsidR="0058499E" w:rsidRPr="007F13D6" w:rsidRDefault="008711CF" w:rsidP="00CE7AFC">
      <w:pPr>
        <w:spacing w:before="120" w:after="120" w:line="240" w:lineRule="auto"/>
        <w:rPr>
          <w:rFonts w:ascii="Arial" w:hAnsi="Arial" w:cs="Arial"/>
        </w:rPr>
      </w:pPr>
      <w:r w:rsidRPr="007F13D6">
        <w:rPr>
          <w:rFonts w:ascii="Arial" w:hAnsi="Arial" w:cs="Arial"/>
        </w:rPr>
        <w:t>These distinctions are maintained in the Delaware School Funding Formula Technical Reference and operationalized in the companion HFM Calculator described in Section 7.2</w:t>
      </w:r>
      <w:r w:rsidR="0058499E" w:rsidRPr="007F13D6">
        <w:rPr>
          <w:rFonts w:ascii="Arial" w:hAnsi="Arial" w:cs="Arial"/>
        </w:rPr>
        <w:t>.</w:t>
      </w:r>
    </w:p>
    <w:p w14:paraId="1FD67180" w14:textId="77777777" w:rsidR="00DD20EE" w:rsidRPr="007F13D6" w:rsidRDefault="00DD20EE" w:rsidP="00CE7AFC">
      <w:pPr>
        <w:pStyle w:val="Heading2"/>
        <w:spacing w:before="120" w:after="120" w:line="240" w:lineRule="auto"/>
        <w:rPr>
          <w:rFonts w:ascii="Arial" w:hAnsi="Arial" w:cs="Arial"/>
        </w:rPr>
      </w:pPr>
      <w:bookmarkStart w:id="7" w:name="_Toc237512542"/>
      <w:r w:rsidRPr="007F13D6">
        <w:rPr>
          <w:rFonts w:ascii="Arial" w:hAnsi="Arial" w:cs="Arial"/>
        </w:rPr>
        <w:t>1.2 Division I teaching units</w:t>
      </w:r>
      <w:bookmarkEnd w:id="7"/>
    </w:p>
    <w:p w14:paraId="2AE46E3B" w14:textId="3467AFA5" w:rsidR="006653DF" w:rsidRPr="007F13D6" w:rsidRDefault="004E1485" w:rsidP="00CE7AFC">
      <w:pPr>
        <w:pStyle w:val="BodyText"/>
        <w:spacing w:before="120" w:line="240" w:lineRule="auto"/>
        <w:rPr>
          <w:rFonts w:ascii="Arial" w:hAnsi="Arial" w:cs="Arial"/>
        </w:rPr>
      </w:pPr>
      <w:r w:rsidRPr="007F13D6">
        <w:rPr>
          <w:rFonts w:ascii="Arial" w:hAnsi="Arial" w:cs="Arial"/>
        </w:rPr>
        <w:t>The most clearly established portion of the funding model is the calculation of Division I teaching units. The Technical Reference identifies five continuous student-to-position ratios that apply to districts and charter schools</w:t>
      </w:r>
      <w:r w:rsidR="00875945" w:rsidRPr="007F13D6">
        <w:rPr>
          <w:rFonts w:ascii="Arial" w:hAnsi="Arial" w:cs="Arial"/>
        </w:rPr>
        <w:t>.</w:t>
      </w:r>
    </w:p>
    <w:tbl>
      <w:tblPr>
        <w:tblW w:w="9648" w:type="dxa"/>
        <w:jc w:val="center"/>
        <w:tblLayout w:type="fixed"/>
        <w:tblLook w:val="04A0" w:firstRow="1" w:lastRow="0" w:firstColumn="1" w:lastColumn="0" w:noHBand="0" w:noVBand="1"/>
      </w:tblPr>
      <w:tblGrid>
        <w:gridCol w:w="4226"/>
        <w:gridCol w:w="5422"/>
      </w:tblGrid>
      <w:tr w:rsidR="00E500AD" w:rsidRPr="007F13D6" w14:paraId="7D3046D9" w14:textId="77777777" w:rsidTr="00633F41">
        <w:trPr>
          <w:cantSplit/>
          <w:tblHeader/>
          <w:jc w:val="center"/>
        </w:trPr>
        <w:tc>
          <w:tcPr>
            <w:tcW w:w="4226" w:type="dxa"/>
            <w:tcBorders>
              <w:bottom w:val="single" w:sz="8" w:space="0" w:color="FFFFFF"/>
            </w:tcBorders>
            <w:shd w:val="clear" w:color="auto" w:fill="1F4E78"/>
            <w:tcMar>
              <w:top w:w="70" w:type="dxa"/>
              <w:left w:w="80" w:type="dxa"/>
              <w:bottom w:w="70" w:type="dxa"/>
              <w:right w:w="80" w:type="dxa"/>
            </w:tcMar>
            <w:vAlign w:val="center"/>
          </w:tcPr>
          <w:p w14:paraId="5303E6F4"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b/>
                <w:color w:val="FFFFFF"/>
                <w:sz w:val="17"/>
                <w:szCs w:val="17"/>
              </w:rPr>
              <w:t>Student category</w:t>
            </w:r>
          </w:p>
        </w:tc>
        <w:tc>
          <w:tcPr>
            <w:tcW w:w="5422" w:type="dxa"/>
            <w:tcBorders>
              <w:bottom w:val="single" w:sz="8" w:space="0" w:color="FFFFFF"/>
            </w:tcBorders>
            <w:shd w:val="clear" w:color="auto" w:fill="1F4E78"/>
            <w:tcMar>
              <w:top w:w="70" w:type="dxa"/>
              <w:left w:w="80" w:type="dxa"/>
              <w:bottom w:w="70" w:type="dxa"/>
              <w:right w:w="80" w:type="dxa"/>
            </w:tcMar>
            <w:vAlign w:val="center"/>
          </w:tcPr>
          <w:p w14:paraId="57C00943"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b/>
                <w:color w:val="FFFFFF"/>
                <w:sz w:val="17"/>
                <w:szCs w:val="17"/>
              </w:rPr>
              <w:t>Established ratio</w:t>
            </w:r>
          </w:p>
        </w:tc>
      </w:tr>
      <w:tr w:rsidR="00E500AD" w:rsidRPr="007F13D6" w14:paraId="1B45C98A" w14:textId="77777777" w:rsidTr="00633F41">
        <w:trPr>
          <w:cantSplit/>
          <w:jc w:val="center"/>
        </w:trPr>
        <w:tc>
          <w:tcPr>
            <w:tcW w:w="4226" w:type="dxa"/>
            <w:tcBorders>
              <w:bottom w:val="single" w:sz="4" w:space="0" w:color="B7B7B7"/>
            </w:tcBorders>
            <w:tcMar>
              <w:top w:w="70" w:type="dxa"/>
              <w:left w:w="80" w:type="dxa"/>
              <w:bottom w:w="70" w:type="dxa"/>
              <w:right w:w="80" w:type="dxa"/>
            </w:tcMar>
            <w:vAlign w:val="center"/>
          </w:tcPr>
          <w:p w14:paraId="401AE82C"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color w:val="000000"/>
                <w:sz w:val="17"/>
                <w:szCs w:val="17"/>
              </w:rPr>
              <w:t>K–3 regular education</w:t>
            </w:r>
          </w:p>
        </w:tc>
        <w:tc>
          <w:tcPr>
            <w:tcW w:w="5422" w:type="dxa"/>
            <w:tcBorders>
              <w:bottom w:val="single" w:sz="4" w:space="0" w:color="B7B7B7"/>
            </w:tcBorders>
            <w:tcMar>
              <w:top w:w="70" w:type="dxa"/>
              <w:left w:w="80" w:type="dxa"/>
              <w:bottom w:w="70" w:type="dxa"/>
              <w:right w:w="80" w:type="dxa"/>
            </w:tcMar>
            <w:vAlign w:val="center"/>
          </w:tcPr>
          <w:p w14:paraId="6349A4D7"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color w:val="000000"/>
                <w:sz w:val="17"/>
                <w:szCs w:val="17"/>
              </w:rPr>
              <w:t>1 position per 16.2 students</w:t>
            </w:r>
          </w:p>
        </w:tc>
      </w:tr>
      <w:tr w:rsidR="00E500AD" w:rsidRPr="007F13D6" w14:paraId="053D59A5" w14:textId="77777777" w:rsidTr="00633F41">
        <w:trPr>
          <w:cantSplit/>
          <w:jc w:val="center"/>
        </w:trPr>
        <w:tc>
          <w:tcPr>
            <w:tcW w:w="4226" w:type="dxa"/>
            <w:tcBorders>
              <w:bottom w:val="single" w:sz="4" w:space="0" w:color="B7B7B7"/>
            </w:tcBorders>
            <w:shd w:val="clear" w:color="auto" w:fill="EAF3F8"/>
            <w:tcMar>
              <w:top w:w="70" w:type="dxa"/>
              <w:left w:w="80" w:type="dxa"/>
              <w:bottom w:w="70" w:type="dxa"/>
              <w:right w:w="80" w:type="dxa"/>
            </w:tcMar>
            <w:vAlign w:val="center"/>
          </w:tcPr>
          <w:p w14:paraId="5F516928"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color w:val="000000"/>
                <w:sz w:val="17"/>
                <w:szCs w:val="17"/>
              </w:rPr>
              <w:t>Grades 4–12 regular education</w:t>
            </w:r>
          </w:p>
        </w:tc>
        <w:tc>
          <w:tcPr>
            <w:tcW w:w="5422" w:type="dxa"/>
            <w:tcBorders>
              <w:bottom w:val="single" w:sz="4" w:space="0" w:color="B7B7B7"/>
            </w:tcBorders>
            <w:shd w:val="clear" w:color="auto" w:fill="EAF3F8"/>
            <w:tcMar>
              <w:top w:w="70" w:type="dxa"/>
              <w:left w:w="80" w:type="dxa"/>
              <w:bottom w:w="70" w:type="dxa"/>
              <w:right w:w="80" w:type="dxa"/>
            </w:tcMar>
            <w:vAlign w:val="center"/>
          </w:tcPr>
          <w:p w14:paraId="513BFBF2"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color w:val="000000"/>
                <w:sz w:val="17"/>
                <w:szCs w:val="17"/>
              </w:rPr>
              <w:t>1 position per 20 students</w:t>
            </w:r>
          </w:p>
        </w:tc>
      </w:tr>
      <w:tr w:rsidR="00E500AD" w:rsidRPr="007F13D6" w14:paraId="5AAF663F" w14:textId="77777777" w:rsidTr="00633F41">
        <w:trPr>
          <w:cantSplit/>
          <w:jc w:val="center"/>
        </w:trPr>
        <w:tc>
          <w:tcPr>
            <w:tcW w:w="4226" w:type="dxa"/>
            <w:tcBorders>
              <w:bottom w:val="single" w:sz="4" w:space="0" w:color="B7B7B7"/>
            </w:tcBorders>
            <w:tcMar>
              <w:top w:w="70" w:type="dxa"/>
              <w:left w:w="80" w:type="dxa"/>
              <w:bottom w:w="70" w:type="dxa"/>
              <w:right w:w="80" w:type="dxa"/>
            </w:tcMar>
            <w:vAlign w:val="center"/>
          </w:tcPr>
          <w:p w14:paraId="1DA4C38B"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color w:val="000000"/>
                <w:sz w:val="17"/>
                <w:szCs w:val="17"/>
              </w:rPr>
              <w:t xml:space="preserve">Basic special education, </w:t>
            </w:r>
            <w:proofErr w:type="gramStart"/>
            <w:r w:rsidRPr="007F13D6">
              <w:rPr>
                <w:rFonts w:ascii="Arial" w:hAnsi="Arial" w:cs="Arial"/>
                <w:color w:val="000000"/>
                <w:sz w:val="17"/>
                <w:szCs w:val="17"/>
              </w:rPr>
              <w:t>Pre-K</w:t>
            </w:r>
            <w:proofErr w:type="gramEnd"/>
            <w:r w:rsidRPr="007F13D6">
              <w:rPr>
                <w:rFonts w:ascii="Arial" w:hAnsi="Arial" w:cs="Arial"/>
                <w:color w:val="000000"/>
                <w:sz w:val="17"/>
                <w:szCs w:val="17"/>
              </w:rPr>
              <w:t>–12</w:t>
            </w:r>
          </w:p>
        </w:tc>
        <w:tc>
          <w:tcPr>
            <w:tcW w:w="5422" w:type="dxa"/>
            <w:tcBorders>
              <w:bottom w:val="single" w:sz="4" w:space="0" w:color="B7B7B7"/>
            </w:tcBorders>
            <w:tcMar>
              <w:top w:w="70" w:type="dxa"/>
              <w:left w:w="80" w:type="dxa"/>
              <w:bottom w:w="70" w:type="dxa"/>
              <w:right w:w="80" w:type="dxa"/>
            </w:tcMar>
            <w:vAlign w:val="center"/>
          </w:tcPr>
          <w:p w14:paraId="54EE729A"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color w:val="000000"/>
                <w:sz w:val="17"/>
                <w:szCs w:val="17"/>
              </w:rPr>
              <w:t>1 position per 8.4 students</w:t>
            </w:r>
          </w:p>
        </w:tc>
      </w:tr>
      <w:tr w:rsidR="00E500AD" w:rsidRPr="007F13D6" w14:paraId="5B6271A9" w14:textId="77777777" w:rsidTr="00633F41">
        <w:trPr>
          <w:cantSplit/>
          <w:jc w:val="center"/>
        </w:trPr>
        <w:tc>
          <w:tcPr>
            <w:tcW w:w="4226" w:type="dxa"/>
            <w:tcBorders>
              <w:bottom w:val="single" w:sz="4" w:space="0" w:color="B7B7B7"/>
            </w:tcBorders>
            <w:shd w:val="clear" w:color="auto" w:fill="EAF3F8"/>
            <w:tcMar>
              <w:top w:w="70" w:type="dxa"/>
              <w:left w:w="80" w:type="dxa"/>
              <w:bottom w:w="70" w:type="dxa"/>
              <w:right w:w="80" w:type="dxa"/>
            </w:tcMar>
            <w:vAlign w:val="center"/>
          </w:tcPr>
          <w:p w14:paraId="15F252BC"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color w:val="000000"/>
                <w:sz w:val="17"/>
                <w:szCs w:val="17"/>
              </w:rPr>
              <w:t xml:space="preserve">Intensive special education, </w:t>
            </w:r>
            <w:proofErr w:type="gramStart"/>
            <w:r w:rsidRPr="007F13D6">
              <w:rPr>
                <w:rFonts w:ascii="Arial" w:hAnsi="Arial" w:cs="Arial"/>
                <w:color w:val="000000"/>
                <w:sz w:val="17"/>
                <w:szCs w:val="17"/>
              </w:rPr>
              <w:t>Pre-K</w:t>
            </w:r>
            <w:proofErr w:type="gramEnd"/>
            <w:r w:rsidRPr="007F13D6">
              <w:rPr>
                <w:rFonts w:ascii="Arial" w:hAnsi="Arial" w:cs="Arial"/>
                <w:color w:val="000000"/>
                <w:sz w:val="17"/>
                <w:szCs w:val="17"/>
              </w:rPr>
              <w:t>–12</w:t>
            </w:r>
          </w:p>
        </w:tc>
        <w:tc>
          <w:tcPr>
            <w:tcW w:w="5422" w:type="dxa"/>
            <w:tcBorders>
              <w:bottom w:val="single" w:sz="4" w:space="0" w:color="B7B7B7"/>
            </w:tcBorders>
            <w:shd w:val="clear" w:color="auto" w:fill="EAF3F8"/>
            <w:tcMar>
              <w:top w:w="70" w:type="dxa"/>
              <w:left w:w="80" w:type="dxa"/>
              <w:bottom w:w="70" w:type="dxa"/>
              <w:right w:w="80" w:type="dxa"/>
            </w:tcMar>
            <w:vAlign w:val="center"/>
          </w:tcPr>
          <w:p w14:paraId="0C5CB397"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color w:val="000000"/>
                <w:sz w:val="17"/>
                <w:szCs w:val="17"/>
              </w:rPr>
              <w:t>1 position per 6 students</w:t>
            </w:r>
          </w:p>
        </w:tc>
      </w:tr>
      <w:tr w:rsidR="00E500AD" w:rsidRPr="007F13D6" w14:paraId="1057C8B0" w14:textId="77777777" w:rsidTr="00633F41">
        <w:trPr>
          <w:cantSplit/>
          <w:jc w:val="center"/>
        </w:trPr>
        <w:tc>
          <w:tcPr>
            <w:tcW w:w="4226" w:type="dxa"/>
            <w:tcBorders>
              <w:bottom w:val="single" w:sz="4" w:space="0" w:color="B7B7B7"/>
            </w:tcBorders>
            <w:tcMar>
              <w:top w:w="70" w:type="dxa"/>
              <w:left w:w="80" w:type="dxa"/>
              <w:bottom w:w="70" w:type="dxa"/>
              <w:right w:w="80" w:type="dxa"/>
            </w:tcMar>
            <w:vAlign w:val="center"/>
          </w:tcPr>
          <w:p w14:paraId="6AAF3702"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color w:val="000000"/>
                <w:sz w:val="17"/>
                <w:szCs w:val="17"/>
              </w:rPr>
              <w:t xml:space="preserve">Complex special education, </w:t>
            </w:r>
            <w:proofErr w:type="gramStart"/>
            <w:r w:rsidRPr="007F13D6">
              <w:rPr>
                <w:rFonts w:ascii="Arial" w:hAnsi="Arial" w:cs="Arial"/>
                <w:color w:val="000000"/>
                <w:sz w:val="17"/>
                <w:szCs w:val="17"/>
              </w:rPr>
              <w:t>Pre-K</w:t>
            </w:r>
            <w:proofErr w:type="gramEnd"/>
            <w:r w:rsidRPr="007F13D6">
              <w:rPr>
                <w:rFonts w:ascii="Arial" w:hAnsi="Arial" w:cs="Arial"/>
                <w:color w:val="000000"/>
                <w:sz w:val="17"/>
                <w:szCs w:val="17"/>
              </w:rPr>
              <w:t>–12</w:t>
            </w:r>
          </w:p>
        </w:tc>
        <w:tc>
          <w:tcPr>
            <w:tcW w:w="5422" w:type="dxa"/>
            <w:tcBorders>
              <w:bottom w:val="single" w:sz="4" w:space="0" w:color="B7B7B7"/>
            </w:tcBorders>
            <w:tcMar>
              <w:top w:w="70" w:type="dxa"/>
              <w:left w:w="80" w:type="dxa"/>
              <w:bottom w:w="70" w:type="dxa"/>
              <w:right w:w="80" w:type="dxa"/>
            </w:tcMar>
            <w:vAlign w:val="center"/>
          </w:tcPr>
          <w:p w14:paraId="5EDE4707" w14:textId="77777777" w:rsidR="00E500AD" w:rsidRPr="007F13D6" w:rsidRDefault="00E500AD" w:rsidP="009430B5">
            <w:pPr>
              <w:spacing w:after="0" w:line="240" w:lineRule="auto"/>
              <w:jc w:val="center"/>
              <w:rPr>
                <w:rFonts w:ascii="Arial" w:hAnsi="Arial" w:cs="Arial"/>
                <w:sz w:val="17"/>
                <w:szCs w:val="17"/>
              </w:rPr>
            </w:pPr>
            <w:r w:rsidRPr="007F13D6">
              <w:rPr>
                <w:rFonts w:ascii="Arial" w:hAnsi="Arial" w:cs="Arial"/>
                <w:color w:val="000000"/>
                <w:sz w:val="17"/>
                <w:szCs w:val="17"/>
              </w:rPr>
              <w:t>1 position per 2.6 students</w:t>
            </w:r>
          </w:p>
        </w:tc>
      </w:tr>
    </w:tbl>
    <w:p w14:paraId="7F5DCC25" w14:textId="6ADA4939" w:rsidR="00827306" w:rsidRPr="007F13D6" w:rsidRDefault="00827306" w:rsidP="00CE7AFC">
      <w:pPr>
        <w:spacing w:before="120" w:after="120" w:line="240" w:lineRule="auto"/>
        <w:rPr>
          <w:rFonts w:ascii="Arial" w:hAnsi="Arial" w:cs="Arial"/>
        </w:rPr>
      </w:pPr>
      <w:r w:rsidRPr="007F13D6">
        <w:rPr>
          <w:rFonts w:ascii="Arial" w:hAnsi="Arial" w:cs="Arial"/>
        </w:rPr>
        <w:t xml:space="preserve">These ratios are supported by the supplied text of 14 Del. C. §1703(a) and reconcile to the corresponding reference-workbook values. Basic special education includes eligible preschool and K–12 students because both populations use the same 8.4 divisor. The current statutory baseline does not contain a separate </w:t>
      </w:r>
      <w:r w:rsidR="00964F52" w:rsidRPr="007F13D6">
        <w:rPr>
          <w:rFonts w:ascii="Arial" w:hAnsi="Arial" w:cs="Arial"/>
        </w:rPr>
        <w:t>general education</w:t>
      </w:r>
      <w:r w:rsidRPr="007F13D6">
        <w:rPr>
          <w:rFonts w:ascii="Arial" w:hAnsi="Arial" w:cs="Arial"/>
        </w:rPr>
        <w:t xml:space="preserve"> </w:t>
      </w:r>
      <w:proofErr w:type="gramStart"/>
      <w:r w:rsidRPr="007F13D6">
        <w:rPr>
          <w:rFonts w:ascii="Arial" w:hAnsi="Arial" w:cs="Arial"/>
        </w:rPr>
        <w:t>Pre-K</w:t>
      </w:r>
      <w:proofErr w:type="gramEnd"/>
      <w:r w:rsidRPr="007F13D6">
        <w:rPr>
          <w:rFonts w:ascii="Arial" w:hAnsi="Arial" w:cs="Arial"/>
        </w:rPr>
        <w:t xml:space="preserve"> unit.</w:t>
      </w:r>
    </w:p>
    <w:p w14:paraId="4C6D985C" w14:textId="77777777" w:rsidR="00827306" w:rsidRPr="007F13D6" w:rsidRDefault="00827306" w:rsidP="00CE7AFC">
      <w:pPr>
        <w:spacing w:before="120" w:after="120" w:line="240" w:lineRule="auto"/>
        <w:rPr>
          <w:rFonts w:ascii="Arial" w:hAnsi="Arial" w:cs="Arial"/>
        </w:rPr>
      </w:pPr>
      <w:r w:rsidRPr="007F13D6">
        <w:rPr>
          <w:rFonts w:ascii="Arial" w:hAnsi="Arial" w:cs="Arial"/>
        </w:rPr>
        <w:lastRenderedPageBreak/>
        <w:t>For the IV&amp;V comparison, the recreated current model carries forward the Division I teaching quantities reported in the SY 2025–26 Unit Count data, while the proposed model independently recalculates the corresponding quantities from student counts using the ratios above. The resulting statewide teaching quantities are nearly identical, as shown later in Section 3.2.</w:t>
      </w:r>
    </w:p>
    <w:p w14:paraId="237AD113" w14:textId="77777777" w:rsidR="00827306" w:rsidRPr="007F13D6" w:rsidRDefault="00827306" w:rsidP="00CE7AFC">
      <w:pPr>
        <w:spacing w:before="120" w:after="120" w:line="240" w:lineRule="auto"/>
        <w:rPr>
          <w:rFonts w:ascii="Arial" w:hAnsi="Arial" w:cs="Arial"/>
        </w:rPr>
      </w:pPr>
      <w:r w:rsidRPr="007F13D6">
        <w:rPr>
          <w:rFonts w:ascii="Arial" w:hAnsi="Arial" w:cs="Arial"/>
        </w:rPr>
        <w:t>The statutory framework for occupational-vocational units and the associated regular-unit deduction is documented, but the implementation chain from school-level CTE participation and pupil-minute data to the reported values has not been independently reconstructed. The reported vocational positions and deductions are therefore retained unchanged in both models and combined as net vocational Division I positions for the comparison.</w:t>
      </w:r>
    </w:p>
    <w:p w14:paraId="66BC8B08" w14:textId="70772A14" w:rsidR="006653DF" w:rsidRPr="007F13D6" w:rsidRDefault="00875945" w:rsidP="00CE7AFC">
      <w:pPr>
        <w:spacing w:before="120" w:after="120" w:line="240" w:lineRule="auto"/>
        <w:rPr>
          <w:rFonts w:ascii="Arial" w:hAnsi="Arial" w:cs="Arial"/>
          <w:i/>
          <w:color w:val="666666"/>
          <w:sz w:val="16"/>
        </w:rPr>
      </w:pPr>
      <w:r w:rsidRPr="007F13D6">
        <w:rPr>
          <w:rFonts w:ascii="Arial" w:hAnsi="Arial" w:cs="Arial"/>
          <w:i/>
          <w:color w:val="666666"/>
          <w:sz w:val="16"/>
        </w:rPr>
        <w:t>Source: Delaware School Funding Formula Technical Reference.xlsx, Rule Register BR2-001–BR2-006.</w:t>
      </w:r>
    </w:p>
    <w:p w14:paraId="5AF03176" w14:textId="77777777" w:rsidR="00DD20EE" w:rsidRPr="007F13D6" w:rsidRDefault="00DD20EE" w:rsidP="00CE7AFC">
      <w:pPr>
        <w:pStyle w:val="Heading2"/>
        <w:spacing w:before="120" w:after="120" w:line="240" w:lineRule="auto"/>
        <w:rPr>
          <w:rFonts w:ascii="Arial" w:hAnsi="Arial" w:cs="Arial"/>
        </w:rPr>
      </w:pPr>
      <w:bookmarkStart w:id="8" w:name="_Toc237512543"/>
      <w:r w:rsidRPr="007F13D6">
        <w:rPr>
          <w:rFonts w:ascii="Arial" w:hAnsi="Arial" w:cs="Arial"/>
        </w:rPr>
        <w:t>1.3 School-level staffing positions</w:t>
      </w:r>
      <w:bookmarkEnd w:id="8"/>
    </w:p>
    <w:p w14:paraId="4CDA1AFC" w14:textId="77777777" w:rsidR="0013213E" w:rsidRPr="007F13D6" w:rsidRDefault="0013213E" w:rsidP="00CE7AFC">
      <w:pPr>
        <w:pStyle w:val="BodyText"/>
        <w:spacing w:before="120" w:line="240" w:lineRule="auto"/>
        <w:rPr>
          <w:rFonts w:ascii="Arial" w:hAnsi="Arial" w:cs="Arial"/>
        </w:rPr>
      </w:pPr>
      <w:r w:rsidRPr="007F13D6">
        <w:rPr>
          <w:rFonts w:ascii="Arial" w:hAnsi="Arial" w:cs="Arial"/>
        </w:rPr>
        <w:t>School-level staffing must be interpreted separately across the recreated current, IV&amp;V proposed, and PEFC workbook contexts.</w:t>
      </w:r>
    </w:p>
    <w:p w14:paraId="664A2171" w14:textId="77777777" w:rsidR="0013213E" w:rsidRPr="007F13D6" w:rsidRDefault="0013213E" w:rsidP="00CE7AFC">
      <w:pPr>
        <w:pStyle w:val="BodyText"/>
        <w:spacing w:before="120" w:line="240" w:lineRule="auto"/>
        <w:rPr>
          <w:rFonts w:ascii="Arial" w:hAnsi="Arial" w:cs="Arial"/>
        </w:rPr>
      </w:pPr>
      <w:r w:rsidRPr="007F13D6">
        <w:rPr>
          <w:rFonts w:ascii="Arial" w:hAnsi="Arial" w:cs="Arial"/>
        </w:rPr>
        <w:t>Under the recreated current model, a Principal is generated for an official coded school when reported Division I units reach 15. The IV&amp;V proposed model removes that threshold and provides one Principal for each included school calculation unit. The PEFC workbook stores Principal quantities as precomputed values rather than exposing the generating formula, and five district calculation units receive zero positions despite the literal one-per-unit interpretation. The calculation-unit universe and treatment of those units therefore remain important to the workbook comparison.</w:t>
      </w:r>
    </w:p>
    <w:p w14:paraId="44F1DB78" w14:textId="77777777" w:rsidR="0013213E" w:rsidRPr="007F13D6" w:rsidRDefault="0013213E" w:rsidP="00CE7AFC">
      <w:pPr>
        <w:pStyle w:val="BodyText"/>
        <w:spacing w:before="120" w:line="240" w:lineRule="auto"/>
        <w:rPr>
          <w:rFonts w:ascii="Arial" w:hAnsi="Arial" w:cs="Arial"/>
        </w:rPr>
      </w:pPr>
      <w:r w:rsidRPr="007F13D6">
        <w:rPr>
          <w:rFonts w:ascii="Arial" w:hAnsi="Arial" w:cs="Arial"/>
        </w:rPr>
        <w:t>The current Assistant Principal schedule provides 0.65 of a position at 25 units, one position at 30 units, 1.65 positions at 50 units, two positions at 55 units, and one additional position for every completed 20 units thereafter. The recreated current model applies those thresholds to reported Division I units. The IV&amp;V proposed model applies the same schedule to a broader school-level base consisting of Base Division I positions, Administrative Support Professionals, and Instructional Supports, while retaining the documented fractional awards. The PEFC workbook uses the same schedule but rounds the final result down, creating a difference in the treatment of the 0.65 and 1.65 awards.</w:t>
      </w:r>
    </w:p>
    <w:p w14:paraId="0D7D6842" w14:textId="77777777" w:rsidR="0013213E" w:rsidRPr="007F13D6" w:rsidRDefault="0013213E" w:rsidP="00CE7AFC">
      <w:pPr>
        <w:pStyle w:val="BodyText"/>
        <w:spacing w:before="120" w:line="240" w:lineRule="auto"/>
        <w:rPr>
          <w:rFonts w:ascii="Arial" w:hAnsi="Arial" w:cs="Arial"/>
        </w:rPr>
      </w:pPr>
      <w:r w:rsidRPr="007F13D6">
        <w:rPr>
          <w:rFonts w:ascii="Arial" w:hAnsi="Arial" w:cs="Arial"/>
        </w:rPr>
        <w:t>The current Secretary comparison provides one position per 10 Division I units through 100 and one additional position per completed 12 units thereafter. The IV&amp;V proposed model applies the same tiered schedule to a broader base consisting of Base Division I positions, Principals, and Instructional Supports to calculate Administrative Support Professionals. The Secretary-to-Administrative Support Professionals mapping is confirmed for this functional comparison, but the categories are not treated as identical positions. The PEFC workbook stores Administrative Support Professional quantities as precomputed values, so its original generating logic cannot be independently inspected.</w:t>
      </w:r>
    </w:p>
    <w:p w14:paraId="144DD6EB" w14:textId="1F156167" w:rsidR="006653DF" w:rsidRPr="007F13D6" w:rsidRDefault="0013213E" w:rsidP="00CE7AFC">
      <w:pPr>
        <w:pStyle w:val="BodyText"/>
        <w:spacing w:before="120" w:line="240" w:lineRule="auto"/>
        <w:rPr>
          <w:rFonts w:ascii="Arial" w:hAnsi="Arial" w:cs="Arial"/>
        </w:rPr>
      </w:pPr>
      <w:r w:rsidRPr="007F13D6">
        <w:rPr>
          <w:rFonts w:ascii="Arial" w:hAnsi="Arial" w:cs="Arial"/>
        </w:rPr>
        <w:t>Instructional Supports are calculated in the IV&amp;V proposed model as 20% of Base Division I positions. The recreated current comparison instead combines several separately funded support functions through a maintained functional crosswalk. The mapping supports a common-rate comparison but should not be interpreted as a one-to-one match of positions or services. The PEFC workbook also uses a 20% factor, although its building-level calculation base differs for some multi-building charters, as discussed in Section 5.2</w:t>
      </w:r>
      <w:r w:rsidR="00875945" w:rsidRPr="007F13D6">
        <w:rPr>
          <w:rFonts w:ascii="Arial" w:hAnsi="Arial" w:cs="Arial"/>
        </w:rPr>
        <w:t>.</w:t>
      </w:r>
    </w:p>
    <w:p w14:paraId="093AB49D" w14:textId="77777777" w:rsidR="006653DF" w:rsidRPr="007F13D6" w:rsidRDefault="00875945" w:rsidP="00CE7AFC">
      <w:pPr>
        <w:spacing w:before="120" w:after="120" w:line="240" w:lineRule="auto"/>
        <w:rPr>
          <w:rFonts w:ascii="Arial" w:hAnsi="Arial" w:cs="Arial"/>
          <w:i/>
          <w:color w:val="666666"/>
          <w:sz w:val="16"/>
        </w:rPr>
      </w:pPr>
      <w:r w:rsidRPr="007F13D6">
        <w:rPr>
          <w:rFonts w:ascii="Arial" w:hAnsi="Arial" w:cs="Arial"/>
          <w:i/>
          <w:color w:val="666666"/>
          <w:sz w:val="16"/>
        </w:rPr>
        <w:t>Source: Delaware School Funding Formula Technical Reference.xlsx, Rule Register BR2-007–BR2-010.</w:t>
      </w:r>
    </w:p>
    <w:p w14:paraId="523F381E" w14:textId="77777777" w:rsidR="00DD20EE" w:rsidRPr="007F13D6" w:rsidRDefault="00DD20EE" w:rsidP="00CE7AFC">
      <w:pPr>
        <w:pStyle w:val="Heading2"/>
        <w:spacing w:before="120" w:after="120" w:line="240" w:lineRule="auto"/>
        <w:rPr>
          <w:rFonts w:ascii="Arial" w:hAnsi="Arial" w:cs="Arial"/>
        </w:rPr>
      </w:pPr>
      <w:bookmarkStart w:id="9" w:name="_Toc237512544"/>
      <w:r w:rsidRPr="007F13D6">
        <w:rPr>
          <w:rFonts w:ascii="Arial" w:hAnsi="Arial" w:cs="Arial"/>
        </w:rPr>
        <w:t>1.4 LEA and Central Office positions</w:t>
      </w:r>
      <w:bookmarkEnd w:id="9"/>
    </w:p>
    <w:p w14:paraId="4679C50D" w14:textId="77777777" w:rsidR="00B576DF" w:rsidRPr="007F13D6" w:rsidRDefault="00B576DF" w:rsidP="00CE7AFC">
      <w:pPr>
        <w:pStyle w:val="BodyText"/>
        <w:spacing w:before="120" w:line="240" w:lineRule="auto"/>
        <w:rPr>
          <w:rFonts w:ascii="Arial" w:hAnsi="Arial" w:cs="Arial"/>
        </w:rPr>
      </w:pPr>
      <w:r w:rsidRPr="007F13D6">
        <w:rPr>
          <w:rFonts w:ascii="Arial" w:hAnsi="Arial" w:cs="Arial"/>
        </w:rPr>
        <w:t>LEA and Central Office positions differ materially across the recreated current, IV&amp;V proposed, and PEFC workbook contexts.</w:t>
      </w:r>
    </w:p>
    <w:p w14:paraId="4889698D" w14:textId="77777777" w:rsidR="00B576DF" w:rsidRPr="007F13D6" w:rsidRDefault="00B576DF" w:rsidP="00CE7AFC">
      <w:pPr>
        <w:pStyle w:val="BodyText"/>
        <w:spacing w:before="120" w:line="240" w:lineRule="auto"/>
        <w:rPr>
          <w:rFonts w:ascii="Arial" w:hAnsi="Arial" w:cs="Arial"/>
        </w:rPr>
      </w:pPr>
      <w:r w:rsidRPr="007F13D6">
        <w:rPr>
          <w:rFonts w:ascii="Arial" w:hAnsi="Arial" w:cs="Arial"/>
        </w:rPr>
        <w:t>The recreated current model provides one Superintendent per district and excludes charter schools. The IV&amp;V proposed model provides one Superintendent for every included district or charter LEA, producing 43 positions. Administrative Assistants are modeled as one per included LEA under both the recreated current and IV&amp;V proposed models. These treatments are confirmed for the staffing comparison, although underlying authority or implementation questions documented in the Technical Reference remain separate from that analytical status.</w:t>
      </w:r>
    </w:p>
    <w:p w14:paraId="5AA31A4A" w14:textId="3B3B8D9E" w:rsidR="00B576DF" w:rsidRPr="007F13D6" w:rsidRDefault="00B576DF" w:rsidP="00CE7AFC">
      <w:pPr>
        <w:pStyle w:val="BodyText"/>
        <w:spacing w:before="120" w:line="240" w:lineRule="auto"/>
        <w:rPr>
          <w:rFonts w:ascii="Arial" w:hAnsi="Arial" w:cs="Arial"/>
        </w:rPr>
      </w:pPr>
      <w:r w:rsidRPr="007F13D6">
        <w:rPr>
          <w:rFonts w:ascii="Arial" w:hAnsi="Arial" w:cs="Arial"/>
        </w:rPr>
        <w:lastRenderedPageBreak/>
        <w:t xml:space="preserve">The current Buildings and Grounds Supervisor rule provides one position when a district reaches 95 custodial units. The proposed model instead provides one position per included LEA. Because the custodial-unit data needed to apply the current threshold are unavailable, a comparable current statewide amount cannot yet be </w:t>
      </w:r>
      <w:r w:rsidR="004A6DC1" w:rsidRPr="007F13D6">
        <w:rPr>
          <w:rFonts w:ascii="Arial" w:hAnsi="Arial" w:cs="Arial"/>
        </w:rPr>
        <w:t>estimated,</w:t>
      </w:r>
      <w:r w:rsidRPr="007F13D6">
        <w:rPr>
          <w:rFonts w:ascii="Arial" w:hAnsi="Arial" w:cs="Arial"/>
        </w:rPr>
        <w:t xml:space="preserve"> and Buildings and Grounds Supervisor remains outside the comparable-amount staffing subtotal.</w:t>
      </w:r>
    </w:p>
    <w:p w14:paraId="3E348171" w14:textId="77777777" w:rsidR="00B576DF" w:rsidRPr="007F13D6" w:rsidRDefault="00B576DF" w:rsidP="00CE7AFC">
      <w:pPr>
        <w:pStyle w:val="BodyText"/>
        <w:spacing w:before="120" w:line="240" w:lineRule="auto"/>
        <w:rPr>
          <w:rFonts w:ascii="Arial" w:hAnsi="Arial" w:cs="Arial"/>
        </w:rPr>
      </w:pPr>
      <w:r w:rsidRPr="007F13D6">
        <w:rPr>
          <w:rFonts w:ascii="Arial" w:hAnsi="Arial" w:cs="Arial"/>
        </w:rPr>
        <w:t>The current Food Services Supervisor rule provides one position for a district with at least 500 Division I units or, below that threshold, at least four lunch-program buildings. The IV&amp;V independently recreates nine current positions from the 500-unit threshold. School Finance indicated that all 19 districts currently receive at least one unit, but the additional LEA-level awards and supporting lunch-program building counts have not yet been confirmed. The proposed model provides one position per LEA plus one additional position for each completed 500 Base Division I positions beyond the first 500, producing 46 positions. The current-versus-proposed comparison therefore remains provisional.</w:t>
      </w:r>
    </w:p>
    <w:p w14:paraId="7F56AFDA" w14:textId="77777777" w:rsidR="00B576DF" w:rsidRPr="007F13D6" w:rsidRDefault="00B576DF" w:rsidP="00CE7AFC">
      <w:pPr>
        <w:pStyle w:val="BodyText"/>
        <w:spacing w:before="120" w:line="240" w:lineRule="auto"/>
        <w:rPr>
          <w:rFonts w:ascii="Arial" w:hAnsi="Arial" w:cs="Arial"/>
        </w:rPr>
      </w:pPr>
      <w:r w:rsidRPr="007F13D6">
        <w:rPr>
          <w:rFonts w:ascii="Arial" w:hAnsi="Arial" w:cs="Arial"/>
        </w:rPr>
        <w:t>Assistant Superintendents, Directors, and 11-Month Supervisors illustrate the importance of the staffing base used in Central Office formulas. The recreated current model applies these rules to reported Division I units, while the IV&amp;V proposed model applies them to the broader Total Base position count. Assistant Superintendents are awarded for each completed 300 positions, capped at two; Directors use the applicable 200-position and additional 100-position thresholds; and 11-Month Supervisors are calculated by dividing the staffing base by 150. The broader proposed base increases modeled quantities in all three categories. The PEFC workbook differs from the IV&amp;V interpretation for Assistant Superintendents by allowing a proportional second position between the 300- and 600-position thresholds.</w:t>
      </w:r>
    </w:p>
    <w:p w14:paraId="6BF80B22" w14:textId="3BA53C4D" w:rsidR="006653DF" w:rsidRPr="007F13D6" w:rsidRDefault="00B576DF" w:rsidP="00CE7AFC">
      <w:pPr>
        <w:pStyle w:val="BodyText"/>
        <w:spacing w:before="120" w:line="240" w:lineRule="auto"/>
        <w:rPr>
          <w:rFonts w:ascii="Arial" w:hAnsi="Arial" w:cs="Arial"/>
        </w:rPr>
      </w:pPr>
      <w:r w:rsidRPr="007F13D6">
        <w:rPr>
          <w:rFonts w:ascii="Arial" w:hAnsi="Arial" w:cs="Arial"/>
        </w:rPr>
        <w:t>Transportation Supervisors are calculated from enrollment divided by 7,500 under both the recreated current and IV&amp;V proposed models, with fractional positions retained for the staffing comparison. Reading Cadre increases from one position per district under the recreated current model to one position per included LEA under the proposed model, expanding the modeled allocation from 19 to 43 positions. The Technical Reference separately identifies unresolved authority or appropriation questions for these treatments; those issues do not change their confirmed status within the staffing comparison</w:t>
      </w:r>
      <w:r w:rsidR="00875945" w:rsidRPr="007F13D6">
        <w:rPr>
          <w:rFonts w:ascii="Arial" w:hAnsi="Arial" w:cs="Arial"/>
        </w:rPr>
        <w:t>.</w:t>
      </w:r>
    </w:p>
    <w:p w14:paraId="25CFFB28" w14:textId="77777777" w:rsidR="006653DF" w:rsidRPr="007F13D6" w:rsidRDefault="00875945" w:rsidP="00CE7AFC">
      <w:pPr>
        <w:spacing w:before="120" w:after="120" w:line="240" w:lineRule="auto"/>
        <w:rPr>
          <w:rFonts w:ascii="Arial" w:hAnsi="Arial" w:cs="Arial"/>
          <w:i/>
          <w:color w:val="666666"/>
          <w:sz w:val="16"/>
        </w:rPr>
      </w:pPr>
      <w:r w:rsidRPr="007F13D6">
        <w:rPr>
          <w:rFonts w:ascii="Arial" w:hAnsi="Arial" w:cs="Arial"/>
          <w:i/>
          <w:color w:val="666666"/>
          <w:sz w:val="16"/>
        </w:rPr>
        <w:t>Source: Delaware School Funding Formula Technical Reference.xlsx, Rule Register BR2-011–BR2-018 and BR-CO-009.</w:t>
      </w:r>
    </w:p>
    <w:p w14:paraId="51F32B3B" w14:textId="77777777" w:rsidR="00DD20EE" w:rsidRPr="007F13D6" w:rsidRDefault="00DD20EE" w:rsidP="00CE7AFC">
      <w:pPr>
        <w:pStyle w:val="Heading2"/>
        <w:spacing w:before="120" w:after="120" w:line="240" w:lineRule="auto"/>
        <w:rPr>
          <w:rFonts w:ascii="Arial" w:hAnsi="Arial" w:cs="Arial"/>
        </w:rPr>
      </w:pPr>
      <w:bookmarkStart w:id="10" w:name="_Toc237512545"/>
      <w:r w:rsidRPr="007F13D6">
        <w:rPr>
          <w:rFonts w:ascii="Arial" w:hAnsi="Arial" w:cs="Arial"/>
        </w:rPr>
        <w:t>1.5 Opportunity and Operational Funding: proposed rules and missing current analogues</w:t>
      </w:r>
      <w:bookmarkEnd w:id="10"/>
    </w:p>
    <w:p w14:paraId="022DD01D" w14:textId="77777777" w:rsidR="00F710A9" w:rsidRPr="007F13D6" w:rsidRDefault="00F710A9" w:rsidP="00CE7AFC">
      <w:pPr>
        <w:pStyle w:val="BodyText"/>
        <w:spacing w:before="120" w:line="240" w:lineRule="auto"/>
        <w:rPr>
          <w:rFonts w:ascii="Arial" w:hAnsi="Arial" w:cs="Arial"/>
        </w:rPr>
      </w:pPr>
      <w:r w:rsidRPr="007F13D6">
        <w:rPr>
          <w:rFonts w:ascii="Arial" w:hAnsi="Arial" w:cs="Arial"/>
        </w:rPr>
        <w:t>Opportunity and Operational Funding are components of PEFC's proposed Hybrid Funding Model. They are presented separately because an authoritative mapping of existing current funding streams to these proposed categories has not yet been established.</w:t>
      </w:r>
    </w:p>
    <w:p w14:paraId="3295AD05" w14:textId="77777777" w:rsidR="00F710A9" w:rsidRPr="007F13D6" w:rsidRDefault="00F710A9" w:rsidP="00CE7AFC">
      <w:pPr>
        <w:pStyle w:val="BodyText"/>
        <w:numPr>
          <w:ilvl w:val="0"/>
          <w:numId w:val="27"/>
        </w:numPr>
        <w:spacing w:before="120" w:line="240" w:lineRule="auto"/>
        <w:rPr>
          <w:rFonts w:ascii="Arial" w:hAnsi="Arial" w:cs="Arial"/>
        </w:rPr>
      </w:pPr>
      <w:r w:rsidRPr="007F13D6">
        <w:rPr>
          <w:rFonts w:ascii="Arial" w:hAnsi="Arial" w:cs="Arial"/>
          <w:b/>
          <w:bCs/>
        </w:rPr>
        <w:t>Opportunity Funding</w:t>
      </w:r>
      <w:r w:rsidRPr="007F13D6">
        <w:rPr>
          <w:rFonts w:ascii="Arial" w:hAnsi="Arial" w:cs="Arial"/>
        </w:rPr>
        <w:t xml:space="preserve"> distributes a fixed $163.0 million statewide pool using low-income enrollment weighted at 0.675 and active multilingual learner enrollment weighted at 0.470.</w:t>
      </w:r>
    </w:p>
    <w:p w14:paraId="331B7368" w14:textId="77777777" w:rsidR="00F710A9" w:rsidRPr="007F13D6" w:rsidRDefault="00F710A9" w:rsidP="00CE7AFC">
      <w:pPr>
        <w:pStyle w:val="BodyText"/>
        <w:numPr>
          <w:ilvl w:val="0"/>
          <w:numId w:val="27"/>
        </w:numPr>
        <w:spacing w:before="120" w:line="240" w:lineRule="auto"/>
        <w:rPr>
          <w:rFonts w:ascii="Arial" w:hAnsi="Arial" w:cs="Arial"/>
        </w:rPr>
      </w:pPr>
      <w:r w:rsidRPr="007F13D6">
        <w:rPr>
          <w:rFonts w:ascii="Arial" w:hAnsi="Arial" w:cs="Arial"/>
          <w:b/>
          <w:bCs/>
        </w:rPr>
        <w:t>Operational Funding</w:t>
      </w:r>
      <w:r w:rsidRPr="007F13D6">
        <w:rPr>
          <w:rFonts w:ascii="Arial" w:hAnsi="Arial" w:cs="Arial"/>
        </w:rPr>
        <w:t xml:space="preserve"> distributes a fixed $279.0268 million statewide pool using total enrollment weighted at 0.200; low-income enrollment at 0.675; active multilingual learner enrollment at 0.470; Basic special education at 0.480; Intensive special education at 0.670; Complex special education at 1.540; and vocational enrollment at 0.200.</w:t>
      </w:r>
    </w:p>
    <w:p w14:paraId="3F273E6A" w14:textId="77777777" w:rsidR="00F710A9" w:rsidRPr="007F13D6" w:rsidRDefault="00F710A9" w:rsidP="00CE7AFC">
      <w:pPr>
        <w:pStyle w:val="BodyText"/>
        <w:spacing w:before="120" w:line="240" w:lineRule="auto"/>
        <w:rPr>
          <w:rFonts w:ascii="Arial" w:hAnsi="Arial" w:cs="Arial"/>
        </w:rPr>
      </w:pPr>
      <w:r w:rsidRPr="007F13D6">
        <w:rPr>
          <w:rFonts w:ascii="Arial" w:hAnsi="Arial" w:cs="Arial"/>
        </w:rPr>
        <w:t xml:space="preserve">The IV&amp;V independently reproduces these formulas, weights, and fixed statewide pools as proposed-model calculations. The resulting Opportunity and Operational allocations can therefore be analyzed by LEA, sector, and formula component. Their treatment as fixed pools </w:t>
      </w:r>
      <w:proofErr w:type="gramStart"/>
      <w:r w:rsidRPr="007F13D6">
        <w:rPr>
          <w:rFonts w:ascii="Arial" w:hAnsi="Arial" w:cs="Arial"/>
        </w:rPr>
        <w:t>means</w:t>
      </w:r>
      <w:proofErr w:type="gramEnd"/>
      <w:r w:rsidRPr="007F13D6">
        <w:rPr>
          <w:rFonts w:ascii="Arial" w:hAnsi="Arial" w:cs="Arial"/>
        </w:rPr>
        <w:t xml:space="preserve"> that the per-weighted-unit rates are recalculated when the eligible weighted counts or reporting scope changes.</w:t>
      </w:r>
    </w:p>
    <w:p w14:paraId="2C7B22C2" w14:textId="1357CDAA" w:rsidR="0080028D" w:rsidRPr="007F13D6" w:rsidRDefault="00F710A9" w:rsidP="00CE7AFC">
      <w:pPr>
        <w:pStyle w:val="BodyText"/>
        <w:spacing w:before="120" w:line="240" w:lineRule="auto"/>
        <w:rPr>
          <w:rFonts w:ascii="Arial" w:hAnsi="Arial" w:cs="Arial"/>
        </w:rPr>
      </w:pPr>
      <w:r w:rsidRPr="007F13D6">
        <w:rPr>
          <w:rFonts w:ascii="Arial" w:hAnsi="Arial" w:cs="Arial"/>
        </w:rPr>
        <w:t>These proposed calculations should not be interpreted as current law, enacted funding authority, or entirely new spending. DOE, OMB, and CGO are still determining how existing funding streams should map into the proposed structure, and an authoritative current analogue or LEA-level crosswalk has not yet been established for the IV&amp;V. A net current-versus-proposed fiscal difference for Opportunity and Operational Funding is therefore not yet estimable</w:t>
      </w:r>
      <w:r w:rsidR="0065107A" w:rsidRPr="007F13D6">
        <w:rPr>
          <w:rFonts w:ascii="Arial" w:hAnsi="Arial" w:cs="Arial"/>
        </w:rPr>
        <w:t>.</w:t>
      </w:r>
    </w:p>
    <w:p w14:paraId="0AF12666" w14:textId="77777777" w:rsidR="0080028D" w:rsidRPr="007F13D6" w:rsidRDefault="0065107A" w:rsidP="00CE7AFC">
      <w:pPr>
        <w:spacing w:before="120" w:after="120" w:line="240" w:lineRule="auto"/>
        <w:rPr>
          <w:rFonts w:ascii="Arial" w:hAnsi="Arial" w:cs="Arial"/>
        </w:rPr>
      </w:pPr>
      <w:r w:rsidRPr="007F13D6">
        <w:rPr>
          <w:rFonts w:ascii="Arial" w:hAnsi="Arial" w:cs="Arial"/>
          <w:i/>
          <w:color w:val="666666"/>
          <w:sz w:val="16"/>
        </w:rPr>
        <w:t>Source: Delaware School Funding Formula Technical Reference.xlsx, Rule Register BR2-PEFC-001–BR2-PEFC-003.</w:t>
      </w:r>
    </w:p>
    <w:p w14:paraId="605ADA30" w14:textId="77777777" w:rsidR="00DD20EE" w:rsidRPr="007F13D6" w:rsidRDefault="00DD20EE" w:rsidP="00CE7AFC">
      <w:pPr>
        <w:pStyle w:val="Heading2"/>
        <w:spacing w:before="120" w:after="120" w:line="240" w:lineRule="auto"/>
        <w:rPr>
          <w:rFonts w:ascii="Arial" w:hAnsi="Arial" w:cs="Arial"/>
        </w:rPr>
      </w:pPr>
      <w:bookmarkStart w:id="11" w:name="_Toc237512546"/>
      <w:r w:rsidRPr="007F13D6">
        <w:rPr>
          <w:rFonts w:ascii="Arial" w:hAnsi="Arial" w:cs="Arial"/>
        </w:rPr>
        <w:lastRenderedPageBreak/>
        <w:t>1.6 Evidence-status summary</w:t>
      </w:r>
      <w:bookmarkEnd w:id="11"/>
    </w:p>
    <w:p w14:paraId="18715A0D" w14:textId="69753C79" w:rsidR="0080028D" w:rsidRPr="007F13D6" w:rsidRDefault="00270578" w:rsidP="00CE7AFC">
      <w:pPr>
        <w:pStyle w:val="BodyText"/>
        <w:spacing w:before="120" w:line="240" w:lineRule="auto"/>
        <w:rPr>
          <w:rFonts w:ascii="Arial" w:hAnsi="Arial" w:cs="Arial"/>
        </w:rPr>
      </w:pPr>
      <w:r w:rsidRPr="007F13D6">
        <w:rPr>
          <w:rFonts w:ascii="Arial" w:hAnsi="Arial" w:cs="Arial"/>
        </w:rPr>
        <w:t>The table below separates recreated current, IV&amp;V proposed, and PEFC workbook treatments. Status language distinguishes what is established for the IV&amp;V staffing comparison from remaining workbook, policy, or implementation questions. A category may therefore be confirmed for analytical comparison even when an underlying policy interpretation or workbook treatment remains open</w:t>
      </w:r>
      <w:r w:rsidR="0065107A" w:rsidRPr="007F13D6">
        <w:rPr>
          <w:rFonts w:ascii="Arial" w:hAnsi="Arial" w:cs="Arial"/>
        </w:rPr>
        <w:t>.</w:t>
      </w:r>
    </w:p>
    <w:tbl>
      <w:tblPr>
        <w:tblW w:w="9648" w:type="dxa"/>
        <w:jc w:val="center"/>
        <w:tblLayout w:type="fixed"/>
        <w:tblLook w:val="04A0" w:firstRow="1" w:lastRow="0" w:firstColumn="1" w:lastColumn="0" w:noHBand="0" w:noVBand="1"/>
      </w:tblPr>
      <w:tblGrid>
        <w:gridCol w:w="1500"/>
        <w:gridCol w:w="2250"/>
        <w:gridCol w:w="3400"/>
        <w:gridCol w:w="2498"/>
      </w:tblGrid>
      <w:tr w:rsidR="00E6142F" w:rsidRPr="007F13D6" w14:paraId="6DD82FCE" w14:textId="77777777" w:rsidTr="00633F41">
        <w:trPr>
          <w:cantSplit/>
          <w:tblHeader/>
          <w:jc w:val="center"/>
        </w:trPr>
        <w:tc>
          <w:tcPr>
            <w:tcW w:w="1500" w:type="dxa"/>
            <w:tcBorders>
              <w:bottom w:val="single" w:sz="8" w:space="0" w:color="FFFFFF"/>
            </w:tcBorders>
            <w:shd w:val="clear" w:color="auto" w:fill="1F4E78"/>
            <w:tcMar>
              <w:top w:w="70" w:type="dxa"/>
              <w:left w:w="80" w:type="dxa"/>
              <w:bottom w:w="70" w:type="dxa"/>
              <w:right w:w="80" w:type="dxa"/>
            </w:tcMar>
            <w:vAlign w:val="center"/>
          </w:tcPr>
          <w:p w14:paraId="4F986CCE" w14:textId="704AA05B" w:rsidR="00E6142F" w:rsidRPr="007F13D6" w:rsidRDefault="00E6142F" w:rsidP="009430B5">
            <w:pPr>
              <w:spacing w:after="0" w:line="240" w:lineRule="auto"/>
              <w:jc w:val="center"/>
              <w:rPr>
                <w:rFonts w:ascii="Arial" w:hAnsi="Arial" w:cs="Arial"/>
                <w:b/>
                <w:bCs/>
                <w:color w:val="FFFFFF" w:themeColor="background1"/>
                <w:sz w:val="17"/>
                <w:szCs w:val="17"/>
              </w:rPr>
            </w:pPr>
            <w:r w:rsidRPr="007F13D6">
              <w:rPr>
                <w:rFonts w:ascii="Arial" w:hAnsi="Arial" w:cs="Arial"/>
                <w:b/>
                <w:bCs/>
                <w:color w:val="FFFFFF" w:themeColor="background1"/>
                <w:sz w:val="17"/>
                <w:szCs w:val="17"/>
              </w:rPr>
              <w:t>Rule area</w:t>
            </w:r>
          </w:p>
        </w:tc>
        <w:tc>
          <w:tcPr>
            <w:tcW w:w="2250" w:type="dxa"/>
            <w:tcBorders>
              <w:bottom w:val="single" w:sz="8" w:space="0" w:color="FFFFFF"/>
            </w:tcBorders>
            <w:shd w:val="clear" w:color="auto" w:fill="1F4E78"/>
            <w:tcMar>
              <w:top w:w="70" w:type="dxa"/>
              <w:left w:w="80" w:type="dxa"/>
              <w:bottom w:w="70" w:type="dxa"/>
              <w:right w:w="80" w:type="dxa"/>
            </w:tcMar>
            <w:vAlign w:val="center"/>
          </w:tcPr>
          <w:p w14:paraId="2592EAA3" w14:textId="09A25F0B" w:rsidR="00E6142F" w:rsidRPr="007F13D6" w:rsidRDefault="00E6142F" w:rsidP="009430B5">
            <w:pPr>
              <w:spacing w:after="0" w:line="240" w:lineRule="auto"/>
              <w:jc w:val="center"/>
              <w:rPr>
                <w:rFonts w:ascii="Arial" w:hAnsi="Arial" w:cs="Arial"/>
                <w:b/>
                <w:bCs/>
                <w:color w:val="FFFFFF" w:themeColor="background1"/>
                <w:sz w:val="17"/>
                <w:szCs w:val="17"/>
              </w:rPr>
            </w:pPr>
            <w:r w:rsidRPr="007F13D6">
              <w:rPr>
                <w:rFonts w:ascii="Arial" w:hAnsi="Arial" w:cs="Arial"/>
                <w:b/>
                <w:bCs/>
                <w:color w:val="FFFFFF" w:themeColor="background1"/>
                <w:sz w:val="17"/>
                <w:szCs w:val="17"/>
              </w:rPr>
              <w:t>Recreated current</w:t>
            </w:r>
          </w:p>
        </w:tc>
        <w:tc>
          <w:tcPr>
            <w:tcW w:w="3400" w:type="dxa"/>
            <w:tcBorders>
              <w:bottom w:val="single" w:sz="8" w:space="0" w:color="FFFFFF"/>
            </w:tcBorders>
            <w:shd w:val="clear" w:color="auto" w:fill="1F4E78"/>
            <w:tcMar>
              <w:top w:w="70" w:type="dxa"/>
              <w:left w:w="80" w:type="dxa"/>
              <w:bottom w:w="70" w:type="dxa"/>
              <w:right w:w="80" w:type="dxa"/>
            </w:tcMar>
            <w:vAlign w:val="center"/>
          </w:tcPr>
          <w:p w14:paraId="104033DA" w14:textId="620E20EC" w:rsidR="00E6142F" w:rsidRPr="007F13D6" w:rsidRDefault="00E6142F" w:rsidP="009430B5">
            <w:pPr>
              <w:spacing w:after="0" w:line="240" w:lineRule="auto"/>
              <w:jc w:val="center"/>
              <w:rPr>
                <w:rFonts w:ascii="Arial" w:hAnsi="Arial" w:cs="Arial"/>
                <w:b/>
                <w:bCs/>
                <w:color w:val="FFFFFF" w:themeColor="background1"/>
                <w:sz w:val="17"/>
                <w:szCs w:val="17"/>
              </w:rPr>
            </w:pPr>
            <w:r w:rsidRPr="007F13D6">
              <w:rPr>
                <w:rFonts w:ascii="Arial" w:hAnsi="Arial" w:cs="Arial"/>
                <w:b/>
                <w:bCs/>
                <w:color w:val="FFFFFF" w:themeColor="background1"/>
                <w:sz w:val="17"/>
                <w:szCs w:val="17"/>
              </w:rPr>
              <w:t>IV&amp;V proposed / PEFC workbook</w:t>
            </w:r>
          </w:p>
        </w:tc>
        <w:tc>
          <w:tcPr>
            <w:tcW w:w="2498" w:type="dxa"/>
            <w:tcBorders>
              <w:bottom w:val="single" w:sz="8" w:space="0" w:color="FFFFFF"/>
            </w:tcBorders>
            <w:shd w:val="clear" w:color="auto" w:fill="1F4E78"/>
            <w:tcMar>
              <w:top w:w="70" w:type="dxa"/>
              <w:left w:w="80" w:type="dxa"/>
              <w:bottom w:w="70" w:type="dxa"/>
              <w:right w:w="80" w:type="dxa"/>
            </w:tcMar>
            <w:vAlign w:val="center"/>
          </w:tcPr>
          <w:p w14:paraId="0A11F45C" w14:textId="6EE3EFEF" w:rsidR="00E6142F" w:rsidRPr="007F13D6" w:rsidRDefault="00E6142F" w:rsidP="009430B5">
            <w:pPr>
              <w:spacing w:after="0" w:line="240" w:lineRule="auto"/>
              <w:jc w:val="center"/>
              <w:rPr>
                <w:rFonts w:ascii="Arial" w:hAnsi="Arial" w:cs="Arial"/>
                <w:b/>
                <w:bCs/>
                <w:color w:val="FFFFFF" w:themeColor="background1"/>
                <w:sz w:val="17"/>
                <w:szCs w:val="17"/>
              </w:rPr>
            </w:pPr>
            <w:r w:rsidRPr="007F13D6">
              <w:rPr>
                <w:rFonts w:ascii="Arial" w:hAnsi="Arial" w:cs="Arial"/>
                <w:b/>
                <w:bCs/>
                <w:color w:val="FFFFFF" w:themeColor="background1"/>
                <w:sz w:val="17"/>
                <w:szCs w:val="17"/>
              </w:rPr>
              <w:t>Principal limitation or status</w:t>
            </w:r>
          </w:p>
        </w:tc>
      </w:tr>
      <w:tr w:rsidR="00E6142F" w:rsidRPr="007F13D6" w14:paraId="53B9A485" w14:textId="77777777" w:rsidTr="00633F41">
        <w:trPr>
          <w:cantSplit/>
          <w:jc w:val="center"/>
        </w:trPr>
        <w:tc>
          <w:tcPr>
            <w:tcW w:w="1500" w:type="dxa"/>
            <w:tcBorders>
              <w:bottom w:val="single" w:sz="4" w:space="0" w:color="B7B7B7"/>
            </w:tcBorders>
            <w:shd w:val="clear" w:color="auto" w:fill="EAF3F8"/>
            <w:tcMar>
              <w:top w:w="70" w:type="dxa"/>
              <w:left w:w="80" w:type="dxa"/>
              <w:bottom w:w="70" w:type="dxa"/>
              <w:right w:w="80" w:type="dxa"/>
            </w:tcMar>
            <w:vAlign w:val="center"/>
          </w:tcPr>
          <w:p w14:paraId="19AEEF7E" w14:textId="61A45008"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Core Division I</w:t>
            </w:r>
          </w:p>
        </w:tc>
        <w:tc>
          <w:tcPr>
            <w:tcW w:w="2250" w:type="dxa"/>
            <w:tcBorders>
              <w:bottom w:val="single" w:sz="4" w:space="0" w:color="B7B7B7"/>
            </w:tcBorders>
            <w:shd w:val="clear" w:color="auto" w:fill="EAF3F8"/>
            <w:tcMar>
              <w:top w:w="70" w:type="dxa"/>
              <w:left w:w="80" w:type="dxa"/>
              <w:bottom w:w="70" w:type="dxa"/>
              <w:right w:w="80" w:type="dxa"/>
            </w:tcMar>
            <w:vAlign w:val="center"/>
          </w:tcPr>
          <w:p w14:paraId="67267FC6" w14:textId="332942FE"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Reported Unit Count teaching quantities</w:t>
            </w:r>
          </w:p>
        </w:tc>
        <w:tc>
          <w:tcPr>
            <w:tcW w:w="3400" w:type="dxa"/>
            <w:tcBorders>
              <w:bottom w:val="single" w:sz="4" w:space="0" w:color="B7B7B7"/>
            </w:tcBorders>
            <w:shd w:val="clear" w:color="auto" w:fill="EAF3F8"/>
            <w:tcMar>
              <w:top w:w="70" w:type="dxa"/>
              <w:left w:w="80" w:type="dxa"/>
              <w:bottom w:w="70" w:type="dxa"/>
              <w:right w:w="80" w:type="dxa"/>
            </w:tcMar>
            <w:vAlign w:val="center"/>
          </w:tcPr>
          <w:p w14:paraId="4B00C850" w14:textId="69068E3E"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IV&amp;V recalculates the same five teaching categories using established ratios</w:t>
            </w:r>
          </w:p>
        </w:tc>
        <w:tc>
          <w:tcPr>
            <w:tcW w:w="2498" w:type="dxa"/>
            <w:tcBorders>
              <w:bottom w:val="single" w:sz="4" w:space="0" w:color="B7B7B7"/>
            </w:tcBorders>
            <w:shd w:val="clear" w:color="auto" w:fill="EAF3F8"/>
            <w:tcMar>
              <w:top w:w="70" w:type="dxa"/>
              <w:left w:w="80" w:type="dxa"/>
              <w:bottom w:w="70" w:type="dxa"/>
              <w:right w:w="80" w:type="dxa"/>
            </w:tcMar>
            <w:vAlign w:val="center"/>
          </w:tcPr>
          <w:p w14:paraId="36E30546" w14:textId="7C3F7F05"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Confirmed for comparison; statewide quantities are nearly identical</w:t>
            </w:r>
          </w:p>
        </w:tc>
      </w:tr>
      <w:tr w:rsidR="00E6142F" w:rsidRPr="007F13D6" w14:paraId="116CFDED" w14:textId="77777777" w:rsidTr="00633F41">
        <w:trPr>
          <w:cantSplit/>
          <w:jc w:val="center"/>
        </w:trPr>
        <w:tc>
          <w:tcPr>
            <w:tcW w:w="1500" w:type="dxa"/>
            <w:tcBorders>
              <w:bottom w:val="single" w:sz="4" w:space="0" w:color="B7B7B7"/>
            </w:tcBorders>
            <w:tcMar>
              <w:top w:w="70" w:type="dxa"/>
              <w:left w:w="80" w:type="dxa"/>
              <w:bottom w:w="70" w:type="dxa"/>
              <w:right w:w="80" w:type="dxa"/>
            </w:tcMar>
            <w:vAlign w:val="center"/>
          </w:tcPr>
          <w:p w14:paraId="3E4E1CCE" w14:textId="29410788"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Vocational units</w:t>
            </w:r>
          </w:p>
        </w:tc>
        <w:tc>
          <w:tcPr>
            <w:tcW w:w="2250" w:type="dxa"/>
            <w:tcBorders>
              <w:bottom w:val="single" w:sz="4" w:space="0" w:color="B7B7B7"/>
            </w:tcBorders>
            <w:tcMar>
              <w:top w:w="70" w:type="dxa"/>
              <w:left w:w="80" w:type="dxa"/>
              <w:bottom w:w="70" w:type="dxa"/>
              <w:right w:w="80" w:type="dxa"/>
            </w:tcMar>
            <w:vAlign w:val="center"/>
          </w:tcPr>
          <w:p w14:paraId="55B3E486" w14:textId="002D7E37"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Reported vocational positions and deduction retained</w:t>
            </w:r>
          </w:p>
        </w:tc>
        <w:tc>
          <w:tcPr>
            <w:tcW w:w="3400" w:type="dxa"/>
            <w:tcBorders>
              <w:bottom w:val="single" w:sz="4" w:space="0" w:color="B7B7B7"/>
            </w:tcBorders>
            <w:tcMar>
              <w:top w:w="70" w:type="dxa"/>
              <w:left w:w="80" w:type="dxa"/>
              <w:bottom w:w="70" w:type="dxa"/>
              <w:right w:w="80" w:type="dxa"/>
            </w:tcMar>
            <w:vAlign w:val="center"/>
          </w:tcPr>
          <w:p w14:paraId="7152D2C7" w14:textId="48B6BB41"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Same reported net vocational quantity retained</w:t>
            </w:r>
          </w:p>
        </w:tc>
        <w:tc>
          <w:tcPr>
            <w:tcW w:w="2498" w:type="dxa"/>
            <w:tcBorders>
              <w:bottom w:val="single" w:sz="4" w:space="0" w:color="B7B7B7"/>
            </w:tcBorders>
            <w:tcMar>
              <w:top w:w="70" w:type="dxa"/>
              <w:left w:w="80" w:type="dxa"/>
              <w:bottom w:w="70" w:type="dxa"/>
              <w:right w:w="80" w:type="dxa"/>
            </w:tcMar>
            <w:vAlign w:val="center"/>
          </w:tcPr>
          <w:p w14:paraId="781188CA" w14:textId="53A086A7"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Confirmed for comparison; underlying generating chain remains open</w:t>
            </w:r>
          </w:p>
        </w:tc>
      </w:tr>
      <w:tr w:rsidR="00E6142F" w:rsidRPr="007F13D6" w14:paraId="6144D01E" w14:textId="77777777" w:rsidTr="00633F41">
        <w:trPr>
          <w:cantSplit/>
          <w:jc w:val="center"/>
        </w:trPr>
        <w:tc>
          <w:tcPr>
            <w:tcW w:w="1500" w:type="dxa"/>
            <w:tcBorders>
              <w:bottom w:val="single" w:sz="4" w:space="0" w:color="B7B7B7"/>
            </w:tcBorders>
            <w:shd w:val="clear" w:color="auto" w:fill="EAF3F8"/>
            <w:tcMar>
              <w:top w:w="70" w:type="dxa"/>
              <w:left w:w="80" w:type="dxa"/>
              <w:bottom w:w="70" w:type="dxa"/>
              <w:right w:w="80" w:type="dxa"/>
            </w:tcMar>
            <w:vAlign w:val="center"/>
          </w:tcPr>
          <w:p w14:paraId="1D563AA7" w14:textId="3F924672"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Principal</w:t>
            </w:r>
          </w:p>
        </w:tc>
        <w:tc>
          <w:tcPr>
            <w:tcW w:w="2250" w:type="dxa"/>
            <w:tcBorders>
              <w:bottom w:val="single" w:sz="4" w:space="0" w:color="B7B7B7"/>
            </w:tcBorders>
            <w:shd w:val="clear" w:color="auto" w:fill="EAF3F8"/>
            <w:tcMar>
              <w:top w:w="70" w:type="dxa"/>
              <w:left w:w="80" w:type="dxa"/>
              <w:bottom w:w="70" w:type="dxa"/>
              <w:right w:w="80" w:type="dxa"/>
            </w:tcMar>
            <w:vAlign w:val="center"/>
          </w:tcPr>
          <w:p w14:paraId="1014CC12" w14:textId="0A0280C0"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One at 15 qualifying Division I units</w:t>
            </w:r>
          </w:p>
        </w:tc>
        <w:tc>
          <w:tcPr>
            <w:tcW w:w="3400" w:type="dxa"/>
            <w:tcBorders>
              <w:bottom w:val="single" w:sz="4" w:space="0" w:color="B7B7B7"/>
            </w:tcBorders>
            <w:shd w:val="clear" w:color="auto" w:fill="EAF3F8"/>
            <w:tcMar>
              <w:top w:w="70" w:type="dxa"/>
              <w:left w:w="80" w:type="dxa"/>
              <w:bottom w:w="70" w:type="dxa"/>
              <w:right w:w="80" w:type="dxa"/>
            </w:tcMar>
            <w:vAlign w:val="center"/>
          </w:tcPr>
          <w:p w14:paraId="08E5993F" w14:textId="5816DAC6"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IV&amp;V: one per included calculation unit; PEFC: precomputed quantities</w:t>
            </w:r>
          </w:p>
        </w:tc>
        <w:tc>
          <w:tcPr>
            <w:tcW w:w="2498" w:type="dxa"/>
            <w:tcBorders>
              <w:bottom w:val="single" w:sz="4" w:space="0" w:color="B7B7B7"/>
            </w:tcBorders>
            <w:shd w:val="clear" w:color="auto" w:fill="EAF3F8"/>
            <w:tcMar>
              <w:top w:w="70" w:type="dxa"/>
              <w:left w:w="80" w:type="dxa"/>
              <w:bottom w:w="70" w:type="dxa"/>
              <w:right w:w="80" w:type="dxa"/>
            </w:tcMar>
            <w:vAlign w:val="center"/>
          </w:tcPr>
          <w:p w14:paraId="6B34BD08" w14:textId="77D09726"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Confirmed for comparison; PEFC differs for five district calculation units</w:t>
            </w:r>
          </w:p>
        </w:tc>
      </w:tr>
      <w:tr w:rsidR="00E6142F" w:rsidRPr="007F13D6" w14:paraId="797F5143" w14:textId="77777777" w:rsidTr="00633F41">
        <w:trPr>
          <w:cantSplit/>
          <w:jc w:val="center"/>
        </w:trPr>
        <w:tc>
          <w:tcPr>
            <w:tcW w:w="1500" w:type="dxa"/>
            <w:tcBorders>
              <w:bottom w:val="single" w:sz="4" w:space="0" w:color="B7B7B7"/>
            </w:tcBorders>
            <w:tcMar>
              <w:top w:w="70" w:type="dxa"/>
              <w:left w:w="80" w:type="dxa"/>
              <w:bottom w:w="70" w:type="dxa"/>
              <w:right w:w="80" w:type="dxa"/>
            </w:tcMar>
            <w:vAlign w:val="center"/>
          </w:tcPr>
          <w:p w14:paraId="27F1049D" w14:textId="72ECD2D1"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Assistant Principal</w:t>
            </w:r>
          </w:p>
        </w:tc>
        <w:tc>
          <w:tcPr>
            <w:tcW w:w="2250" w:type="dxa"/>
            <w:tcBorders>
              <w:bottom w:val="single" w:sz="4" w:space="0" w:color="B7B7B7"/>
            </w:tcBorders>
            <w:tcMar>
              <w:top w:w="70" w:type="dxa"/>
              <w:left w:w="80" w:type="dxa"/>
              <w:bottom w:w="70" w:type="dxa"/>
              <w:right w:w="80" w:type="dxa"/>
            </w:tcMar>
            <w:vAlign w:val="center"/>
          </w:tcPr>
          <w:p w14:paraId="644ABC39" w14:textId="4B503DD4"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Current fractional threshold schedule applied to Division I units</w:t>
            </w:r>
          </w:p>
        </w:tc>
        <w:tc>
          <w:tcPr>
            <w:tcW w:w="3400" w:type="dxa"/>
            <w:tcBorders>
              <w:bottom w:val="single" w:sz="4" w:space="0" w:color="B7B7B7"/>
            </w:tcBorders>
            <w:tcMar>
              <w:top w:w="70" w:type="dxa"/>
              <w:left w:w="80" w:type="dxa"/>
              <w:bottom w:w="70" w:type="dxa"/>
              <w:right w:w="80" w:type="dxa"/>
            </w:tcMar>
            <w:vAlign w:val="center"/>
          </w:tcPr>
          <w:p w14:paraId="2223B199" w14:textId="7DD14EDB"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IV&amp;V applies same schedule to proposed school-level base; PEFC rounds fractional awards down</w:t>
            </w:r>
          </w:p>
        </w:tc>
        <w:tc>
          <w:tcPr>
            <w:tcW w:w="2498" w:type="dxa"/>
            <w:tcBorders>
              <w:bottom w:val="single" w:sz="4" w:space="0" w:color="B7B7B7"/>
            </w:tcBorders>
            <w:tcMar>
              <w:top w:w="70" w:type="dxa"/>
              <w:left w:w="80" w:type="dxa"/>
              <w:bottom w:w="70" w:type="dxa"/>
              <w:right w:w="80" w:type="dxa"/>
            </w:tcMar>
            <w:vAlign w:val="center"/>
          </w:tcPr>
          <w:p w14:paraId="4E60FAB8" w14:textId="4AB86A77"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Confirmed for comparison; PEFC fractional treatment differs</w:t>
            </w:r>
          </w:p>
        </w:tc>
      </w:tr>
      <w:tr w:rsidR="00E6142F" w:rsidRPr="007F13D6" w14:paraId="7DCCF237" w14:textId="77777777" w:rsidTr="00633F41">
        <w:trPr>
          <w:cantSplit/>
          <w:jc w:val="center"/>
        </w:trPr>
        <w:tc>
          <w:tcPr>
            <w:tcW w:w="1500" w:type="dxa"/>
            <w:tcBorders>
              <w:bottom w:val="single" w:sz="4" w:space="0" w:color="B7B7B7"/>
            </w:tcBorders>
            <w:shd w:val="clear" w:color="auto" w:fill="EAF3F8"/>
            <w:tcMar>
              <w:top w:w="70" w:type="dxa"/>
              <w:left w:w="80" w:type="dxa"/>
              <w:bottom w:w="70" w:type="dxa"/>
              <w:right w:w="80" w:type="dxa"/>
            </w:tcMar>
            <w:vAlign w:val="center"/>
          </w:tcPr>
          <w:p w14:paraId="245D712D" w14:textId="69D7B5BC"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Administrative support</w:t>
            </w:r>
          </w:p>
        </w:tc>
        <w:tc>
          <w:tcPr>
            <w:tcW w:w="2250" w:type="dxa"/>
            <w:tcBorders>
              <w:bottom w:val="single" w:sz="4" w:space="0" w:color="B7B7B7"/>
            </w:tcBorders>
            <w:shd w:val="clear" w:color="auto" w:fill="EAF3F8"/>
            <w:tcMar>
              <w:top w:w="70" w:type="dxa"/>
              <w:left w:w="80" w:type="dxa"/>
              <w:bottom w:w="70" w:type="dxa"/>
              <w:right w:w="80" w:type="dxa"/>
            </w:tcMar>
            <w:vAlign w:val="center"/>
          </w:tcPr>
          <w:p w14:paraId="2FCB8C50" w14:textId="7A2849DA"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Current Secretary tier schedule</w:t>
            </w:r>
          </w:p>
        </w:tc>
        <w:tc>
          <w:tcPr>
            <w:tcW w:w="3400" w:type="dxa"/>
            <w:tcBorders>
              <w:bottom w:val="single" w:sz="4" w:space="0" w:color="B7B7B7"/>
            </w:tcBorders>
            <w:shd w:val="clear" w:color="auto" w:fill="EAF3F8"/>
            <w:tcMar>
              <w:top w:w="70" w:type="dxa"/>
              <w:left w:w="80" w:type="dxa"/>
              <w:bottom w:w="70" w:type="dxa"/>
              <w:right w:w="80" w:type="dxa"/>
            </w:tcMar>
            <w:vAlign w:val="center"/>
          </w:tcPr>
          <w:p w14:paraId="2ED29F0C" w14:textId="5FB874F1"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IV&amp;V applies same tiered structure to the proposed ASP base; PEFC quantities are precomputed</w:t>
            </w:r>
          </w:p>
        </w:tc>
        <w:tc>
          <w:tcPr>
            <w:tcW w:w="2498" w:type="dxa"/>
            <w:tcBorders>
              <w:bottom w:val="single" w:sz="4" w:space="0" w:color="B7B7B7"/>
            </w:tcBorders>
            <w:shd w:val="clear" w:color="auto" w:fill="EAF3F8"/>
            <w:tcMar>
              <w:top w:w="70" w:type="dxa"/>
              <w:left w:w="80" w:type="dxa"/>
              <w:bottom w:w="70" w:type="dxa"/>
              <w:right w:w="80" w:type="dxa"/>
            </w:tcMar>
            <w:vAlign w:val="center"/>
          </w:tcPr>
          <w:p w14:paraId="612C5BDC" w14:textId="24C3FD72"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Functional mapping and common rate confirmed; PEFC generating logic remains open</w:t>
            </w:r>
          </w:p>
        </w:tc>
      </w:tr>
      <w:tr w:rsidR="00E6142F" w:rsidRPr="007F13D6" w14:paraId="790072EF" w14:textId="77777777" w:rsidTr="00633F41">
        <w:trPr>
          <w:cantSplit/>
          <w:jc w:val="center"/>
        </w:trPr>
        <w:tc>
          <w:tcPr>
            <w:tcW w:w="1500" w:type="dxa"/>
            <w:tcBorders>
              <w:bottom w:val="single" w:sz="4" w:space="0" w:color="B7B7B7"/>
            </w:tcBorders>
            <w:tcMar>
              <w:top w:w="70" w:type="dxa"/>
              <w:left w:w="80" w:type="dxa"/>
              <w:bottom w:w="70" w:type="dxa"/>
              <w:right w:w="80" w:type="dxa"/>
            </w:tcMar>
            <w:vAlign w:val="center"/>
          </w:tcPr>
          <w:p w14:paraId="3A752C61" w14:textId="37D35607"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Instructional Supports</w:t>
            </w:r>
          </w:p>
        </w:tc>
        <w:tc>
          <w:tcPr>
            <w:tcW w:w="2250" w:type="dxa"/>
            <w:tcBorders>
              <w:bottom w:val="single" w:sz="4" w:space="0" w:color="B7B7B7"/>
            </w:tcBorders>
            <w:tcMar>
              <w:top w:w="70" w:type="dxa"/>
              <w:left w:w="80" w:type="dxa"/>
              <w:bottom w:w="70" w:type="dxa"/>
              <w:right w:w="80" w:type="dxa"/>
            </w:tcMar>
            <w:vAlign w:val="center"/>
          </w:tcPr>
          <w:p w14:paraId="3C345D94" w14:textId="061185C2"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Current support functions combined through a maintained crosswalk</w:t>
            </w:r>
          </w:p>
        </w:tc>
        <w:tc>
          <w:tcPr>
            <w:tcW w:w="3400" w:type="dxa"/>
            <w:tcBorders>
              <w:bottom w:val="single" w:sz="4" w:space="0" w:color="B7B7B7"/>
            </w:tcBorders>
            <w:tcMar>
              <w:top w:w="70" w:type="dxa"/>
              <w:left w:w="80" w:type="dxa"/>
              <w:bottom w:w="70" w:type="dxa"/>
              <w:right w:w="80" w:type="dxa"/>
            </w:tcMar>
            <w:vAlign w:val="center"/>
          </w:tcPr>
          <w:p w14:paraId="3FF6D686" w14:textId="1B1E19D9"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IV&amp;V: 20% of Base Division I; PEFC also uses 20% with some base differences</w:t>
            </w:r>
          </w:p>
        </w:tc>
        <w:tc>
          <w:tcPr>
            <w:tcW w:w="2498" w:type="dxa"/>
            <w:tcBorders>
              <w:bottom w:val="single" w:sz="4" w:space="0" w:color="B7B7B7"/>
            </w:tcBorders>
            <w:tcMar>
              <w:top w:w="70" w:type="dxa"/>
              <w:left w:w="80" w:type="dxa"/>
              <w:bottom w:w="70" w:type="dxa"/>
              <w:right w:w="80" w:type="dxa"/>
            </w:tcMar>
            <w:vAlign w:val="center"/>
          </w:tcPr>
          <w:p w14:paraId="7B90B1C3" w14:textId="5E78F881"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Confirmed functional comparison; not a one-to-one position match</w:t>
            </w:r>
          </w:p>
        </w:tc>
      </w:tr>
      <w:tr w:rsidR="00E6142F" w:rsidRPr="007F13D6" w14:paraId="1131CC40" w14:textId="77777777" w:rsidTr="00633F41">
        <w:trPr>
          <w:cantSplit/>
          <w:jc w:val="center"/>
        </w:trPr>
        <w:tc>
          <w:tcPr>
            <w:tcW w:w="1500" w:type="dxa"/>
            <w:tcBorders>
              <w:bottom w:val="single" w:sz="4" w:space="0" w:color="B7B7B7"/>
            </w:tcBorders>
            <w:shd w:val="clear" w:color="auto" w:fill="EAF3F8"/>
            <w:tcMar>
              <w:top w:w="70" w:type="dxa"/>
              <w:left w:w="80" w:type="dxa"/>
              <w:bottom w:w="70" w:type="dxa"/>
              <w:right w:w="80" w:type="dxa"/>
            </w:tcMar>
            <w:vAlign w:val="center"/>
          </w:tcPr>
          <w:p w14:paraId="214626A6" w14:textId="40FE7638"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Superintendent</w:t>
            </w:r>
          </w:p>
        </w:tc>
        <w:tc>
          <w:tcPr>
            <w:tcW w:w="2250" w:type="dxa"/>
            <w:tcBorders>
              <w:bottom w:val="single" w:sz="4" w:space="0" w:color="B7B7B7"/>
            </w:tcBorders>
            <w:shd w:val="clear" w:color="auto" w:fill="EAF3F8"/>
            <w:tcMar>
              <w:top w:w="70" w:type="dxa"/>
              <w:left w:w="80" w:type="dxa"/>
              <w:bottom w:w="70" w:type="dxa"/>
              <w:right w:w="80" w:type="dxa"/>
            </w:tcMar>
            <w:vAlign w:val="center"/>
          </w:tcPr>
          <w:p w14:paraId="1B457078" w14:textId="05C02195"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One per district; charters ineligible</w:t>
            </w:r>
          </w:p>
        </w:tc>
        <w:tc>
          <w:tcPr>
            <w:tcW w:w="3400" w:type="dxa"/>
            <w:tcBorders>
              <w:bottom w:val="single" w:sz="4" w:space="0" w:color="B7B7B7"/>
            </w:tcBorders>
            <w:shd w:val="clear" w:color="auto" w:fill="EAF3F8"/>
            <w:tcMar>
              <w:top w:w="70" w:type="dxa"/>
              <w:left w:w="80" w:type="dxa"/>
              <w:bottom w:w="70" w:type="dxa"/>
              <w:right w:w="80" w:type="dxa"/>
            </w:tcMar>
            <w:vAlign w:val="center"/>
          </w:tcPr>
          <w:p w14:paraId="51F86DFB" w14:textId="22E55997"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One per included district or charter LEA</w:t>
            </w:r>
          </w:p>
        </w:tc>
        <w:tc>
          <w:tcPr>
            <w:tcW w:w="2498" w:type="dxa"/>
            <w:tcBorders>
              <w:bottom w:val="single" w:sz="4" w:space="0" w:color="B7B7B7"/>
            </w:tcBorders>
            <w:shd w:val="clear" w:color="auto" w:fill="EAF3F8"/>
            <w:tcMar>
              <w:top w:w="70" w:type="dxa"/>
              <w:left w:w="80" w:type="dxa"/>
              <w:bottom w:w="70" w:type="dxa"/>
              <w:right w:w="80" w:type="dxa"/>
            </w:tcMar>
            <w:vAlign w:val="center"/>
          </w:tcPr>
          <w:p w14:paraId="42A00D7A" w14:textId="56AA627B"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Confirmed for staffing comparison; expands modeled charter eligibility</w:t>
            </w:r>
          </w:p>
        </w:tc>
      </w:tr>
      <w:tr w:rsidR="00E6142F" w:rsidRPr="007F13D6" w14:paraId="7CD5F394" w14:textId="77777777" w:rsidTr="00633F41">
        <w:trPr>
          <w:cantSplit/>
          <w:jc w:val="center"/>
        </w:trPr>
        <w:tc>
          <w:tcPr>
            <w:tcW w:w="1500" w:type="dxa"/>
            <w:tcBorders>
              <w:bottom w:val="single" w:sz="4" w:space="0" w:color="B7B7B7"/>
            </w:tcBorders>
            <w:tcMar>
              <w:top w:w="70" w:type="dxa"/>
              <w:left w:w="80" w:type="dxa"/>
              <w:bottom w:w="70" w:type="dxa"/>
              <w:right w:w="80" w:type="dxa"/>
            </w:tcMar>
            <w:vAlign w:val="center"/>
          </w:tcPr>
          <w:p w14:paraId="3E757F4D" w14:textId="0D354D07"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Administrative Assistant</w:t>
            </w:r>
          </w:p>
        </w:tc>
        <w:tc>
          <w:tcPr>
            <w:tcW w:w="2250" w:type="dxa"/>
            <w:tcBorders>
              <w:bottom w:val="single" w:sz="4" w:space="0" w:color="B7B7B7"/>
            </w:tcBorders>
            <w:tcMar>
              <w:top w:w="70" w:type="dxa"/>
              <w:left w:w="80" w:type="dxa"/>
              <w:bottom w:w="70" w:type="dxa"/>
              <w:right w:w="80" w:type="dxa"/>
            </w:tcMar>
            <w:vAlign w:val="center"/>
          </w:tcPr>
          <w:p w14:paraId="3CA194D3" w14:textId="2835A459"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One per included LEA in the working comparison</w:t>
            </w:r>
          </w:p>
        </w:tc>
        <w:tc>
          <w:tcPr>
            <w:tcW w:w="3400" w:type="dxa"/>
            <w:tcBorders>
              <w:bottom w:val="single" w:sz="4" w:space="0" w:color="B7B7B7"/>
            </w:tcBorders>
            <w:tcMar>
              <w:top w:w="70" w:type="dxa"/>
              <w:left w:w="80" w:type="dxa"/>
              <w:bottom w:w="70" w:type="dxa"/>
              <w:right w:w="80" w:type="dxa"/>
            </w:tcMar>
            <w:vAlign w:val="center"/>
          </w:tcPr>
          <w:p w14:paraId="1DD7330E" w14:textId="5CC6763A"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One per included LEA</w:t>
            </w:r>
          </w:p>
        </w:tc>
        <w:tc>
          <w:tcPr>
            <w:tcW w:w="2498" w:type="dxa"/>
            <w:tcBorders>
              <w:bottom w:val="single" w:sz="4" w:space="0" w:color="B7B7B7"/>
            </w:tcBorders>
            <w:tcMar>
              <w:top w:w="70" w:type="dxa"/>
              <w:left w:w="80" w:type="dxa"/>
              <w:bottom w:w="70" w:type="dxa"/>
              <w:right w:w="80" w:type="dxa"/>
            </w:tcMar>
            <w:vAlign w:val="center"/>
          </w:tcPr>
          <w:p w14:paraId="63CE4FBD" w14:textId="0DB9E9F0"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Confirmed for staffing comparison; quantity unchanged</w:t>
            </w:r>
          </w:p>
        </w:tc>
      </w:tr>
      <w:tr w:rsidR="00E6142F" w:rsidRPr="007F13D6" w14:paraId="3A2A4994" w14:textId="77777777" w:rsidTr="00633F41">
        <w:trPr>
          <w:cantSplit/>
          <w:jc w:val="center"/>
        </w:trPr>
        <w:tc>
          <w:tcPr>
            <w:tcW w:w="1500" w:type="dxa"/>
            <w:tcBorders>
              <w:bottom w:val="single" w:sz="4" w:space="0" w:color="B7B7B7"/>
            </w:tcBorders>
            <w:shd w:val="clear" w:color="auto" w:fill="EAF3F8"/>
            <w:tcMar>
              <w:top w:w="70" w:type="dxa"/>
              <w:left w:w="80" w:type="dxa"/>
              <w:bottom w:w="70" w:type="dxa"/>
              <w:right w:w="80" w:type="dxa"/>
            </w:tcMar>
            <w:vAlign w:val="center"/>
          </w:tcPr>
          <w:p w14:paraId="36EE6083" w14:textId="147A3985"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Assistant Superintendent / Director / 11-Month Supervisor</w:t>
            </w:r>
          </w:p>
        </w:tc>
        <w:tc>
          <w:tcPr>
            <w:tcW w:w="2250" w:type="dxa"/>
            <w:tcBorders>
              <w:bottom w:val="single" w:sz="4" w:space="0" w:color="B7B7B7"/>
            </w:tcBorders>
            <w:shd w:val="clear" w:color="auto" w:fill="EAF3F8"/>
            <w:tcMar>
              <w:top w:w="70" w:type="dxa"/>
              <w:left w:w="80" w:type="dxa"/>
              <w:bottom w:w="70" w:type="dxa"/>
              <w:right w:w="80" w:type="dxa"/>
            </w:tcMar>
            <w:vAlign w:val="center"/>
          </w:tcPr>
          <w:p w14:paraId="71F96338" w14:textId="246D81A1"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Current Division I base</w:t>
            </w:r>
          </w:p>
        </w:tc>
        <w:tc>
          <w:tcPr>
            <w:tcW w:w="3400" w:type="dxa"/>
            <w:tcBorders>
              <w:bottom w:val="single" w:sz="4" w:space="0" w:color="B7B7B7"/>
            </w:tcBorders>
            <w:shd w:val="clear" w:color="auto" w:fill="EAF3F8"/>
            <w:tcMar>
              <w:top w:w="70" w:type="dxa"/>
              <w:left w:w="80" w:type="dxa"/>
              <w:bottom w:w="70" w:type="dxa"/>
              <w:right w:w="80" w:type="dxa"/>
            </w:tcMar>
            <w:vAlign w:val="center"/>
          </w:tcPr>
          <w:p w14:paraId="07604F30" w14:textId="20F07BD6"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IV&amp;V uses Total Base positions; PEFC uses a broader workbook base and differs for Assistant Superintendent fractional treatment</w:t>
            </w:r>
          </w:p>
        </w:tc>
        <w:tc>
          <w:tcPr>
            <w:tcW w:w="2498" w:type="dxa"/>
            <w:tcBorders>
              <w:bottom w:val="single" w:sz="4" w:space="0" w:color="B7B7B7"/>
            </w:tcBorders>
            <w:shd w:val="clear" w:color="auto" w:fill="EAF3F8"/>
            <w:tcMar>
              <w:top w:w="70" w:type="dxa"/>
              <w:left w:w="80" w:type="dxa"/>
              <w:bottom w:w="70" w:type="dxa"/>
              <w:right w:w="80" w:type="dxa"/>
            </w:tcMar>
            <w:vAlign w:val="center"/>
          </w:tcPr>
          <w:p w14:paraId="14CA9106" w14:textId="4C6FD76E"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Confirmed for current-versus-proposed comparison; PEFC interpretation differences remain</w:t>
            </w:r>
          </w:p>
        </w:tc>
      </w:tr>
      <w:tr w:rsidR="00E6142F" w:rsidRPr="007F13D6" w14:paraId="782706E3" w14:textId="77777777" w:rsidTr="00633F41">
        <w:trPr>
          <w:cantSplit/>
          <w:jc w:val="center"/>
        </w:trPr>
        <w:tc>
          <w:tcPr>
            <w:tcW w:w="1500" w:type="dxa"/>
            <w:tcBorders>
              <w:bottom w:val="single" w:sz="4" w:space="0" w:color="B7B7B7"/>
            </w:tcBorders>
            <w:tcMar>
              <w:top w:w="70" w:type="dxa"/>
              <w:left w:w="80" w:type="dxa"/>
              <w:bottom w:w="70" w:type="dxa"/>
              <w:right w:w="80" w:type="dxa"/>
            </w:tcMar>
            <w:vAlign w:val="center"/>
          </w:tcPr>
          <w:p w14:paraId="035587AA" w14:textId="4D1084C0"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Buildings and Grounds Supervisor</w:t>
            </w:r>
          </w:p>
        </w:tc>
        <w:tc>
          <w:tcPr>
            <w:tcW w:w="2250" w:type="dxa"/>
            <w:tcBorders>
              <w:bottom w:val="single" w:sz="4" w:space="0" w:color="B7B7B7"/>
            </w:tcBorders>
            <w:tcMar>
              <w:top w:w="70" w:type="dxa"/>
              <w:left w:w="80" w:type="dxa"/>
              <w:bottom w:w="70" w:type="dxa"/>
              <w:right w:w="80" w:type="dxa"/>
            </w:tcMar>
            <w:vAlign w:val="center"/>
          </w:tcPr>
          <w:p w14:paraId="03423085" w14:textId="551CE6FA"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One at 95 custodial units</w:t>
            </w:r>
          </w:p>
        </w:tc>
        <w:tc>
          <w:tcPr>
            <w:tcW w:w="3400" w:type="dxa"/>
            <w:tcBorders>
              <w:bottom w:val="single" w:sz="4" w:space="0" w:color="B7B7B7"/>
            </w:tcBorders>
            <w:tcMar>
              <w:top w:w="70" w:type="dxa"/>
              <w:left w:w="80" w:type="dxa"/>
              <w:bottom w:w="70" w:type="dxa"/>
              <w:right w:w="80" w:type="dxa"/>
            </w:tcMar>
            <w:vAlign w:val="center"/>
          </w:tcPr>
          <w:p w14:paraId="1D4C14CB" w14:textId="38B78076"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One per included LEA</w:t>
            </w:r>
          </w:p>
        </w:tc>
        <w:tc>
          <w:tcPr>
            <w:tcW w:w="2498" w:type="dxa"/>
            <w:tcBorders>
              <w:bottom w:val="single" w:sz="4" w:space="0" w:color="B7B7B7"/>
            </w:tcBorders>
            <w:tcMar>
              <w:top w:w="70" w:type="dxa"/>
              <w:left w:w="80" w:type="dxa"/>
              <w:bottom w:w="70" w:type="dxa"/>
              <w:right w:w="80" w:type="dxa"/>
            </w:tcMar>
            <w:vAlign w:val="center"/>
          </w:tcPr>
          <w:p w14:paraId="0AC66540" w14:textId="000B4D88"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Current quantity not yet estimable because custodial-unit inputs are unavailable</w:t>
            </w:r>
          </w:p>
        </w:tc>
      </w:tr>
      <w:tr w:rsidR="00E6142F" w:rsidRPr="007F13D6" w14:paraId="338CD977" w14:textId="77777777" w:rsidTr="00633F41">
        <w:trPr>
          <w:cantSplit/>
          <w:jc w:val="center"/>
        </w:trPr>
        <w:tc>
          <w:tcPr>
            <w:tcW w:w="1500" w:type="dxa"/>
            <w:tcBorders>
              <w:bottom w:val="single" w:sz="4" w:space="0" w:color="B7B7B7"/>
            </w:tcBorders>
            <w:shd w:val="clear" w:color="auto" w:fill="EAF3F8"/>
            <w:tcMar>
              <w:top w:w="70" w:type="dxa"/>
              <w:left w:w="80" w:type="dxa"/>
              <w:bottom w:w="70" w:type="dxa"/>
              <w:right w:w="80" w:type="dxa"/>
            </w:tcMar>
            <w:vAlign w:val="center"/>
          </w:tcPr>
          <w:p w14:paraId="0C402CFA" w14:textId="337EA1CB"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Food Services Supervisor</w:t>
            </w:r>
          </w:p>
        </w:tc>
        <w:tc>
          <w:tcPr>
            <w:tcW w:w="2250" w:type="dxa"/>
            <w:tcBorders>
              <w:bottom w:val="single" w:sz="4" w:space="0" w:color="B7B7B7"/>
            </w:tcBorders>
            <w:shd w:val="clear" w:color="auto" w:fill="EAF3F8"/>
            <w:tcMar>
              <w:top w:w="70" w:type="dxa"/>
              <w:left w:w="80" w:type="dxa"/>
              <w:bottom w:w="70" w:type="dxa"/>
              <w:right w:w="80" w:type="dxa"/>
            </w:tcMar>
            <w:vAlign w:val="center"/>
          </w:tcPr>
          <w:p w14:paraId="150A25B3" w14:textId="6DC2246C"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Nine positions independently recreated from the 500-unit threshold; School Finance indicates all 19 districts receive at least one unit</w:t>
            </w:r>
          </w:p>
        </w:tc>
        <w:tc>
          <w:tcPr>
            <w:tcW w:w="3400" w:type="dxa"/>
            <w:tcBorders>
              <w:bottom w:val="single" w:sz="4" w:space="0" w:color="B7B7B7"/>
            </w:tcBorders>
            <w:shd w:val="clear" w:color="auto" w:fill="EAF3F8"/>
            <w:tcMar>
              <w:top w:w="70" w:type="dxa"/>
              <w:left w:w="80" w:type="dxa"/>
              <w:bottom w:w="70" w:type="dxa"/>
              <w:right w:w="80" w:type="dxa"/>
            </w:tcMar>
            <w:vAlign w:val="center"/>
          </w:tcPr>
          <w:p w14:paraId="41550451" w14:textId="286BE929"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One per LEA plus additional positions at completed 500 Base Division I thresholds</w:t>
            </w:r>
          </w:p>
        </w:tc>
        <w:tc>
          <w:tcPr>
            <w:tcW w:w="2498" w:type="dxa"/>
            <w:tcBorders>
              <w:bottom w:val="single" w:sz="4" w:space="0" w:color="B7B7B7"/>
            </w:tcBorders>
            <w:shd w:val="clear" w:color="auto" w:fill="EAF3F8"/>
            <w:tcMar>
              <w:top w:w="70" w:type="dxa"/>
              <w:left w:w="80" w:type="dxa"/>
              <w:bottom w:w="70" w:type="dxa"/>
              <w:right w:w="80" w:type="dxa"/>
            </w:tcMar>
            <w:vAlign w:val="center"/>
          </w:tcPr>
          <w:p w14:paraId="75936B6B" w14:textId="7D7483A7"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Provisional; current LEA-level awards are incomplete</w:t>
            </w:r>
          </w:p>
        </w:tc>
      </w:tr>
      <w:tr w:rsidR="00E6142F" w:rsidRPr="007F13D6" w14:paraId="7B41CBD6" w14:textId="77777777" w:rsidTr="00633F41">
        <w:trPr>
          <w:cantSplit/>
          <w:jc w:val="center"/>
        </w:trPr>
        <w:tc>
          <w:tcPr>
            <w:tcW w:w="1500" w:type="dxa"/>
            <w:tcBorders>
              <w:bottom w:val="single" w:sz="4" w:space="0" w:color="B7B7B7"/>
            </w:tcBorders>
            <w:tcMar>
              <w:top w:w="70" w:type="dxa"/>
              <w:left w:w="80" w:type="dxa"/>
              <w:bottom w:w="70" w:type="dxa"/>
              <w:right w:w="80" w:type="dxa"/>
            </w:tcMar>
            <w:vAlign w:val="center"/>
          </w:tcPr>
          <w:p w14:paraId="3D7F6BCB" w14:textId="5DBE3512"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Transportation Supervisor</w:t>
            </w:r>
          </w:p>
        </w:tc>
        <w:tc>
          <w:tcPr>
            <w:tcW w:w="2250" w:type="dxa"/>
            <w:tcBorders>
              <w:bottom w:val="single" w:sz="4" w:space="0" w:color="B7B7B7"/>
            </w:tcBorders>
            <w:tcMar>
              <w:top w:w="70" w:type="dxa"/>
              <w:left w:w="80" w:type="dxa"/>
              <w:bottom w:w="70" w:type="dxa"/>
              <w:right w:w="80" w:type="dxa"/>
            </w:tcMar>
            <w:vAlign w:val="center"/>
          </w:tcPr>
          <w:p w14:paraId="5C57221C" w14:textId="557420B2"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Enrollment divided by 7,500; fractions retained</w:t>
            </w:r>
          </w:p>
        </w:tc>
        <w:tc>
          <w:tcPr>
            <w:tcW w:w="3400" w:type="dxa"/>
            <w:tcBorders>
              <w:bottom w:val="single" w:sz="4" w:space="0" w:color="B7B7B7"/>
            </w:tcBorders>
            <w:tcMar>
              <w:top w:w="70" w:type="dxa"/>
              <w:left w:w="80" w:type="dxa"/>
              <w:bottom w:w="70" w:type="dxa"/>
              <w:right w:w="80" w:type="dxa"/>
            </w:tcMar>
            <w:vAlign w:val="center"/>
          </w:tcPr>
          <w:p w14:paraId="15C4846F" w14:textId="0CC216CB"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Same treatment</w:t>
            </w:r>
          </w:p>
        </w:tc>
        <w:tc>
          <w:tcPr>
            <w:tcW w:w="2498" w:type="dxa"/>
            <w:tcBorders>
              <w:bottom w:val="single" w:sz="4" w:space="0" w:color="B7B7B7"/>
            </w:tcBorders>
            <w:tcMar>
              <w:top w:w="70" w:type="dxa"/>
              <w:left w:w="80" w:type="dxa"/>
              <w:bottom w:w="70" w:type="dxa"/>
              <w:right w:w="80" w:type="dxa"/>
            </w:tcMar>
            <w:vAlign w:val="center"/>
          </w:tcPr>
          <w:p w14:paraId="2F195E42" w14:textId="1A98D2C2"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Confirmed for staffing comparison; underlying eligibility/fractional interpretation remains documented separately</w:t>
            </w:r>
          </w:p>
        </w:tc>
      </w:tr>
      <w:tr w:rsidR="00E6142F" w:rsidRPr="007F13D6" w14:paraId="425443C1" w14:textId="77777777" w:rsidTr="00633F41">
        <w:trPr>
          <w:cantSplit/>
          <w:jc w:val="center"/>
        </w:trPr>
        <w:tc>
          <w:tcPr>
            <w:tcW w:w="1500" w:type="dxa"/>
            <w:tcBorders>
              <w:bottom w:val="single" w:sz="4" w:space="0" w:color="B7B7B7"/>
            </w:tcBorders>
            <w:shd w:val="clear" w:color="auto" w:fill="EAF3F8"/>
            <w:tcMar>
              <w:top w:w="70" w:type="dxa"/>
              <w:left w:w="80" w:type="dxa"/>
              <w:bottom w:w="70" w:type="dxa"/>
              <w:right w:w="80" w:type="dxa"/>
            </w:tcMar>
            <w:vAlign w:val="center"/>
          </w:tcPr>
          <w:p w14:paraId="511FBF3F" w14:textId="73DA23E1"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t>Reading Cadre</w:t>
            </w:r>
          </w:p>
        </w:tc>
        <w:tc>
          <w:tcPr>
            <w:tcW w:w="2250" w:type="dxa"/>
            <w:tcBorders>
              <w:bottom w:val="single" w:sz="4" w:space="0" w:color="B7B7B7"/>
            </w:tcBorders>
            <w:shd w:val="clear" w:color="auto" w:fill="EAF3F8"/>
            <w:tcMar>
              <w:top w:w="70" w:type="dxa"/>
              <w:left w:w="80" w:type="dxa"/>
              <w:bottom w:w="70" w:type="dxa"/>
              <w:right w:w="80" w:type="dxa"/>
            </w:tcMar>
            <w:vAlign w:val="center"/>
          </w:tcPr>
          <w:p w14:paraId="49F8C6AD" w14:textId="129F72EA"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One per district; charters ineligible</w:t>
            </w:r>
          </w:p>
        </w:tc>
        <w:tc>
          <w:tcPr>
            <w:tcW w:w="3400" w:type="dxa"/>
            <w:tcBorders>
              <w:bottom w:val="single" w:sz="4" w:space="0" w:color="B7B7B7"/>
            </w:tcBorders>
            <w:shd w:val="clear" w:color="auto" w:fill="EAF3F8"/>
            <w:tcMar>
              <w:top w:w="70" w:type="dxa"/>
              <w:left w:w="80" w:type="dxa"/>
              <w:bottom w:w="70" w:type="dxa"/>
              <w:right w:w="80" w:type="dxa"/>
            </w:tcMar>
            <w:vAlign w:val="center"/>
          </w:tcPr>
          <w:p w14:paraId="67EABF2D" w14:textId="0A083E5F"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One per included LEA</w:t>
            </w:r>
          </w:p>
        </w:tc>
        <w:tc>
          <w:tcPr>
            <w:tcW w:w="2498" w:type="dxa"/>
            <w:tcBorders>
              <w:bottom w:val="single" w:sz="4" w:space="0" w:color="B7B7B7"/>
            </w:tcBorders>
            <w:shd w:val="clear" w:color="auto" w:fill="EAF3F8"/>
            <w:tcMar>
              <w:top w:w="70" w:type="dxa"/>
              <w:left w:w="80" w:type="dxa"/>
              <w:bottom w:w="70" w:type="dxa"/>
              <w:right w:w="80" w:type="dxa"/>
            </w:tcMar>
            <w:vAlign w:val="center"/>
          </w:tcPr>
          <w:p w14:paraId="33B50381" w14:textId="794D814C"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Confirmed for staffing comparison; appropriation treatment remains to be reconciled</w:t>
            </w:r>
          </w:p>
        </w:tc>
      </w:tr>
      <w:tr w:rsidR="00E6142F" w:rsidRPr="007F13D6" w14:paraId="4C821794" w14:textId="77777777" w:rsidTr="00633F41">
        <w:trPr>
          <w:cantSplit/>
          <w:jc w:val="center"/>
        </w:trPr>
        <w:tc>
          <w:tcPr>
            <w:tcW w:w="1500" w:type="dxa"/>
            <w:tcBorders>
              <w:bottom w:val="single" w:sz="4" w:space="0" w:color="B7B7B7"/>
            </w:tcBorders>
            <w:tcMar>
              <w:top w:w="70" w:type="dxa"/>
              <w:left w:w="80" w:type="dxa"/>
              <w:bottom w:w="70" w:type="dxa"/>
              <w:right w:w="80" w:type="dxa"/>
            </w:tcMar>
            <w:vAlign w:val="center"/>
          </w:tcPr>
          <w:p w14:paraId="2635C3FC" w14:textId="480D6F15" w:rsidR="00E6142F" w:rsidRPr="007F13D6" w:rsidRDefault="00E6142F" w:rsidP="009430B5">
            <w:pPr>
              <w:spacing w:after="0" w:line="240" w:lineRule="auto"/>
              <w:jc w:val="center"/>
              <w:rPr>
                <w:rFonts w:ascii="Arial" w:hAnsi="Arial" w:cs="Arial"/>
                <w:sz w:val="17"/>
                <w:szCs w:val="17"/>
              </w:rPr>
            </w:pPr>
            <w:r w:rsidRPr="007F13D6">
              <w:rPr>
                <w:rStyle w:val="Strong"/>
                <w:rFonts w:ascii="Arial" w:hAnsi="Arial" w:cs="Arial"/>
                <w:color w:val="000000"/>
                <w:sz w:val="17"/>
                <w:szCs w:val="17"/>
              </w:rPr>
              <w:lastRenderedPageBreak/>
              <w:t>Opportunity and Operational Funding</w:t>
            </w:r>
          </w:p>
        </w:tc>
        <w:tc>
          <w:tcPr>
            <w:tcW w:w="2250" w:type="dxa"/>
            <w:tcBorders>
              <w:bottom w:val="single" w:sz="4" w:space="0" w:color="B7B7B7"/>
            </w:tcBorders>
            <w:tcMar>
              <w:top w:w="70" w:type="dxa"/>
              <w:left w:w="80" w:type="dxa"/>
              <w:bottom w:w="70" w:type="dxa"/>
              <w:right w:w="80" w:type="dxa"/>
            </w:tcMar>
            <w:vAlign w:val="center"/>
          </w:tcPr>
          <w:p w14:paraId="77AC5C1B" w14:textId="204FDFDC"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Authoritative current analogues have not yet been established</w:t>
            </w:r>
          </w:p>
        </w:tc>
        <w:tc>
          <w:tcPr>
            <w:tcW w:w="3400" w:type="dxa"/>
            <w:tcBorders>
              <w:bottom w:val="single" w:sz="4" w:space="0" w:color="B7B7B7"/>
            </w:tcBorders>
            <w:tcMar>
              <w:top w:w="70" w:type="dxa"/>
              <w:left w:w="80" w:type="dxa"/>
              <w:bottom w:w="70" w:type="dxa"/>
              <w:right w:w="80" w:type="dxa"/>
            </w:tcMar>
            <w:vAlign w:val="center"/>
          </w:tcPr>
          <w:p w14:paraId="2A56758A" w14:textId="7C904CA4"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Proposed fixed weighted pools are independently reproduced</w:t>
            </w:r>
          </w:p>
        </w:tc>
        <w:tc>
          <w:tcPr>
            <w:tcW w:w="2498" w:type="dxa"/>
            <w:tcBorders>
              <w:bottom w:val="single" w:sz="4" w:space="0" w:color="B7B7B7"/>
            </w:tcBorders>
            <w:tcMar>
              <w:top w:w="70" w:type="dxa"/>
              <w:left w:w="80" w:type="dxa"/>
              <w:bottom w:w="70" w:type="dxa"/>
              <w:right w:w="80" w:type="dxa"/>
            </w:tcMar>
            <w:vAlign w:val="center"/>
          </w:tcPr>
          <w:p w14:paraId="51E8012E" w14:textId="1524BC2B" w:rsidR="00E6142F" w:rsidRPr="007F13D6" w:rsidRDefault="00E6142F" w:rsidP="009430B5">
            <w:pPr>
              <w:spacing w:after="0" w:line="240" w:lineRule="auto"/>
              <w:jc w:val="center"/>
              <w:rPr>
                <w:rFonts w:ascii="Arial" w:hAnsi="Arial" w:cs="Arial"/>
                <w:sz w:val="17"/>
                <w:szCs w:val="17"/>
              </w:rPr>
            </w:pPr>
            <w:r w:rsidRPr="007F13D6">
              <w:rPr>
                <w:rFonts w:ascii="Arial" w:hAnsi="Arial" w:cs="Arial"/>
                <w:color w:val="000000"/>
                <w:sz w:val="17"/>
                <w:szCs w:val="17"/>
              </w:rPr>
              <w:t>Proposed allocations are estimable; net current-versus-proposed fiscal change is not yet estimable</w:t>
            </w:r>
          </w:p>
        </w:tc>
      </w:tr>
    </w:tbl>
    <w:p w14:paraId="58884843" w14:textId="3A2DCB47" w:rsidR="0080028D" w:rsidRPr="007F13D6" w:rsidRDefault="0065107A" w:rsidP="00CE7AFC">
      <w:pPr>
        <w:spacing w:before="120" w:after="120" w:line="240" w:lineRule="auto"/>
        <w:rPr>
          <w:rFonts w:ascii="Arial" w:hAnsi="Arial" w:cs="Arial"/>
        </w:rPr>
      </w:pPr>
      <w:r w:rsidRPr="007F13D6">
        <w:rPr>
          <w:rFonts w:ascii="Arial" w:hAnsi="Arial" w:cs="Arial"/>
          <w:i/>
          <w:color w:val="666666"/>
          <w:sz w:val="16"/>
        </w:rPr>
        <w:t xml:space="preserve">Source: </w:t>
      </w:r>
      <w:r w:rsidR="00552093" w:rsidRPr="007F13D6">
        <w:rPr>
          <w:rFonts w:ascii="Arial" w:hAnsi="Arial" w:cs="Arial"/>
          <w:i/>
          <w:color w:val="666666"/>
          <w:sz w:val="16"/>
        </w:rPr>
        <w:t>Delaware School Funding Formula Technical Reference.xlsx; IV&amp;V pipeline outputs and maintained comparison crosswalks</w:t>
      </w:r>
      <w:r w:rsidRPr="007F13D6">
        <w:rPr>
          <w:rFonts w:ascii="Arial" w:hAnsi="Arial" w:cs="Arial"/>
          <w:i/>
          <w:color w:val="666666"/>
          <w:sz w:val="16"/>
        </w:rPr>
        <w:t>.</w:t>
      </w:r>
    </w:p>
    <w:p w14:paraId="7F491E4F" w14:textId="77777777" w:rsidR="00DD20EE" w:rsidRPr="007F13D6" w:rsidRDefault="00DD20EE" w:rsidP="00CE7AFC">
      <w:pPr>
        <w:pStyle w:val="Heading2"/>
        <w:spacing w:before="120" w:after="120" w:line="240" w:lineRule="auto"/>
        <w:rPr>
          <w:rFonts w:ascii="Arial" w:hAnsi="Arial" w:cs="Arial"/>
        </w:rPr>
      </w:pPr>
      <w:bookmarkStart w:id="12" w:name="_Toc237512547"/>
      <w:r w:rsidRPr="007F13D6">
        <w:rPr>
          <w:rFonts w:ascii="Arial" w:hAnsi="Arial" w:cs="Arial"/>
        </w:rPr>
        <w:t>1.7 What remains unknown</w:t>
      </w:r>
      <w:bookmarkEnd w:id="12"/>
    </w:p>
    <w:p w14:paraId="017933AB" w14:textId="77777777" w:rsidR="00970DC8" w:rsidRPr="007F13D6" w:rsidRDefault="00970DC8" w:rsidP="00CE7AFC">
      <w:pPr>
        <w:pStyle w:val="BodyText"/>
        <w:spacing w:before="120" w:line="240" w:lineRule="auto"/>
        <w:rPr>
          <w:rFonts w:ascii="Arial" w:hAnsi="Arial" w:cs="Arial"/>
        </w:rPr>
      </w:pPr>
      <w:r w:rsidRPr="007F13D6">
        <w:rPr>
          <w:rFonts w:ascii="Arial" w:hAnsi="Arial" w:cs="Arial"/>
        </w:rPr>
        <w:t>The current rule inventory supports a reproducible comparison baseline, but several material uncertainties remain:</w:t>
      </w:r>
    </w:p>
    <w:p w14:paraId="21BFD4E8" w14:textId="77777777" w:rsidR="00970DC8" w:rsidRPr="007F13D6" w:rsidRDefault="00970DC8" w:rsidP="00CE7AFC">
      <w:pPr>
        <w:pStyle w:val="BodyText"/>
        <w:numPr>
          <w:ilvl w:val="0"/>
          <w:numId w:val="28"/>
        </w:numPr>
        <w:spacing w:before="120" w:line="240" w:lineRule="auto"/>
        <w:rPr>
          <w:rFonts w:ascii="Arial" w:hAnsi="Arial" w:cs="Arial"/>
        </w:rPr>
      </w:pPr>
      <w:r w:rsidRPr="007F13D6">
        <w:rPr>
          <w:rFonts w:ascii="Arial" w:hAnsi="Arial" w:cs="Arial"/>
          <w:b/>
          <w:bCs/>
        </w:rPr>
        <w:t>Vocational Division I:</w:t>
      </w:r>
      <w:r w:rsidRPr="007F13D6">
        <w:rPr>
          <w:rFonts w:ascii="Arial" w:hAnsi="Arial" w:cs="Arial"/>
        </w:rPr>
        <w:t xml:space="preserve"> The reported vocational positions and associated deduction are retained consistently in both staffing models, but the underlying calculation chain from school-level CTE participation and pupil-minute data to those reported quantities has not been independently reconstructed.</w:t>
      </w:r>
    </w:p>
    <w:p w14:paraId="57577B15" w14:textId="77777777" w:rsidR="00970DC8" w:rsidRPr="007F13D6" w:rsidRDefault="00970DC8" w:rsidP="00CE7AFC">
      <w:pPr>
        <w:pStyle w:val="BodyText"/>
        <w:numPr>
          <w:ilvl w:val="0"/>
          <w:numId w:val="28"/>
        </w:numPr>
        <w:spacing w:before="120" w:line="240" w:lineRule="auto"/>
        <w:rPr>
          <w:rFonts w:ascii="Arial" w:hAnsi="Arial" w:cs="Arial"/>
        </w:rPr>
      </w:pPr>
      <w:r w:rsidRPr="007F13D6">
        <w:rPr>
          <w:rFonts w:ascii="Arial" w:hAnsi="Arial" w:cs="Arial"/>
          <w:b/>
          <w:bCs/>
        </w:rPr>
        <w:t>PEFC school-level treatments:</w:t>
      </w:r>
      <w:r w:rsidRPr="007F13D6">
        <w:rPr>
          <w:rFonts w:ascii="Arial" w:hAnsi="Arial" w:cs="Arial"/>
        </w:rPr>
        <w:t xml:space="preserve"> The PEFC workbook stores Principal, Assistant Principal, and Administrative Support Professional quantities as precomputed values rather than transparent formulas. The IV&amp;V independently applies the documented rules, but the workbook's treatment of five district Principal calculation units, fractional Assistant Principal awards, and Administrative Support Professional generating logic remains distinct from the IV&amp;V implementation.</w:t>
      </w:r>
    </w:p>
    <w:p w14:paraId="5219BFD0" w14:textId="732B7A98" w:rsidR="00970DC8" w:rsidRPr="007F13D6" w:rsidRDefault="00970DC8" w:rsidP="00CE7AFC">
      <w:pPr>
        <w:pStyle w:val="BodyText"/>
        <w:numPr>
          <w:ilvl w:val="0"/>
          <w:numId w:val="28"/>
        </w:numPr>
        <w:spacing w:before="120" w:line="240" w:lineRule="auto"/>
        <w:rPr>
          <w:rFonts w:ascii="Arial" w:hAnsi="Arial" w:cs="Arial"/>
        </w:rPr>
      </w:pPr>
      <w:r w:rsidRPr="007F13D6">
        <w:rPr>
          <w:rFonts w:ascii="Arial" w:hAnsi="Arial" w:cs="Arial"/>
          <w:b/>
          <w:bCs/>
        </w:rPr>
        <w:t>Selected Central Office interpretations:</w:t>
      </w:r>
      <w:r w:rsidRPr="007F13D6">
        <w:rPr>
          <w:rFonts w:ascii="Arial" w:hAnsi="Arial" w:cs="Arial"/>
        </w:rPr>
        <w:t xml:space="preserve"> The current-versus-proposed staffing comparison applies documented rules consistently, but some underlying policy interpretations remain open. </w:t>
      </w:r>
      <w:r w:rsidR="005743EA" w:rsidRPr="007F13D6">
        <w:rPr>
          <w:rFonts w:ascii="Arial" w:hAnsi="Arial" w:cs="Arial"/>
        </w:rPr>
        <w:t>Confirmation</w:t>
      </w:r>
      <w:r w:rsidRPr="007F13D6">
        <w:rPr>
          <w:rFonts w:ascii="Arial" w:hAnsi="Arial" w:cs="Arial"/>
        </w:rPr>
        <w:t xml:space="preserve"> is still needed on whether the proposed Assistant Superintendent rule should retain completed 300-position thresholds or allow proportional positions between thresholds.</w:t>
      </w:r>
    </w:p>
    <w:p w14:paraId="40E0755D" w14:textId="77777777" w:rsidR="00970DC8" w:rsidRPr="007F13D6" w:rsidRDefault="00970DC8" w:rsidP="00CE7AFC">
      <w:pPr>
        <w:pStyle w:val="BodyText"/>
        <w:numPr>
          <w:ilvl w:val="0"/>
          <w:numId w:val="28"/>
        </w:numPr>
        <w:spacing w:before="120" w:line="240" w:lineRule="auto"/>
        <w:rPr>
          <w:rFonts w:ascii="Arial" w:hAnsi="Arial" w:cs="Arial"/>
        </w:rPr>
      </w:pPr>
      <w:r w:rsidRPr="007F13D6">
        <w:rPr>
          <w:rFonts w:ascii="Arial" w:hAnsi="Arial" w:cs="Arial"/>
          <w:b/>
          <w:bCs/>
        </w:rPr>
        <w:t>Current operations inputs:</w:t>
      </w:r>
      <w:r w:rsidRPr="007F13D6">
        <w:rPr>
          <w:rFonts w:ascii="Arial" w:hAnsi="Arial" w:cs="Arial"/>
        </w:rPr>
        <w:t xml:space="preserve"> Buildings and Grounds Supervisor quantities cannot be completed without current custodial-unit data. Food Services Supervisor quantities also remain provisional: nine positions are independently recreated, while School Finance has indicated that all 19 districts receive at least one unit but the additional LEA-level awards and supporting lunch-program building counts have not yet been confirmed.</w:t>
      </w:r>
    </w:p>
    <w:p w14:paraId="7E0352B7" w14:textId="77777777" w:rsidR="00970DC8" w:rsidRPr="007F13D6" w:rsidRDefault="00970DC8" w:rsidP="00CE7AFC">
      <w:pPr>
        <w:pStyle w:val="BodyText"/>
        <w:numPr>
          <w:ilvl w:val="0"/>
          <w:numId w:val="28"/>
        </w:numPr>
        <w:spacing w:before="120" w:line="240" w:lineRule="auto"/>
        <w:rPr>
          <w:rFonts w:ascii="Arial" w:hAnsi="Arial" w:cs="Arial"/>
        </w:rPr>
      </w:pPr>
      <w:r w:rsidRPr="007F13D6">
        <w:rPr>
          <w:rFonts w:ascii="Arial" w:hAnsi="Arial" w:cs="Arial"/>
          <w:b/>
          <w:bCs/>
        </w:rPr>
        <w:t>Other current-rule interpretations:</w:t>
      </w:r>
      <w:r w:rsidRPr="007F13D6">
        <w:rPr>
          <w:rFonts w:ascii="Arial" w:hAnsi="Arial" w:cs="Arial"/>
        </w:rPr>
        <w:t xml:space="preserve"> The current nurse fractional rule remains unresolved, and the Technical Reference identifies outstanding authority or appropriation questions for selected Administrative Assistant, Transportation Supervisor, and Reading Cadre treatments. These issues do not prevent their use in the working staffing comparison where the analytical treatment is established.</w:t>
      </w:r>
    </w:p>
    <w:p w14:paraId="60891FD4" w14:textId="77777777" w:rsidR="00970DC8" w:rsidRPr="007F13D6" w:rsidRDefault="00970DC8" w:rsidP="00CE7AFC">
      <w:pPr>
        <w:pStyle w:val="BodyText"/>
        <w:numPr>
          <w:ilvl w:val="0"/>
          <w:numId w:val="28"/>
        </w:numPr>
        <w:spacing w:before="120" w:line="240" w:lineRule="auto"/>
        <w:rPr>
          <w:rFonts w:ascii="Arial" w:hAnsi="Arial" w:cs="Arial"/>
        </w:rPr>
      </w:pPr>
      <w:r w:rsidRPr="007F13D6">
        <w:rPr>
          <w:rFonts w:ascii="Arial" w:hAnsi="Arial" w:cs="Arial"/>
          <w:b/>
          <w:bCs/>
        </w:rPr>
        <w:t>Opportunity and Operational Funding:</w:t>
      </w:r>
      <w:r w:rsidRPr="007F13D6">
        <w:rPr>
          <w:rFonts w:ascii="Arial" w:hAnsi="Arial" w:cs="Arial"/>
        </w:rPr>
        <w:t xml:space="preserve"> An authoritative mapping of existing current funding streams to the proposed Opportunity and Operational Funding categories has not yet been established. The proposed allocations can be reproduced, but their net fiscal change relative to current funding remains not yet estimable.</w:t>
      </w:r>
    </w:p>
    <w:p w14:paraId="0796F0B2" w14:textId="77777777" w:rsidR="00970DC8" w:rsidRPr="007F13D6" w:rsidRDefault="00970DC8" w:rsidP="00CE7AFC">
      <w:pPr>
        <w:pStyle w:val="BodyText"/>
        <w:numPr>
          <w:ilvl w:val="0"/>
          <w:numId w:val="28"/>
        </w:numPr>
        <w:spacing w:before="120" w:line="240" w:lineRule="auto"/>
        <w:rPr>
          <w:rFonts w:ascii="Arial" w:hAnsi="Arial" w:cs="Arial"/>
        </w:rPr>
      </w:pPr>
      <w:r w:rsidRPr="007F13D6">
        <w:rPr>
          <w:rFonts w:ascii="Arial" w:hAnsi="Arial" w:cs="Arial"/>
          <w:b/>
          <w:bCs/>
        </w:rPr>
        <w:t>Operational vocational enrollment:</w:t>
      </w:r>
      <w:r w:rsidRPr="007F13D6">
        <w:rPr>
          <w:rFonts w:ascii="Arial" w:hAnsi="Arial" w:cs="Arial"/>
        </w:rPr>
        <w:t xml:space="preserve"> The vocational-enrollment input used for Operational Funding was retained from the PEFC workbook because its business rules, operational definition, and underlying source were not sufficiently documented for independent validation.</w:t>
      </w:r>
    </w:p>
    <w:p w14:paraId="29762A9F" w14:textId="3CDE16A7" w:rsidR="006653DF" w:rsidRPr="007F13D6" w:rsidRDefault="00970DC8" w:rsidP="00CE7AFC">
      <w:pPr>
        <w:pStyle w:val="BodyText"/>
        <w:spacing w:before="120" w:line="240" w:lineRule="auto"/>
        <w:rPr>
          <w:rFonts w:ascii="Arial" w:hAnsi="Arial" w:cs="Arial"/>
        </w:rPr>
      </w:pPr>
      <w:r w:rsidRPr="007F13D6">
        <w:rPr>
          <w:rFonts w:ascii="Arial" w:hAnsi="Arial" w:cs="Arial"/>
        </w:rPr>
        <w:t>These limitations do not prevent analysis of the proposed funding structure, the staffing comparison, or reproduction of the PEFC workbook treatment. They do limit how confidently the results can be characterized as final current-versus-proposed fiscal changes. Missing current values remain missing rather than being treated as zero</w:t>
      </w:r>
      <w:r w:rsidR="00875945" w:rsidRPr="007F13D6">
        <w:rPr>
          <w:rFonts w:ascii="Arial" w:hAnsi="Arial" w:cs="Arial"/>
        </w:rPr>
        <w:t>.</w:t>
      </w:r>
    </w:p>
    <w:p w14:paraId="5E340748" w14:textId="77777777" w:rsidR="003926F7" w:rsidRPr="007F13D6" w:rsidRDefault="003926F7" w:rsidP="00CE7AFC">
      <w:pPr>
        <w:spacing w:before="120" w:after="120" w:line="240" w:lineRule="auto"/>
        <w:rPr>
          <w:rFonts w:ascii="Arial" w:hAnsi="Arial" w:cs="Arial"/>
        </w:rPr>
      </w:pPr>
    </w:p>
    <w:p w14:paraId="0A2C9781" w14:textId="51171D05" w:rsidR="00726538" w:rsidRPr="007F13D6" w:rsidRDefault="00DD20EE" w:rsidP="00CE7AFC">
      <w:pPr>
        <w:pStyle w:val="Heading1"/>
        <w:spacing w:before="120" w:after="120" w:line="240" w:lineRule="auto"/>
        <w:rPr>
          <w:rFonts w:ascii="Arial" w:hAnsi="Arial" w:cs="Arial"/>
        </w:rPr>
      </w:pPr>
      <w:bookmarkStart w:id="13" w:name="_Toc237512548"/>
      <w:r w:rsidRPr="007F13D6">
        <w:rPr>
          <w:rFonts w:ascii="Arial" w:hAnsi="Arial" w:cs="Arial"/>
        </w:rPr>
        <w:lastRenderedPageBreak/>
        <w:t>2</w:t>
      </w:r>
      <w:r w:rsidR="00954852" w:rsidRPr="007F13D6">
        <w:rPr>
          <w:rFonts w:ascii="Arial" w:hAnsi="Arial" w:cs="Arial"/>
        </w:rPr>
        <w:t>. What the IV&amp;V Examined and Why</w:t>
      </w:r>
      <w:bookmarkEnd w:id="13"/>
    </w:p>
    <w:p w14:paraId="6BBCE6FD" w14:textId="77777777" w:rsidR="008D71CD" w:rsidRPr="007F13D6" w:rsidRDefault="008D71CD" w:rsidP="00CE7AFC">
      <w:pPr>
        <w:pStyle w:val="BodyText"/>
        <w:keepLines/>
        <w:spacing w:before="120" w:line="240" w:lineRule="auto"/>
        <w:rPr>
          <w:rFonts w:ascii="Arial" w:hAnsi="Arial" w:cs="Arial"/>
        </w:rPr>
      </w:pPr>
      <w:r w:rsidRPr="007F13D6">
        <w:rPr>
          <w:rFonts w:ascii="Arial" w:hAnsi="Arial" w:cs="Arial"/>
        </w:rPr>
        <w:t>The IV&amp;V analysis was designed to provide an independent and reproducible assessment of the proposed funding model while also creating a consistent basis for comparing it with the current model. The work had three closely related goals:</w:t>
      </w:r>
    </w:p>
    <w:p w14:paraId="48F673F9" w14:textId="77777777" w:rsidR="008D71CD" w:rsidRPr="007F13D6" w:rsidRDefault="008D71CD" w:rsidP="00CE7AFC">
      <w:pPr>
        <w:pStyle w:val="BodyText"/>
        <w:keepLines/>
        <w:numPr>
          <w:ilvl w:val="0"/>
          <w:numId w:val="13"/>
        </w:numPr>
        <w:spacing w:before="120" w:line="240" w:lineRule="auto"/>
        <w:rPr>
          <w:rFonts w:ascii="Arial" w:hAnsi="Arial" w:cs="Arial"/>
        </w:rPr>
      </w:pPr>
      <w:r w:rsidRPr="007F13D6">
        <w:rPr>
          <w:rFonts w:ascii="Arial" w:hAnsi="Arial" w:cs="Arial"/>
          <w:b/>
          <w:bCs/>
        </w:rPr>
        <w:t>Develop a common, independently verifiable set of inputs.</w:t>
      </w:r>
      <w:r w:rsidRPr="007F13D6">
        <w:rPr>
          <w:rFonts w:ascii="Arial" w:hAnsi="Arial" w:cs="Arial"/>
        </w:rPr>
        <w:t xml:space="preserve"> The analysis assembled student counts, reported units, school and LEA records, and other required model inputs from sources obtained independently of the PEFC workbook. These inputs were not necessarily different from those used in the workbook, but they were retrieved, reconciled, and validated through separate processes.</w:t>
      </w:r>
      <w:r w:rsidR="006C6394" w:rsidRPr="007F13D6">
        <w:rPr>
          <w:rFonts w:ascii="Arial" w:hAnsi="Arial" w:cs="Arial"/>
        </w:rPr>
        <w:t xml:space="preserve"> Vocational student enrollment </w:t>
      </w:r>
      <w:r w:rsidR="00D66E16" w:rsidRPr="007F13D6">
        <w:rPr>
          <w:rFonts w:ascii="Arial" w:hAnsi="Arial" w:cs="Arial"/>
        </w:rPr>
        <w:t xml:space="preserve">under Operational Funding </w:t>
      </w:r>
      <w:r w:rsidR="006C6394" w:rsidRPr="007F13D6">
        <w:rPr>
          <w:rFonts w:ascii="Arial" w:hAnsi="Arial" w:cs="Arial"/>
        </w:rPr>
        <w:t>is the one exception. Because the applicable business rules were insufficiently specific and the underlying input source could not be clearly identified, the IV&amp;V retained the count reported in the PEFC workbook to preserve a consistent analytical foundation for the proposed-model reproduction and workbook comparison. This input is therefore not considered independently validated.</w:t>
      </w:r>
    </w:p>
    <w:p w14:paraId="31CBF172" w14:textId="77777777" w:rsidR="008D71CD" w:rsidRPr="007F13D6" w:rsidRDefault="008D71CD" w:rsidP="00CE7AFC">
      <w:pPr>
        <w:pStyle w:val="BodyText"/>
        <w:keepLines/>
        <w:numPr>
          <w:ilvl w:val="0"/>
          <w:numId w:val="13"/>
        </w:numPr>
        <w:spacing w:before="120" w:line="240" w:lineRule="auto"/>
        <w:rPr>
          <w:rFonts w:ascii="Arial" w:hAnsi="Arial" w:cs="Arial"/>
        </w:rPr>
      </w:pPr>
      <w:r w:rsidRPr="007F13D6">
        <w:rPr>
          <w:rFonts w:ascii="Arial" w:hAnsi="Arial" w:cs="Arial"/>
          <w:b/>
          <w:bCs/>
        </w:rPr>
        <w:t>Compare the current and proposed models on a common analytical foundation.</w:t>
      </w:r>
      <w:r w:rsidRPr="007F13D6">
        <w:rPr>
          <w:rFonts w:ascii="Arial" w:hAnsi="Arial" w:cs="Arial"/>
        </w:rPr>
        <w:t xml:space="preserve"> The analysis applied the same independently verifiable inputs across both models, as closely as their structures allowed. For comparable staffing categories, it also applied PEFC’s recommended current dollar rates to both the recreated current and IV&amp;V proposed staffing quantities through maintained component mappings. This approach helps isolate differences attributable to staffing formulas, thresholds, eligibility rules, position bases, and calculation units rather than differences in source inputs or dollar-rate assumptions. Where no defensible rate or mapping was available, the amount remains missing rather than being treated as zero.</w:t>
      </w:r>
    </w:p>
    <w:p w14:paraId="77FA8205" w14:textId="77777777" w:rsidR="008D71CD" w:rsidRPr="007F13D6" w:rsidRDefault="008D71CD" w:rsidP="00CE7AFC">
      <w:pPr>
        <w:pStyle w:val="BodyText"/>
        <w:keepLines/>
        <w:numPr>
          <w:ilvl w:val="0"/>
          <w:numId w:val="13"/>
        </w:numPr>
        <w:spacing w:before="120" w:line="240" w:lineRule="auto"/>
        <w:rPr>
          <w:rFonts w:ascii="Arial" w:hAnsi="Arial" w:cs="Arial"/>
        </w:rPr>
      </w:pPr>
      <w:r w:rsidRPr="007F13D6">
        <w:rPr>
          <w:rFonts w:ascii="Arial" w:hAnsi="Arial" w:cs="Arial"/>
          <w:b/>
          <w:bCs/>
        </w:rPr>
        <w:t>Compare the independently implemented proposed model with the PEFC workbook.</w:t>
      </w:r>
      <w:r w:rsidRPr="007F13D6">
        <w:rPr>
          <w:rFonts w:ascii="Arial" w:hAnsi="Arial" w:cs="Arial"/>
        </w:rPr>
        <w:t xml:space="preserve"> The analysis reproduced the proposed formulas and eligibility rules in a transparent pipeline and compared the resulting estimates with the workbook as presented. This comparison evaluates how closely the proposed model can be independently reproduced and identifies differences related to inputs, scope, calculation units, formula interpretation, or workbook mechanics.</w:t>
      </w:r>
    </w:p>
    <w:p w14:paraId="605AF153" w14:textId="77777777" w:rsidR="00726538" w:rsidRPr="007F13D6" w:rsidRDefault="008D71CD" w:rsidP="00CE7AFC">
      <w:pPr>
        <w:pStyle w:val="BodyText"/>
        <w:keepLines/>
        <w:spacing w:before="120" w:line="240" w:lineRule="auto"/>
        <w:rPr>
          <w:rFonts w:ascii="Arial" w:hAnsi="Arial" w:cs="Arial"/>
        </w:rPr>
      </w:pPr>
      <w:r w:rsidRPr="007F13D6">
        <w:rPr>
          <w:rFonts w:ascii="Arial" w:hAnsi="Arial" w:cs="Arial"/>
        </w:rPr>
        <w:t>Together, these goals distinguish the substantive current-versus-proposed comparison from the validation of the proposed model as represented in the PEFC workbook, while grounding both in a consistent and independently reviewed analytical framework. The resulting common-rate estimates support a consistent comparison but should not be interpreted as independently verified actual expenditures or complete costs under the current funding system</w:t>
      </w:r>
      <w:r w:rsidR="00D91B5D" w:rsidRPr="007F13D6">
        <w:rPr>
          <w:rFonts w:ascii="Arial" w:hAnsi="Arial" w:cs="Arial"/>
        </w:rPr>
        <w:t>.</w:t>
      </w:r>
    </w:p>
    <w:p w14:paraId="1BE8F291" w14:textId="77777777" w:rsidR="00726538" w:rsidRPr="007F13D6" w:rsidRDefault="00954852" w:rsidP="00CE7AFC">
      <w:pPr>
        <w:keepNext/>
        <w:spacing w:before="120" w:after="120" w:line="240" w:lineRule="auto"/>
        <w:rPr>
          <w:rFonts w:ascii="Arial" w:hAnsi="Arial" w:cs="Arial"/>
          <w:color w:val="1F4E78"/>
        </w:rPr>
      </w:pPr>
      <w:r w:rsidRPr="007F13D6">
        <w:rPr>
          <w:rFonts w:ascii="Arial" w:hAnsi="Arial" w:cs="Arial"/>
          <w:b/>
          <w:color w:val="1F4E78"/>
          <w:sz w:val="18"/>
        </w:rPr>
        <w:t xml:space="preserve">Exhibit </w:t>
      </w:r>
      <w:r w:rsidR="00E500AD" w:rsidRPr="007F13D6">
        <w:rPr>
          <w:rFonts w:ascii="Arial" w:hAnsi="Arial" w:cs="Arial"/>
          <w:b/>
          <w:color w:val="1F4E78"/>
          <w:sz w:val="18"/>
        </w:rPr>
        <w:t>1</w:t>
      </w:r>
      <w:r w:rsidRPr="007F13D6">
        <w:rPr>
          <w:rFonts w:ascii="Arial" w:hAnsi="Arial" w:cs="Arial"/>
          <w:b/>
          <w:color w:val="1F4E78"/>
          <w:sz w:val="18"/>
        </w:rPr>
        <w:t>. The three analytical objects</w:t>
      </w:r>
    </w:p>
    <w:tbl>
      <w:tblPr>
        <w:tblW w:w="9648" w:type="dxa"/>
        <w:jc w:val="center"/>
        <w:tblLayout w:type="fixed"/>
        <w:tblLook w:val="04A0" w:firstRow="1" w:lastRow="0" w:firstColumn="1" w:lastColumn="0" w:noHBand="0" w:noVBand="1"/>
      </w:tblPr>
      <w:tblGrid>
        <w:gridCol w:w="2736"/>
        <w:gridCol w:w="6912"/>
      </w:tblGrid>
      <w:tr w:rsidR="00726538" w:rsidRPr="007F13D6" w14:paraId="22BD292E" w14:textId="77777777" w:rsidTr="007047D3">
        <w:trPr>
          <w:cantSplit/>
          <w:tblHeader/>
          <w:jc w:val="center"/>
        </w:trPr>
        <w:tc>
          <w:tcPr>
            <w:tcW w:w="2736" w:type="dxa"/>
            <w:tcBorders>
              <w:bottom w:val="single" w:sz="8" w:space="0" w:color="FFFFFF"/>
            </w:tcBorders>
            <w:shd w:val="clear" w:color="auto" w:fill="1F4E78"/>
            <w:tcMar>
              <w:top w:w="70" w:type="dxa"/>
              <w:left w:w="80" w:type="dxa"/>
              <w:bottom w:w="70" w:type="dxa"/>
              <w:right w:w="80" w:type="dxa"/>
            </w:tcMar>
            <w:vAlign w:val="center"/>
          </w:tcPr>
          <w:p w14:paraId="52AE705A" w14:textId="77777777" w:rsidR="00726538" w:rsidRPr="007F13D6" w:rsidRDefault="00954852" w:rsidP="009430B5">
            <w:pPr>
              <w:spacing w:after="0" w:line="240" w:lineRule="auto"/>
              <w:rPr>
                <w:rFonts w:ascii="Arial" w:hAnsi="Arial" w:cs="Arial"/>
              </w:rPr>
            </w:pPr>
            <w:r w:rsidRPr="007F13D6">
              <w:rPr>
                <w:rFonts w:ascii="Arial" w:hAnsi="Arial" w:cs="Arial"/>
                <w:b/>
                <w:color w:val="FFFFFF"/>
                <w:sz w:val="17"/>
              </w:rPr>
              <w:t>Analytical object</w:t>
            </w:r>
          </w:p>
        </w:tc>
        <w:tc>
          <w:tcPr>
            <w:tcW w:w="6912" w:type="dxa"/>
            <w:tcBorders>
              <w:bottom w:val="single" w:sz="8" w:space="0" w:color="FFFFFF"/>
            </w:tcBorders>
            <w:shd w:val="clear" w:color="auto" w:fill="1F4E78"/>
            <w:tcMar>
              <w:top w:w="70" w:type="dxa"/>
              <w:left w:w="80" w:type="dxa"/>
              <w:bottom w:w="70" w:type="dxa"/>
              <w:right w:w="80" w:type="dxa"/>
            </w:tcMar>
            <w:vAlign w:val="center"/>
          </w:tcPr>
          <w:p w14:paraId="09191812" w14:textId="77777777" w:rsidR="00726538" w:rsidRPr="007F13D6" w:rsidRDefault="00954852" w:rsidP="009430B5">
            <w:pPr>
              <w:spacing w:after="0" w:line="240" w:lineRule="auto"/>
              <w:rPr>
                <w:rFonts w:ascii="Arial" w:hAnsi="Arial" w:cs="Arial"/>
              </w:rPr>
            </w:pPr>
            <w:r w:rsidRPr="007F13D6">
              <w:rPr>
                <w:rFonts w:ascii="Arial" w:hAnsi="Arial" w:cs="Arial"/>
                <w:b/>
                <w:color w:val="FFFFFF"/>
                <w:sz w:val="17"/>
              </w:rPr>
              <w:t>Role in the analysis</w:t>
            </w:r>
          </w:p>
        </w:tc>
      </w:tr>
      <w:tr w:rsidR="00726538" w:rsidRPr="007F13D6" w14:paraId="1C089FE5" w14:textId="77777777" w:rsidTr="007047D3">
        <w:trPr>
          <w:cantSplit/>
          <w:jc w:val="center"/>
        </w:trPr>
        <w:tc>
          <w:tcPr>
            <w:tcW w:w="2736" w:type="dxa"/>
            <w:tcBorders>
              <w:bottom w:val="single" w:sz="4" w:space="0" w:color="B7B7B7"/>
            </w:tcBorders>
            <w:tcMar>
              <w:top w:w="70" w:type="dxa"/>
              <w:left w:w="80" w:type="dxa"/>
              <w:bottom w:w="70" w:type="dxa"/>
              <w:right w:w="80" w:type="dxa"/>
            </w:tcMar>
            <w:vAlign w:val="center"/>
          </w:tcPr>
          <w:p w14:paraId="4DE19DDB" w14:textId="77777777" w:rsidR="00726538" w:rsidRPr="007F13D6" w:rsidRDefault="00954852" w:rsidP="009430B5">
            <w:pPr>
              <w:spacing w:after="0" w:line="240" w:lineRule="auto"/>
              <w:rPr>
                <w:rFonts w:ascii="Arial" w:hAnsi="Arial" w:cs="Arial"/>
              </w:rPr>
            </w:pPr>
            <w:r w:rsidRPr="007F13D6">
              <w:rPr>
                <w:rFonts w:ascii="Arial" w:hAnsi="Arial" w:cs="Arial"/>
                <w:color w:val="000000"/>
                <w:sz w:val="17"/>
              </w:rPr>
              <w:t xml:space="preserve">Recreated current staffing </w:t>
            </w:r>
            <w:r w:rsidR="00F22A57" w:rsidRPr="007F13D6">
              <w:rPr>
                <w:rFonts w:ascii="Arial" w:hAnsi="Arial" w:cs="Arial"/>
                <w:color w:val="000000"/>
                <w:sz w:val="17"/>
              </w:rPr>
              <w:t>model</w:t>
            </w:r>
          </w:p>
        </w:tc>
        <w:tc>
          <w:tcPr>
            <w:tcW w:w="6912" w:type="dxa"/>
            <w:tcBorders>
              <w:bottom w:val="single" w:sz="4" w:space="0" w:color="B7B7B7"/>
            </w:tcBorders>
            <w:tcMar>
              <w:top w:w="70" w:type="dxa"/>
              <w:left w:w="80" w:type="dxa"/>
              <w:bottom w:w="70" w:type="dxa"/>
              <w:right w:w="80" w:type="dxa"/>
            </w:tcMar>
            <w:vAlign w:val="center"/>
          </w:tcPr>
          <w:p w14:paraId="6371B3B9" w14:textId="77777777" w:rsidR="00726538" w:rsidRPr="007F13D6" w:rsidRDefault="00D4168D" w:rsidP="009430B5">
            <w:pPr>
              <w:spacing w:after="0" w:line="240" w:lineRule="auto"/>
              <w:rPr>
                <w:rFonts w:ascii="Arial" w:hAnsi="Arial" w:cs="Arial"/>
              </w:rPr>
            </w:pPr>
            <w:r w:rsidRPr="007F13D6">
              <w:rPr>
                <w:rFonts w:ascii="Arial" w:hAnsi="Arial" w:cs="Arial"/>
                <w:color w:val="000000"/>
                <w:sz w:val="17"/>
              </w:rPr>
              <w:t>Recreates current staffing quantities and available modeled funding estimates using Unit Count, independently obtained student counts, documented rules, maintained rate mappings, and available supplemental inputs.</w:t>
            </w:r>
          </w:p>
        </w:tc>
      </w:tr>
      <w:tr w:rsidR="00726538" w:rsidRPr="007F13D6" w14:paraId="23D60DA7" w14:textId="77777777" w:rsidTr="007047D3">
        <w:trPr>
          <w:cantSplit/>
          <w:jc w:val="center"/>
        </w:trPr>
        <w:tc>
          <w:tcPr>
            <w:tcW w:w="2736" w:type="dxa"/>
            <w:tcBorders>
              <w:bottom w:val="single" w:sz="4" w:space="0" w:color="B7B7B7"/>
            </w:tcBorders>
            <w:shd w:val="clear" w:color="auto" w:fill="EAF3F8"/>
            <w:tcMar>
              <w:top w:w="70" w:type="dxa"/>
              <w:left w:w="80" w:type="dxa"/>
              <w:bottom w:w="70" w:type="dxa"/>
              <w:right w:w="80" w:type="dxa"/>
            </w:tcMar>
            <w:vAlign w:val="center"/>
          </w:tcPr>
          <w:p w14:paraId="11EAC5F2" w14:textId="77777777" w:rsidR="00726538" w:rsidRPr="007F13D6" w:rsidRDefault="00954852" w:rsidP="009430B5">
            <w:pPr>
              <w:spacing w:after="0" w:line="240" w:lineRule="auto"/>
              <w:rPr>
                <w:rFonts w:ascii="Arial" w:hAnsi="Arial" w:cs="Arial"/>
              </w:rPr>
            </w:pPr>
            <w:r w:rsidRPr="007F13D6">
              <w:rPr>
                <w:rFonts w:ascii="Arial" w:hAnsi="Arial" w:cs="Arial"/>
                <w:color w:val="000000"/>
                <w:sz w:val="17"/>
              </w:rPr>
              <w:t>IV&amp;V proposed model</w:t>
            </w:r>
          </w:p>
        </w:tc>
        <w:tc>
          <w:tcPr>
            <w:tcW w:w="6912" w:type="dxa"/>
            <w:tcBorders>
              <w:bottom w:val="single" w:sz="4" w:space="0" w:color="B7B7B7"/>
            </w:tcBorders>
            <w:shd w:val="clear" w:color="auto" w:fill="EAF3F8"/>
            <w:tcMar>
              <w:top w:w="70" w:type="dxa"/>
              <w:left w:w="80" w:type="dxa"/>
              <w:bottom w:w="70" w:type="dxa"/>
              <w:right w:w="80" w:type="dxa"/>
            </w:tcMar>
            <w:vAlign w:val="center"/>
          </w:tcPr>
          <w:p w14:paraId="76B89FC4" w14:textId="77777777" w:rsidR="00726538" w:rsidRPr="007F13D6" w:rsidRDefault="00B555A5" w:rsidP="009430B5">
            <w:pPr>
              <w:spacing w:after="0" w:line="240" w:lineRule="auto"/>
              <w:rPr>
                <w:rFonts w:ascii="Arial" w:hAnsi="Arial" w:cs="Arial"/>
              </w:rPr>
            </w:pPr>
            <w:r w:rsidRPr="007F13D6">
              <w:rPr>
                <w:rFonts w:ascii="Arial" w:hAnsi="Arial" w:cs="Arial"/>
                <w:color w:val="000000"/>
                <w:sz w:val="17"/>
              </w:rPr>
              <w:t>Independently implements the proposed Base, Opportunity, Operational, and Central Office formulas using common, independently sourced and reconciled inputs, along with explicit interpretation rules.</w:t>
            </w:r>
          </w:p>
        </w:tc>
      </w:tr>
      <w:tr w:rsidR="00726538" w:rsidRPr="007F13D6" w14:paraId="5AEF333F" w14:textId="77777777" w:rsidTr="007047D3">
        <w:trPr>
          <w:cantSplit/>
          <w:jc w:val="center"/>
        </w:trPr>
        <w:tc>
          <w:tcPr>
            <w:tcW w:w="2736" w:type="dxa"/>
            <w:tcBorders>
              <w:bottom w:val="single" w:sz="4" w:space="0" w:color="B7B7B7"/>
            </w:tcBorders>
            <w:tcMar>
              <w:top w:w="70" w:type="dxa"/>
              <w:left w:w="80" w:type="dxa"/>
              <w:bottom w:w="70" w:type="dxa"/>
              <w:right w:w="80" w:type="dxa"/>
            </w:tcMar>
            <w:vAlign w:val="center"/>
          </w:tcPr>
          <w:p w14:paraId="65D6856D" w14:textId="77777777" w:rsidR="00726538" w:rsidRPr="007F13D6" w:rsidRDefault="00954852" w:rsidP="009430B5">
            <w:pPr>
              <w:spacing w:after="0" w:line="240" w:lineRule="auto"/>
              <w:rPr>
                <w:rFonts w:ascii="Arial" w:hAnsi="Arial" w:cs="Arial"/>
              </w:rPr>
            </w:pPr>
            <w:r w:rsidRPr="007F13D6">
              <w:rPr>
                <w:rFonts w:ascii="Arial" w:hAnsi="Arial" w:cs="Arial"/>
                <w:color w:val="000000"/>
                <w:sz w:val="17"/>
              </w:rPr>
              <w:t>PEFC workbook as presented</w:t>
            </w:r>
          </w:p>
        </w:tc>
        <w:tc>
          <w:tcPr>
            <w:tcW w:w="6912" w:type="dxa"/>
            <w:tcBorders>
              <w:bottom w:val="single" w:sz="4" w:space="0" w:color="B7B7B7"/>
            </w:tcBorders>
            <w:tcMar>
              <w:top w:w="70" w:type="dxa"/>
              <w:left w:w="80" w:type="dxa"/>
              <w:bottom w:w="70" w:type="dxa"/>
              <w:right w:w="80" w:type="dxa"/>
            </w:tcMar>
            <w:vAlign w:val="center"/>
          </w:tcPr>
          <w:p w14:paraId="71C9848E" w14:textId="77777777" w:rsidR="00726538" w:rsidRPr="007F13D6" w:rsidRDefault="00BB7D91" w:rsidP="009430B5">
            <w:pPr>
              <w:spacing w:after="0" w:line="240" w:lineRule="auto"/>
              <w:rPr>
                <w:rFonts w:ascii="Arial" w:hAnsi="Arial" w:cs="Arial"/>
              </w:rPr>
            </w:pPr>
            <w:r w:rsidRPr="007F13D6">
              <w:rPr>
                <w:rFonts w:ascii="Arial" w:hAnsi="Arial" w:cs="Arial"/>
                <w:color w:val="000000"/>
                <w:sz w:val="17"/>
              </w:rPr>
              <w:t>Serves as the reference implementation for validating the proposed model. It is evaluated at face value, including its source inputs, calculation units, formulas, displayed totals, and scope treatment.</w:t>
            </w:r>
          </w:p>
        </w:tc>
      </w:tr>
    </w:tbl>
    <w:p w14:paraId="258DD4E0" w14:textId="77777777" w:rsidR="00726538" w:rsidRPr="007F13D6" w:rsidRDefault="00954852" w:rsidP="00CE7AFC">
      <w:pPr>
        <w:spacing w:before="120" w:after="120" w:line="240" w:lineRule="auto"/>
        <w:rPr>
          <w:rFonts w:ascii="Arial" w:hAnsi="Arial" w:cs="Arial"/>
        </w:rPr>
      </w:pPr>
      <w:r w:rsidRPr="007F13D6">
        <w:rPr>
          <w:rFonts w:ascii="Arial" w:hAnsi="Arial" w:cs="Arial"/>
          <w:i/>
          <w:color w:val="666666"/>
          <w:sz w:val="16"/>
        </w:rPr>
        <w:t>Source: README.md; scripts 02–11; maintained model labels in 00_settings.R.</w:t>
      </w:r>
    </w:p>
    <w:p w14:paraId="4D2C58CF" w14:textId="77777777" w:rsidR="00726538" w:rsidRPr="007F13D6" w:rsidRDefault="00DD20EE" w:rsidP="00CE7AFC">
      <w:pPr>
        <w:pStyle w:val="Heading2"/>
        <w:spacing w:before="120" w:after="120" w:line="240" w:lineRule="auto"/>
        <w:rPr>
          <w:rFonts w:ascii="Arial" w:hAnsi="Arial" w:cs="Arial"/>
        </w:rPr>
      </w:pPr>
      <w:bookmarkStart w:id="14" w:name="_Toc237512549"/>
      <w:r w:rsidRPr="007F13D6">
        <w:rPr>
          <w:rFonts w:ascii="Arial" w:hAnsi="Arial" w:cs="Arial"/>
        </w:rPr>
        <w:t>2</w:t>
      </w:r>
      <w:r w:rsidR="00D96547" w:rsidRPr="007F13D6">
        <w:rPr>
          <w:rFonts w:ascii="Arial" w:hAnsi="Arial" w:cs="Arial"/>
        </w:rPr>
        <w:t xml:space="preserve">.1 </w:t>
      </w:r>
      <w:r w:rsidR="00954852" w:rsidRPr="007F13D6">
        <w:rPr>
          <w:rFonts w:ascii="Arial" w:hAnsi="Arial" w:cs="Arial"/>
        </w:rPr>
        <w:t>Scope and interpretation</w:t>
      </w:r>
      <w:bookmarkEnd w:id="14"/>
    </w:p>
    <w:p w14:paraId="3957E952" w14:textId="247C452E" w:rsidR="00726538" w:rsidRPr="007F13D6" w:rsidRDefault="00954852" w:rsidP="00CE7AFC">
      <w:pPr>
        <w:pStyle w:val="BodyText"/>
        <w:keepLines/>
        <w:spacing w:before="120" w:line="240" w:lineRule="auto"/>
        <w:rPr>
          <w:rFonts w:ascii="Arial" w:hAnsi="Arial" w:cs="Arial"/>
        </w:rPr>
      </w:pPr>
      <w:r w:rsidRPr="007F13D6">
        <w:rPr>
          <w:rFonts w:ascii="Arial" w:hAnsi="Arial" w:cs="Arial"/>
        </w:rPr>
        <w:t xml:space="preserve">The primary comparison uses School Year 2025–26 data and a September 30, </w:t>
      </w:r>
      <w:r w:rsidR="00031EE3" w:rsidRPr="007F13D6">
        <w:rPr>
          <w:rFonts w:ascii="Arial" w:hAnsi="Arial" w:cs="Arial"/>
        </w:rPr>
        <w:t>2025,</w:t>
      </w:r>
      <w:r w:rsidRPr="007F13D6">
        <w:rPr>
          <w:rFonts w:ascii="Arial" w:hAnsi="Arial" w:cs="Arial"/>
        </w:rPr>
        <w:t xml:space="preserve"> count date. It includes 43 LEAs: 19 districts and 24 charters. Bryan Allen Stevenson School of Excellence (BASSE) remains included. Delaware Air Force Base (DAFB) is excluded because it does not receive state funding; source-level DAFB records are retained only where needed to audit the PEFC workbook.</w:t>
      </w:r>
    </w:p>
    <w:p w14:paraId="7C9ECCBF" w14:textId="77777777" w:rsidR="00E500AD" w:rsidRPr="007F13D6" w:rsidRDefault="00E500AD" w:rsidP="00CE7AFC">
      <w:pPr>
        <w:keepNext/>
        <w:spacing w:before="120" w:after="120" w:line="240" w:lineRule="auto"/>
        <w:rPr>
          <w:rFonts w:ascii="Arial" w:hAnsi="Arial" w:cs="Arial"/>
        </w:rPr>
      </w:pPr>
      <w:r w:rsidRPr="007F13D6">
        <w:rPr>
          <w:rFonts w:ascii="Arial" w:hAnsi="Arial" w:cs="Arial"/>
          <w:b/>
          <w:color w:val="1F4E78"/>
          <w:sz w:val="18"/>
        </w:rPr>
        <w:lastRenderedPageBreak/>
        <w:t xml:space="preserve">Exhibit 2. IV&amp;V analysis </w:t>
      </w:r>
      <w:proofErr w:type="gramStart"/>
      <w:r w:rsidRPr="007F13D6">
        <w:rPr>
          <w:rFonts w:ascii="Arial" w:hAnsi="Arial" w:cs="Arial"/>
          <w:b/>
          <w:color w:val="1F4E78"/>
          <w:sz w:val="18"/>
        </w:rPr>
        <w:t>at a glance</w:t>
      </w:r>
      <w:proofErr w:type="gramEnd"/>
    </w:p>
    <w:tbl>
      <w:tblPr>
        <w:tblW w:w="9648" w:type="dxa"/>
        <w:jc w:val="center"/>
        <w:tblLayout w:type="fixed"/>
        <w:tblLook w:val="04A0" w:firstRow="1" w:lastRow="0" w:firstColumn="1" w:lastColumn="0" w:noHBand="0" w:noVBand="1"/>
      </w:tblPr>
      <w:tblGrid>
        <w:gridCol w:w="2736"/>
        <w:gridCol w:w="6912"/>
      </w:tblGrid>
      <w:tr w:rsidR="00E500AD" w:rsidRPr="007F13D6" w14:paraId="702009D7" w14:textId="77777777" w:rsidTr="007047D3">
        <w:trPr>
          <w:cantSplit/>
          <w:tblHeader/>
          <w:jc w:val="center"/>
        </w:trPr>
        <w:tc>
          <w:tcPr>
            <w:tcW w:w="2736" w:type="dxa"/>
            <w:tcBorders>
              <w:bottom w:val="single" w:sz="8" w:space="0" w:color="FFFFFF"/>
            </w:tcBorders>
            <w:shd w:val="clear" w:color="auto" w:fill="1F4E78"/>
            <w:tcMar>
              <w:top w:w="70" w:type="dxa"/>
              <w:left w:w="80" w:type="dxa"/>
              <w:bottom w:w="70" w:type="dxa"/>
              <w:right w:w="80" w:type="dxa"/>
            </w:tcMar>
            <w:vAlign w:val="center"/>
          </w:tcPr>
          <w:p w14:paraId="7321B30B" w14:textId="77777777" w:rsidR="00E500AD" w:rsidRPr="007F13D6" w:rsidRDefault="00E500AD" w:rsidP="009430B5">
            <w:pPr>
              <w:spacing w:after="0" w:line="240" w:lineRule="auto"/>
              <w:rPr>
                <w:rFonts w:ascii="Arial" w:hAnsi="Arial" w:cs="Arial"/>
              </w:rPr>
            </w:pPr>
            <w:r w:rsidRPr="007F13D6">
              <w:rPr>
                <w:rFonts w:ascii="Arial" w:hAnsi="Arial" w:cs="Arial"/>
                <w:b/>
                <w:color w:val="FFFFFF"/>
                <w:sz w:val="18"/>
              </w:rPr>
              <w:t>Measure</w:t>
            </w:r>
          </w:p>
        </w:tc>
        <w:tc>
          <w:tcPr>
            <w:tcW w:w="6912" w:type="dxa"/>
            <w:tcBorders>
              <w:bottom w:val="single" w:sz="8" w:space="0" w:color="FFFFFF"/>
            </w:tcBorders>
            <w:shd w:val="clear" w:color="auto" w:fill="1F4E78"/>
            <w:tcMar>
              <w:top w:w="70" w:type="dxa"/>
              <w:left w:w="80" w:type="dxa"/>
              <w:bottom w:w="70" w:type="dxa"/>
              <w:right w:w="80" w:type="dxa"/>
            </w:tcMar>
            <w:vAlign w:val="center"/>
          </w:tcPr>
          <w:p w14:paraId="6EDEB058" w14:textId="77777777" w:rsidR="00E500AD" w:rsidRPr="007F13D6" w:rsidRDefault="00E500AD" w:rsidP="009430B5">
            <w:pPr>
              <w:spacing w:after="0" w:line="240" w:lineRule="auto"/>
              <w:rPr>
                <w:rFonts w:ascii="Arial" w:hAnsi="Arial" w:cs="Arial"/>
              </w:rPr>
            </w:pPr>
            <w:r w:rsidRPr="007F13D6">
              <w:rPr>
                <w:rFonts w:ascii="Arial" w:hAnsi="Arial" w:cs="Arial"/>
                <w:b/>
                <w:color w:val="FFFFFF"/>
                <w:sz w:val="18"/>
              </w:rPr>
              <w:t>Current IV&amp;V status</w:t>
            </w:r>
          </w:p>
        </w:tc>
      </w:tr>
      <w:tr w:rsidR="00E500AD" w:rsidRPr="007F13D6" w14:paraId="4BA829CC" w14:textId="77777777" w:rsidTr="007047D3">
        <w:trPr>
          <w:cantSplit/>
          <w:jc w:val="center"/>
        </w:trPr>
        <w:tc>
          <w:tcPr>
            <w:tcW w:w="2736" w:type="dxa"/>
            <w:tcBorders>
              <w:bottom w:val="single" w:sz="4" w:space="0" w:color="B7B7B7"/>
            </w:tcBorders>
            <w:tcMar>
              <w:top w:w="70" w:type="dxa"/>
              <w:left w:w="80" w:type="dxa"/>
              <w:bottom w:w="70" w:type="dxa"/>
              <w:right w:w="80" w:type="dxa"/>
            </w:tcMar>
            <w:vAlign w:val="center"/>
          </w:tcPr>
          <w:p w14:paraId="18267046" w14:textId="77777777" w:rsidR="00E500AD" w:rsidRPr="007F13D6" w:rsidRDefault="00E500AD" w:rsidP="009430B5">
            <w:pPr>
              <w:spacing w:after="0" w:line="240" w:lineRule="auto"/>
              <w:rPr>
                <w:rFonts w:ascii="Arial" w:hAnsi="Arial" w:cs="Arial"/>
              </w:rPr>
            </w:pPr>
            <w:r w:rsidRPr="007F13D6">
              <w:rPr>
                <w:rFonts w:ascii="Arial" w:hAnsi="Arial" w:cs="Arial"/>
                <w:color w:val="000000"/>
                <w:sz w:val="18"/>
              </w:rPr>
              <w:t>Primary scope</w:t>
            </w:r>
          </w:p>
        </w:tc>
        <w:tc>
          <w:tcPr>
            <w:tcW w:w="6912" w:type="dxa"/>
            <w:tcBorders>
              <w:bottom w:val="single" w:sz="4" w:space="0" w:color="B7B7B7"/>
            </w:tcBorders>
            <w:tcMar>
              <w:top w:w="70" w:type="dxa"/>
              <w:left w:w="80" w:type="dxa"/>
              <w:bottom w:w="70" w:type="dxa"/>
              <w:right w:w="80" w:type="dxa"/>
            </w:tcMar>
            <w:vAlign w:val="center"/>
          </w:tcPr>
          <w:p w14:paraId="15ADE7F4" w14:textId="77777777" w:rsidR="00E500AD" w:rsidRPr="007F13D6" w:rsidRDefault="00E500AD" w:rsidP="009430B5">
            <w:pPr>
              <w:spacing w:after="0" w:line="240" w:lineRule="auto"/>
              <w:rPr>
                <w:rFonts w:ascii="Arial" w:hAnsi="Arial" w:cs="Arial"/>
              </w:rPr>
            </w:pPr>
            <w:r w:rsidRPr="007F13D6">
              <w:rPr>
                <w:rFonts w:ascii="Arial" w:hAnsi="Arial" w:cs="Arial"/>
                <w:color w:val="000000"/>
                <w:sz w:val="18"/>
              </w:rPr>
              <w:t>43 LEAs: 19 districts and 24 charters</w:t>
            </w:r>
          </w:p>
        </w:tc>
      </w:tr>
      <w:tr w:rsidR="00E500AD" w:rsidRPr="007F13D6" w14:paraId="08D558CB" w14:textId="77777777" w:rsidTr="007047D3">
        <w:trPr>
          <w:cantSplit/>
          <w:jc w:val="center"/>
        </w:trPr>
        <w:tc>
          <w:tcPr>
            <w:tcW w:w="2736" w:type="dxa"/>
            <w:tcBorders>
              <w:bottom w:val="single" w:sz="4" w:space="0" w:color="B7B7B7"/>
            </w:tcBorders>
            <w:shd w:val="clear" w:color="auto" w:fill="EAF3F8"/>
            <w:tcMar>
              <w:top w:w="70" w:type="dxa"/>
              <w:left w:w="80" w:type="dxa"/>
              <w:bottom w:w="70" w:type="dxa"/>
              <w:right w:w="80" w:type="dxa"/>
            </w:tcMar>
            <w:vAlign w:val="center"/>
          </w:tcPr>
          <w:p w14:paraId="0D584CC1" w14:textId="77777777" w:rsidR="00E500AD" w:rsidRPr="007F13D6" w:rsidRDefault="00E500AD" w:rsidP="009430B5">
            <w:pPr>
              <w:spacing w:after="0" w:line="240" w:lineRule="auto"/>
              <w:rPr>
                <w:rFonts w:ascii="Arial" w:hAnsi="Arial" w:cs="Arial"/>
              </w:rPr>
            </w:pPr>
            <w:r w:rsidRPr="007F13D6">
              <w:rPr>
                <w:rFonts w:ascii="Arial" w:hAnsi="Arial" w:cs="Arial"/>
                <w:color w:val="000000"/>
                <w:sz w:val="18"/>
              </w:rPr>
              <w:t>Students</w:t>
            </w:r>
          </w:p>
        </w:tc>
        <w:tc>
          <w:tcPr>
            <w:tcW w:w="6912" w:type="dxa"/>
            <w:tcBorders>
              <w:bottom w:val="single" w:sz="4" w:space="0" w:color="B7B7B7"/>
            </w:tcBorders>
            <w:shd w:val="clear" w:color="auto" w:fill="EAF3F8"/>
            <w:tcMar>
              <w:top w:w="70" w:type="dxa"/>
              <w:left w:w="80" w:type="dxa"/>
              <w:bottom w:w="70" w:type="dxa"/>
              <w:right w:w="80" w:type="dxa"/>
            </w:tcMar>
            <w:vAlign w:val="center"/>
          </w:tcPr>
          <w:p w14:paraId="0F855332" w14:textId="77777777" w:rsidR="00E500AD" w:rsidRPr="007F13D6" w:rsidRDefault="00E500AD" w:rsidP="009430B5">
            <w:pPr>
              <w:spacing w:after="0" w:line="240" w:lineRule="auto"/>
              <w:rPr>
                <w:rFonts w:ascii="Arial" w:hAnsi="Arial" w:cs="Arial"/>
              </w:rPr>
            </w:pPr>
            <w:r w:rsidRPr="007F13D6">
              <w:rPr>
                <w:rFonts w:ascii="Arial" w:hAnsi="Arial" w:cs="Arial"/>
                <w:color w:val="000000"/>
                <w:sz w:val="18"/>
              </w:rPr>
              <w:t>140,829</w:t>
            </w:r>
          </w:p>
        </w:tc>
      </w:tr>
      <w:tr w:rsidR="00E500AD" w:rsidRPr="007F13D6" w14:paraId="755CB748" w14:textId="77777777" w:rsidTr="007047D3">
        <w:trPr>
          <w:cantSplit/>
          <w:jc w:val="center"/>
        </w:trPr>
        <w:tc>
          <w:tcPr>
            <w:tcW w:w="2736" w:type="dxa"/>
            <w:tcBorders>
              <w:bottom w:val="single" w:sz="4" w:space="0" w:color="B7B7B7"/>
            </w:tcBorders>
            <w:tcMar>
              <w:top w:w="70" w:type="dxa"/>
              <w:left w:w="80" w:type="dxa"/>
              <w:bottom w:w="70" w:type="dxa"/>
              <w:right w:w="80" w:type="dxa"/>
            </w:tcMar>
            <w:vAlign w:val="center"/>
          </w:tcPr>
          <w:p w14:paraId="7BBC1CFD" w14:textId="77777777" w:rsidR="00E500AD" w:rsidRPr="007F13D6" w:rsidRDefault="00E500AD" w:rsidP="009430B5">
            <w:pPr>
              <w:spacing w:after="0" w:line="240" w:lineRule="auto"/>
              <w:rPr>
                <w:rFonts w:ascii="Arial" w:hAnsi="Arial" w:cs="Arial"/>
              </w:rPr>
            </w:pPr>
            <w:r w:rsidRPr="007F13D6">
              <w:rPr>
                <w:rFonts w:ascii="Arial" w:hAnsi="Arial" w:cs="Arial"/>
                <w:color w:val="000000"/>
                <w:sz w:val="18"/>
              </w:rPr>
              <w:t>Official coded schools</w:t>
            </w:r>
          </w:p>
        </w:tc>
        <w:tc>
          <w:tcPr>
            <w:tcW w:w="6912" w:type="dxa"/>
            <w:tcBorders>
              <w:bottom w:val="single" w:sz="4" w:space="0" w:color="B7B7B7"/>
            </w:tcBorders>
            <w:tcMar>
              <w:top w:w="70" w:type="dxa"/>
              <w:left w:w="80" w:type="dxa"/>
              <w:bottom w:w="70" w:type="dxa"/>
              <w:right w:w="80" w:type="dxa"/>
            </w:tcMar>
            <w:vAlign w:val="center"/>
          </w:tcPr>
          <w:p w14:paraId="7AB10D6B" w14:textId="77777777" w:rsidR="00E500AD" w:rsidRPr="007F13D6" w:rsidRDefault="00E500AD" w:rsidP="009430B5">
            <w:pPr>
              <w:spacing w:after="0" w:line="240" w:lineRule="auto"/>
              <w:rPr>
                <w:rFonts w:ascii="Arial" w:hAnsi="Arial" w:cs="Arial"/>
              </w:rPr>
            </w:pPr>
            <w:r w:rsidRPr="007F13D6">
              <w:rPr>
                <w:rFonts w:ascii="Arial" w:hAnsi="Arial" w:cs="Arial"/>
                <w:color w:val="000000"/>
                <w:sz w:val="18"/>
              </w:rPr>
              <w:t>229: 205 district schools and 24 charter organization records</w:t>
            </w:r>
          </w:p>
        </w:tc>
      </w:tr>
      <w:tr w:rsidR="00E500AD" w:rsidRPr="007F13D6" w14:paraId="05A10A8A" w14:textId="77777777" w:rsidTr="007047D3">
        <w:trPr>
          <w:cantSplit/>
          <w:jc w:val="center"/>
        </w:trPr>
        <w:tc>
          <w:tcPr>
            <w:tcW w:w="2736" w:type="dxa"/>
            <w:tcBorders>
              <w:bottom w:val="single" w:sz="4" w:space="0" w:color="B7B7B7"/>
            </w:tcBorders>
            <w:shd w:val="clear" w:color="auto" w:fill="EAF3F8"/>
            <w:tcMar>
              <w:top w:w="70" w:type="dxa"/>
              <w:left w:w="80" w:type="dxa"/>
              <w:bottom w:w="70" w:type="dxa"/>
              <w:right w:w="80" w:type="dxa"/>
            </w:tcMar>
            <w:vAlign w:val="center"/>
          </w:tcPr>
          <w:p w14:paraId="00F03747" w14:textId="77777777" w:rsidR="00E500AD" w:rsidRPr="007F13D6" w:rsidRDefault="00E500AD" w:rsidP="009430B5">
            <w:pPr>
              <w:spacing w:after="0" w:line="240" w:lineRule="auto"/>
              <w:rPr>
                <w:rFonts w:ascii="Arial" w:hAnsi="Arial" w:cs="Arial"/>
              </w:rPr>
            </w:pPr>
            <w:r w:rsidRPr="007F13D6">
              <w:rPr>
                <w:rFonts w:ascii="Arial" w:hAnsi="Arial" w:cs="Arial"/>
                <w:color w:val="000000"/>
                <w:sz w:val="18"/>
              </w:rPr>
              <w:t>Proposed school calculation units</w:t>
            </w:r>
          </w:p>
        </w:tc>
        <w:tc>
          <w:tcPr>
            <w:tcW w:w="6912" w:type="dxa"/>
            <w:tcBorders>
              <w:bottom w:val="single" w:sz="4" w:space="0" w:color="B7B7B7"/>
            </w:tcBorders>
            <w:shd w:val="clear" w:color="auto" w:fill="EAF3F8"/>
            <w:tcMar>
              <w:top w:w="70" w:type="dxa"/>
              <w:left w:w="80" w:type="dxa"/>
              <w:bottom w:w="70" w:type="dxa"/>
              <w:right w:w="80" w:type="dxa"/>
            </w:tcMar>
            <w:vAlign w:val="center"/>
          </w:tcPr>
          <w:p w14:paraId="1A85447C" w14:textId="77777777" w:rsidR="00E500AD" w:rsidRPr="007F13D6" w:rsidRDefault="00E500AD" w:rsidP="009430B5">
            <w:pPr>
              <w:spacing w:after="0" w:line="240" w:lineRule="auto"/>
              <w:rPr>
                <w:rFonts w:ascii="Arial" w:hAnsi="Arial" w:cs="Arial"/>
              </w:rPr>
            </w:pPr>
            <w:r w:rsidRPr="007F13D6">
              <w:rPr>
                <w:rFonts w:ascii="Arial" w:hAnsi="Arial" w:cs="Arial"/>
                <w:color w:val="000000"/>
                <w:sz w:val="18"/>
              </w:rPr>
              <w:t>253: 205 district school codes and 48 charter building units</w:t>
            </w:r>
          </w:p>
        </w:tc>
      </w:tr>
      <w:tr w:rsidR="00E500AD" w:rsidRPr="007F13D6" w14:paraId="2A03EE5A" w14:textId="77777777" w:rsidTr="007047D3">
        <w:trPr>
          <w:cantSplit/>
          <w:jc w:val="center"/>
        </w:trPr>
        <w:tc>
          <w:tcPr>
            <w:tcW w:w="2736" w:type="dxa"/>
            <w:tcBorders>
              <w:bottom w:val="single" w:sz="4" w:space="0" w:color="B7B7B7"/>
            </w:tcBorders>
            <w:tcMar>
              <w:top w:w="70" w:type="dxa"/>
              <w:left w:w="80" w:type="dxa"/>
              <w:bottom w:w="70" w:type="dxa"/>
              <w:right w:w="80" w:type="dxa"/>
            </w:tcMar>
            <w:vAlign w:val="center"/>
          </w:tcPr>
          <w:p w14:paraId="0E1E05AC" w14:textId="77777777" w:rsidR="00E500AD" w:rsidRPr="007F13D6" w:rsidRDefault="00E500AD" w:rsidP="009430B5">
            <w:pPr>
              <w:spacing w:after="0" w:line="240" w:lineRule="auto"/>
              <w:rPr>
                <w:rFonts w:ascii="Arial" w:hAnsi="Arial" w:cs="Arial"/>
              </w:rPr>
            </w:pPr>
            <w:r w:rsidRPr="007F13D6">
              <w:rPr>
                <w:rFonts w:ascii="Arial" w:hAnsi="Arial" w:cs="Arial"/>
                <w:color w:val="000000"/>
                <w:sz w:val="18"/>
              </w:rPr>
              <w:t>Weighted funding pools</w:t>
            </w:r>
          </w:p>
        </w:tc>
        <w:tc>
          <w:tcPr>
            <w:tcW w:w="6912" w:type="dxa"/>
            <w:tcBorders>
              <w:bottom w:val="single" w:sz="4" w:space="0" w:color="B7B7B7"/>
            </w:tcBorders>
            <w:tcMar>
              <w:top w:w="70" w:type="dxa"/>
              <w:left w:w="80" w:type="dxa"/>
              <w:bottom w:w="70" w:type="dxa"/>
              <w:right w:w="80" w:type="dxa"/>
            </w:tcMar>
            <w:vAlign w:val="center"/>
          </w:tcPr>
          <w:p w14:paraId="30CC55CA" w14:textId="77777777" w:rsidR="00E500AD" w:rsidRPr="007F13D6" w:rsidRDefault="00E500AD" w:rsidP="009430B5">
            <w:pPr>
              <w:spacing w:after="0" w:line="240" w:lineRule="auto"/>
              <w:rPr>
                <w:rFonts w:ascii="Arial" w:hAnsi="Arial" w:cs="Arial"/>
              </w:rPr>
            </w:pPr>
            <w:r w:rsidRPr="007F13D6">
              <w:rPr>
                <w:rFonts w:ascii="Arial" w:hAnsi="Arial" w:cs="Arial"/>
                <w:color w:val="000000"/>
                <w:sz w:val="18"/>
              </w:rPr>
              <w:t>$163.0M Opportunity + $279.0268M Operational</w:t>
            </w:r>
          </w:p>
        </w:tc>
      </w:tr>
    </w:tbl>
    <w:p w14:paraId="73DBCB38" w14:textId="77777777" w:rsidR="00E500AD" w:rsidRPr="007F13D6" w:rsidRDefault="00E500AD" w:rsidP="00CE7AFC">
      <w:pPr>
        <w:spacing w:before="120" w:after="120" w:line="240" w:lineRule="auto"/>
        <w:rPr>
          <w:rFonts w:ascii="Arial" w:hAnsi="Arial" w:cs="Arial"/>
        </w:rPr>
      </w:pPr>
      <w:r w:rsidRPr="007F13D6">
        <w:rPr>
          <w:rFonts w:ascii="Arial" w:hAnsi="Arial" w:cs="Arial"/>
          <w:i/>
          <w:color w:val="666666"/>
          <w:sz w:val="16"/>
        </w:rPr>
        <w:t>Source: 00_run_settings.csv; 11_final_qc.csv; Step 02 and Step 06 validated outputs.</w:t>
      </w:r>
    </w:p>
    <w:p w14:paraId="521027B4" w14:textId="77777777" w:rsidR="00726538" w:rsidRPr="007F13D6" w:rsidRDefault="00954852" w:rsidP="00CE7AFC">
      <w:pPr>
        <w:pStyle w:val="BodyText"/>
        <w:keepLines/>
        <w:spacing w:before="120" w:line="240" w:lineRule="auto"/>
        <w:rPr>
          <w:rFonts w:ascii="Arial" w:hAnsi="Arial" w:cs="Arial"/>
        </w:rPr>
      </w:pPr>
      <w:r w:rsidRPr="007F13D6">
        <w:rPr>
          <w:rFonts w:ascii="Arial" w:hAnsi="Arial" w:cs="Arial"/>
        </w:rPr>
        <w:t>The report uses several evidence labels. “Confirmed” means the comparison mapping, quantity, and common rate are established in the maintained project files. “Provisional” means a working treatment is implemented but still requires confirmation. “Not yet estimable” means a required current input, rate, or allocation is unavailable. Missing values are left missing rather than being converted to zero.</w:t>
      </w:r>
    </w:p>
    <w:p w14:paraId="50D00C77" w14:textId="77777777" w:rsidR="00726538" w:rsidRPr="007F13D6" w:rsidRDefault="00DD20EE" w:rsidP="00CE7AFC">
      <w:pPr>
        <w:pStyle w:val="Heading2"/>
        <w:spacing w:before="120" w:after="120" w:line="240" w:lineRule="auto"/>
        <w:rPr>
          <w:rFonts w:ascii="Arial" w:hAnsi="Arial" w:cs="Arial"/>
        </w:rPr>
      </w:pPr>
      <w:bookmarkStart w:id="15" w:name="_Toc237512550"/>
      <w:r w:rsidRPr="007F13D6">
        <w:rPr>
          <w:rFonts w:ascii="Arial" w:hAnsi="Arial" w:cs="Arial"/>
        </w:rPr>
        <w:t>2</w:t>
      </w:r>
      <w:r w:rsidR="00D96547" w:rsidRPr="007F13D6">
        <w:rPr>
          <w:rFonts w:ascii="Arial" w:hAnsi="Arial" w:cs="Arial"/>
        </w:rPr>
        <w:t xml:space="preserve">.2 </w:t>
      </w:r>
      <w:r w:rsidR="00954852" w:rsidRPr="007F13D6">
        <w:rPr>
          <w:rFonts w:ascii="Arial" w:hAnsi="Arial" w:cs="Arial"/>
        </w:rPr>
        <w:t>Official school codes and funding calculation units</w:t>
      </w:r>
      <w:bookmarkEnd w:id="15"/>
    </w:p>
    <w:p w14:paraId="587B1688" w14:textId="77777777" w:rsidR="00726538" w:rsidRPr="007F13D6" w:rsidRDefault="004249D9" w:rsidP="00CE7AFC">
      <w:pPr>
        <w:pStyle w:val="BodyText"/>
        <w:keepLines/>
        <w:spacing w:before="120" w:line="240" w:lineRule="auto"/>
        <w:rPr>
          <w:rFonts w:ascii="Arial" w:hAnsi="Arial" w:cs="Arial"/>
        </w:rPr>
      </w:pPr>
      <w:r w:rsidRPr="007F13D6">
        <w:rPr>
          <w:rFonts w:ascii="Arial" w:hAnsi="Arial" w:cs="Arial"/>
        </w:rPr>
        <w:t xml:space="preserve">A school code is an official administrative identifier. A calculation unit is the school or building row to which a funding formula is applied. </w:t>
      </w:r>
      <w:r w:rsidR="00721BAB" w:rsidRPr="007F13D6">
        <w:rPr>
          <w:rFonts w:ascii="Arial" w:hAnsi="Arial" w:cs="Arial"/>
        </w:rPr>
        <w:t>Under the current administrative structure used in this analysis, each recognized district school is represented by an official school code, while each charter organization is assigned one official school code even when it operates multiple buildings or grade-span programs</w:t>
      </w:r>
      <w:r w:rsidR="00954852" w:rsidRPr="007F13D6">
        <w:rPr>
          <w:rFonts w:ascii="Arial" w:hAnsi="Arial" w:cs="Arial"/>
        </w:rPr>
        <w:t>.</w:t>
      </w:r>
    </w:p>
    <w:p w14:paraId="051C4F6E" w14:textId="77777777" w:rsidR="00726538" w:rsidRPr="007F13D6" w:rsidRDefault="00954852" w:rsidP="00CE7AFC">
      <w:pPr>
        <w:pStyle w:val="BodyText"/>
        <w:keepLines/>
        <w:spacing w:before="120" w:line="240" w:lineRule="auto"/>
        <w:rPr>
          <w:rFonts w:ascii="Arial" w:hAnsi="Arial" w:cs="Arial"/>
        </w:rPr>
      </w:pPr>
      <w:r w:rsidRPr="007F13D6">
        <w:rPr>
          <w:rFonts w:ascii="Arial" w:hAnsi="Arial" w:cs="Arial"/>
        </w:rPr>
        <w:t xml:space="preserve">The PEFC workbook uses a different proposed representation for certain charter organizations. It identifies separate charter buildings as calculation units for school-based Base formulas. This makes the charter funding structure more </w:t>
      </w:r>
      <w:proofErr w:type="gramStart"/>
      <w:r w:rsidRPr="007F13D6">
        <w:rPr>
          <w:rFonts w:ascii="Arial" w:hAnsi="Arial" w:cs="Arial"/>
        </w:rPr>
        <w:t>similar to</w:t>
      </w:r>
      <w:proofErr w:type="gramEnd"/>
      <w:r w:rsidRPr="007F13D6">
        <w:rPr>
          <w:rFonts w:ascii="Arial" w:hAnsi="Arial" w:cs="Arial"/>
        </w:rPr>
        <w:t xml:space="preserve"> the district structure for formulas such as one principal per school. </w:t>
      </w:r>
    </w:p>
    <w:p w14:paraId="2A1FD148" w14:textId="77777777"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Exhibit 3. Current administrative representation and proposed funding representation</w:t>
      </w:r>
    </w:p>
    <w:tbl>
      <w:tblPr>
        <w:tblW w:w="9432" w:type="dxa"/>
        <w:jc w:val="center"/>
        <w:tblLayout w:type="fixed"/>
        <w:tblLook w:val="04A0" w:firstRow="1" w:lastRow="0" w:firstColumn="1" w:lastColumn="0" w:noHBand="0" w:noVBand="1"/>
      </w:tblPr>
      <w:tblGrid>
        <w:gridCol w:w="1800"/>
        <w:gridCol w:w="3600"/>
        <w:gridCol w:w="4032"/>
      </w:tblGrid>
      <w:tr w:rsidR="00726538" w:rsidRPr="007F13D6" w14:paraId="709694B5" w14:textId="77777777" w:rsidTr="007047D3">
        <w:trPr>
          <w:cantSplit/>
          <w:tblHeader/>
          <w:jc w:val="center"/>
        </w:trPr>
        <w:tc>
          <w:tcPr>
            <w:tcW w:w="1800" w:type="dxa"/>
            <w:tcBorders>
              <w:bottom w:val="single" w:sz="8" w:space="0" w:color="FFFFFF"/>
            </w:tcBorders>
            <w:shd w:val="clear" w:color="auto" w:fill="1F4E78"/>
            <w:tcMar>
              <w:top w:w="70" w:type="dxa"/>
              <w:left w:w="80" w:type="dxa"/>
              <w:bottom w:w="70" w:type="dxa"/>
              <w:right w:w="80" w:type="dxa"/>
            </w:tcMar>
            <w:vAlign w:val="center"/>
          </w:tcPr>
          <w:p w14:paraId="21AC71FA" w14:textId="77777777" w:rsidR="00726538" w:rsidRPr="007F13D6" w:rsidRDefault="00954852" w:rsidP="009430B5">
            <w:pPr>
              <w:spacing w:after="0" w:line="240" w:lineRule="auto"/>
              <w:rPr>
                <w:rFonts w:ascii="Arial" w:hAnsi="Arial" w:cs="Arial"/>
              </w:rPr>
            </w:pPr>
            <w:r w:rsidRPr="007F13D6">
              <w:rPr>
                <w:rFonts w:ascii="Arial" w:hAnsi="Arial" w:cs="Arial"/>
                <w:b/>
                <w:color w:val="FFFFFF"/>
                <w:sz w:val="17"/>
              </w:rPr>
              <w:t>Entity</w:t>
            </w:r>
          </w:p>
        </w:tc>
        <w:tc>
          <w:tcPr>
            <w:tcW w:w="3600" w:type="dxa"/>
            <w:tcBorders>
              <w:bottom w:val="single" w:sz="8" w:space="0" w:color="FFFFFF"/>
            </w:tcBorders>
            <w:shd w:val="clear" w:color="auto" w:fill="1F4E78"/>
            <w:tcMar>
              <w:top w:w="70" w:type="dxa"/>
              <w:left w:w="80" w:type="dxa"/>
              <w:bottom w:w="70" w:type="dxa"/>
              <w:right w:w="80" w:type="dxa"/>
            </w:tcMar>
            <w:vAlign w:val="center"/>
          </w:tcPr>
          <w:p w14:paraId="6F9D4DD9" w14:textId="77777777" w:rsidR="00726538" w:rsidRPr="007F13D6" w:rsidRDefault="00954852" w:rsidP="009430B5">
            <w:pPr>
              <w:spacing w:after="0" w:line="240" w:lineRule="auto"/>
              <w:rPr>
                <w:rFonts w:ascii="Arial" w:hAnsi="Arial" w:cs="Arial"/>
              </w:rPr>
            </w:pPr>
            <w:r w:rsidRPr="007F13D6">
              <w:rPr>
                <w:rFonts w:ascii="Arial" w:hAnsi="Arial" w:cs="Arial"/>
                <w:b/>
                <w:color w:val="FFFFFF"/>
                <w:sz w:val="17"/>
              </w:rPr>
              <w:t>Current administrative representation</w:t>
            </w:r>
          </w:p>
        </w:tc>
        <w:tc>
          <w:tcPr>
            <w:tcW w:w="4032" w:type="dxa"/>
            <w:tcBorders>
              <w:bottom w:val="single" w:sz="8" w:space="0" w:color="FFFFFF"/>
            </w:tcBorders>
            <w:shd w:val="clear" w:color="auto" w:fill="1F4E78"/>
            <w:tcMar>
              <w:top w:w="70" w:type="dxa"/>
              <w:left w:w="80" w:type="dxa"/>
              <w:bottom w:w="70" w:type="dxa"/>
              <w:right w:w="80" w:type="dxa"/>
            </w:tcMar>
            <w:vAlign w:val="center"/>
          </w:tcPr>
          <w:p w14:paraId="00C0695C" w14:textId="77777777" w:rsidR="00726538" w:rsidRPr="007F13D6" w:rsidRDefault="00954852" w:rsidP="009430B5">
            <w:pPr>
              <w:spacing w:after="0" w:line="240" w:lineRule="auto"/>
              <w:rPr>
                <w:rFonts w:ascii="Arial" w:hAnsi="Arial" w:cs="Arial"/>
              </w:rPr>
            </w:pPr>
            <w:r w:rsidRPr="007F13D6">
              <w:rPr>
                <w:rFonts w:ascii="Arial" w:hAnsi="Arial" w:cs="Arial"/>
                <w:b/>
                <w:color w:val="FFFFFF"/>
                <w:sz w:val="17"/>
              </w:rPr>
              <w:t>Proposed funding-model representation</w:t>
            </w:r>
          </w:p>
        </w:tc>
      </w:tr>
      <w:tr w:rsidR="00726538" w:rsidRPr="007F13D6" w14:paraId="2DF9A7B1" w14:textId="77777777" w:rsidTr="007047D3">
        <w:trPr>
          <w:cantSplit/>
          <w:jc w:val="center"/>
        </w:trPr>
        <w:tc>
          <w:tcPr>
            <w:tcW w:w="1800" w:type="dxa"/>
            <w:tcBorders>
              <w:bottom w:val="single" w:sz="4" w:space="0" w:color="B7B7B7"/>
            </w:tcBorders>
            <w:tcMar>
              <w:top w:w="70" w:type="dxa"/>
              <w:left w:w="80" w:type="dxa"/>
              <w:bottom w:w="70" w:type="dxa"/>
              <w:right w:w="80" w:type="dxa"/>
            </w:tcMar>
            <w:vAlign w:val="center"/>
          </w:tcPr>
          <w:p w14:paraId="5BD3DCFD" w14:textId="77777777" w:rsidR="00726538" w:rsidRPr="007F13D6" w:rsidRDefault="00954852" w:rsidP="009430B5">
            <w:pPr>
              <w:spacing w:after="0" w:line="240" w:lineRule="auto"/>
              <w:rPr>
                <w:rFonts w:ascii="Arial" w:hAnsi="Arial" w:cs="Arial"/>
              </w:rPr>
            </w:pPr>
            <w:r w:rsidRPr="007F13D6">
              <w:rPr>
                <w:rFonts w:ascii="Arial" w:hAnsi="Arial" w:cs="Arial"/>
                <w:color w:val="000000"/>
                <w:sz w:val="17"/>
              </w:rPr>
              <w:t>Districts</w:t>
            </w:r>
          </w:p>
        </w:tc>
        <w:tc>
          <w:tcPr>
            <w:tcW w:w="3600" w:type="dxa"/>
            <w:tcBorders>
              <w:bottom w:val="single" w:sz="4" w:space="0" w:color="B7B7B7"/>
            </w:tcBorders>
            <w:tcMar>
              <w:top w:w="70" w:type="dxa"/>
              <w:left w:w="80" w:type="dxa"/>
              <w:bottom w:w="70" w:type="dxa"/>
              <w:right w:w="80" w:type="dxa"/>
            </w:tcMar>
            <w:vAlign w:val="center"/>
          </w:tcPr>
          <w:p w14:paraId="69D1B73D" w14:textId="77777777" w:rsidR="00726538" w:rsidRPr="007F13D6" w:rsidRDefault="00954852" w:rsidP="009430B5">
            <w:pPr>
              <w:spacing w:after="0" w:line="240" w:lineRule="auto"/>
              <w:rPr>
                <w:rFonts w:ascii="Arial" w:hAnsi="Arial" w:cs="Arial"/>
              </w:rPr>
            </w:pPr>
            <w:r w:rsidRPr="007F13D6">
              <w:rPr>
                <w:rFonts w:ascii="Arial" w:hAnsi="Arial" w:cs="Arial"/>
                <w:color w:val="000000"/>
                <w:sz w:val="17"/>
              </w:rPr>
              <w:t>One official school code per recognized school</w:t>
            </w:r>
            <w:r w:rsidR="00765DA9" w:rsidRPr="007F13D6">
              <w:rPr>
                <w:rFonts w:ascii="Arial" w:hAnsi="Arial" w:cs="Arial"/>
                <w:color w:val="000000"/>
                <w:sz w:val="17"/>
              </w:rPr>
              <w:t xml:space="preserve"> building</w:t>
            </w:r>
          </w:p>
        </w:tc>
        <w:tc>
          <w:tcPr>
            <w:tcW w:w="4032" w:type="dxa"/>
            <w:tcBorders>
              <w:bottom w:val="single" w:sz="4" w:space="0" w:color="B7B7B7"/>
            </w:tcBorders>
            <w:tcMar>
              <w:top w:w="70" w:type="dxa"/>
              <w:left w:w="80" w:type="dxa"/>
              <w:bottom w:w="70" w:type="dxa"/>
              <w:right w:w="80" w:type="dxa"/>
            </w:tcMar>
            <w:vAlign w:val="center"/>
          </w:tcPr>
          <w:p w14:paraId="2D6F9D7E" w14:textId="77777777" w:rsidR="00726538" w:rsidRPr="007F13D6" w:rsidRDefault="00954852" w:rsidP="009430B5">
            <w:pPr>
              <w:spacing w:after="0" w:line="240" w:lineRule="auto"/>
              <w:rPr>
                <w:rFonts w:ascii="Arial" w:hAnsi="Arial" w:cs="Arial"/>
              </w:rPr>
            </w:pPr>
            <w:r w:rsidRPr="007F13D6">
              <w:rPr>
                <w:rFonts w:ascii="Arial" w:hAnsi="Arial" w:cs="Arial"/>
                <w:color w:val="000000"/>
                <w:sz w:val="17"/>
              </w:rPr>
              <w:t>Official school code used as proposed calculation unit</w:t>
            </w:r>
          </w:p>
        </w:tc>
      </w:tr>
      <w:tr w:rsidR="00726538" w:rsidRPr="007F13D6" w14:paraId="42F44171" w14:textId="77777777" w:rsidTr="007047D3">
        <w:trPr>
          <w:cantSplit/>
          <w:jc w:val="center"/>
        </w:trPr>
        <w:tc>
          <w:tcPr>
            <w:tcW w:w="1800" w:type="dxa"/>
            <w:tcBorders>
              <w:bottom w:val="single" w:sz="4" w:space="0" w:color="B7B7B7"/>
            </w:tcBorders>
            <w:shd w:val="clear" w:color="auto" w:fill="EAF3F8"/>
            <w:tcMar>
              <w:top w:w="70" w:type="dxa"/>
              <w:left w:w="80" w:type="dxa"/>
              <w:bottom w:w="70" w:type="dxa"/>
              <w:right w:w="80" w:type="dxa"/>
            </w:tcMar>
            <w:vAlign w:val="center"/>
          </w:tcPr>
          <w:p w14:paraId="5DA2FEA0" w14:textId="77777777" w:rsidR="00726538" w:rsidRPr="007F13D6" w:rsidRDefault="00954852" w:rsidP="009430B5">
            <w:pPr>
              <w:spacing w:after="0" w:line="240" w:lineRule="auto"/>
              <w:rPr>
                <w:rFonts w:ascii="Arial" w:hAnsi="Arial" w:cs="Arial"/>
              </w:rPr>
            </w:pPr>
            <w:r w:rsidRPr="007F13D6">
              <w:rPr>
                <w:rFonts w:ascii="Arial" w:hAnsi="Arial" w:cs="Arial"/>
                <w:color w:val="000000"/>
                <w:sz w:val="17"/>
              </w:rPr>
              <w:t>Charters</w:t>
            </w:r>
          </w:p>
        </w:tc>
        <w:tc>
          <w:tcPr>
            <w:tcW w:w="3600" w:type="dxa"/>
            <w:tcBorders>
              <w:bottom w:val="single" w:sz="4" w:space="0" w:color="B7B7B7"/>
            </w:tcBorders>
            <w:shd w:val="clear" w:color="auto" w:fill="EAF3F8"/>
            <w:tcMar>
              <w:top w:w="70" w:type="dxa"/>
              <w:left w:w="80" w:type="dxa"/>
              <w:bottom w:w="70" w:type="dxa"/>
              <w:right w:w="80" w:type="dxa"/>
            </w:tcMar>
            <w:vAlign w:val="center"/>
          </w:tcPr>
          <w:p w14:paraId="510F2B59" w14:textId="77777777" w:rsidR="00726538" w:rsidRPr="007F13D6" w:rsidRDefault="00622775" w:rsidP="009430B5">
            <w:pPr>
              <w:spacing w:after="0" w:line="240" w:lineRule="auto"/>
              <w:rPr>
                <w:rFonts w:ascii="Arial" w:hAnsi="Arial" w:cs="Arial"/>
              </w:rPr>
            </w:pPr>
            <w:r w:rsidRPr="007F13D6">
              <w:rPr>
                <w:rFonts w:ascii="Arial" w:hAnsi="Arial" w:cs="Arial"/>
                <w:color w:val="000000"/>
                <w:sz w:val="17"/>
              </w:rPr>
              <w:t>O</w:t>
            </w:r>
            <w:r w:rsidR="00954852" w:rsidRPr="007F13D6">
              <w:rPr>
                <w:rFonts w:ascii="Arial" w:hAnsi="Arial" w:cs="Arial"/>
                <w:color w:val="000000"/>
                <w:sz w:val="17"/>
              </w:rPr>
              <w:t>ne official school code per charter organization</w:t>
            </w:r>
          </w:p>
        </w:tc>
        <w:tc>
          <w:tcPr>
            <w:tcW w:w="4032" w:type="dxa"/>
            <w:tcBorders>
              <w:bottom w:val="single" w:sz="4" w:space="0" w:color="B7B7B7"/>
            </w:tcBorders>
            <w:shd w:val="clear" w:color="auto" w:fill="EAF3F8"/>
            <w:tcMar>
              <w:top w:w="70" w:type="dxa"/>
              <w:left w:w="80" w:type="dxa"/>
              <w:bottom w:w="70" w:type="dxa"/>
              <w:right w:w="80" w:type="dxa"/>
            </w:tcMar>
            <w:vAlign w:val="center"/>
          </w:tcPr>
          <w:p w14:paraId="4DFECC66" w14:textId="77777777" w:rsidR="00726538" w:rsidRPr="007F13D6" w:rsidRDefault="00954852" w:rsidP="009430B5">
            <w:pPr>
              <w:spacing w:after="0" w:line="240" w:lineRule="auto"/>
              <w:rPr>
                <w:rFonts w:ascii="Arial" w:hAnsi="Arial" w:cs="Arial"/>
              </w:rPr>
            </w:pPr>
            <w:r w:rsidRPr="007F13D6">
              <w:rPr>
                <w:rFonts w:ascii="Arial" w:hAnsi="Arial" w:cs="Arial"/>
                <w:color w:val="000000"/>
                <w:sz w:val="17"/>
              </w:rPr>
              <w:t>PEFC building rows used as proposed calculation units for school-based Base formulas</w:t>
            </w:r>
          </w:p>
        </w:tc>
      </w:tr>
    </w:tbl>
    <w:p w14:paraId="2F7F6478" w14:textId="77777777" w:rsidR="00726538" w:rsidRPr="007F13D6" w:rsidRDefault="00954852" w:rsidP="00CE7AFC">
      <w:pPr>
        <w:spacing w:before="120" w:after="120" w:line="240" w:lineRule="auto"/>
        <w:rPr>
          <w:rFonts w:ascii="Arial" w:hAnsi="Arial" w:cs="Arial"/>
        </w:rPr>
      </w:pPr>
      <w:r w:rsidRPr="007F13D6">
        <w:rPr>
          <w:rFonts w:ascii="Arial" w:hAnsi="Arial" w:cs="Arial"/>
          <w:i/>
          <w:color w:val="666666"/>
          <w:sz w:val="16"/>
        </w:rPr>
        <w:t>Source: 00_settings.R; 02_shared_model_input.csv; 06_proposed_school_calculation_units.csv; 11_charter_building_treatment.csv.</w:t>
      </w:r>
    </w:p>
    <w:tbl>
      <w:tblPr>
        <w:tblW w:w="0" w:type="auto"/>
        <w:jc w:val="center"/>
        <w:tblLook w:val="04A0" w:firstRow="1" w:lastRow="0" w:firstColumn="1" w:lastColumn="0" w:noHBand="0" w:noVBand="1"/>
      </w:tblPr>
      <w:tblGrid>
        <w:gridCol w:w="9340"/>
      </w:tblGrid>
      <w:tr w:rsidR="00726538" w:rsidRPr="007F13D6" w14:paraId="39E53DE7" w14:textId="77777777">
        <w:trPr>
          <w:jc w:val="center"/>
        </w:trPr>
        <w:tc>
          <w:tcPr>
            <w:tcW w:w="10166" w:type="dxa"/>
            <w:tcBorders>
              <w:top w:val="single" w:sz="8" w:space="0" w:color="2F75B5"/>
              <w:left w:val="single" w:sz="8" w:space="0" w:color="2F75B5"/>
              <w:bottom w:val="single" w:sz="8" w:space="0" w:color="2F75B5"/>
              <w:right w:val="single" w:sz="8" w:space="0" w:color="2F75B5"/>
            </w:tcBorders>
            <w:shd w:val="clear" w:color="auto" w:fill="EAF3F8"/>
            <w:tcMar>
              <w:top w:w="110" w:type="dxa"/>
              <w:left w:w="140" w:type="dxa"/>
              <w:bottom w:w="110" w:type="dxa"/>
              <w:right w:w="140" w:type="dxa"/>
            </w:tcMar>
          </w:tcPr>
          <w:p w14:paraId="453E0FF5" w14:textId="77777777" w:rsidR="00726538" w:rsidRPr="007F13D6" w:rsidRDefault="00954852" w:rsidP="00CE7AFC">
            <w:pPr>
              <w:spacing w:before="120" w:after="120" w:line="240" w:lineRule="auto"/>
              <w:rPr>
                <w:rFonts w:ascii="Arial" w:hAnsi="Arial" w:cs="Arial"/>
              </w:rPr>
            </w:pPr>
            <w:r w:rsidRPr="007F13D6">
              <w:rPr>
                <w:rFonts w:ascii="Arial" w:hAnsi="Arial" w:cs="Arial"/>
                <w:b/>
                <w:color w:val="1F4E78"/>
              </w:rPr>
              <w:t>Key implication</w:t>
            </w:r>
            <w:r w:rsidR="00A81D12" w:rsidRPr="007F13D6">
              <w:rPr>
                <w:rFonts w:ascii="Arial" w:hAnsi="Arial" w:cs="Arial"/>
                <w:b/>
                <w:color w:val="1F4E78"/>
              </w:rPr>
              <w:t>s</w:t>
            </w:r>
          </w:p>
          <w:p w14:paraId="78F704F7" w14:textId="77777777" w:rsidR="007B5277" w:rsidRPr="007F13D6" w:rsidRDefault="007B5277" w:rsidP="00CE7AFC">
            <w:pPr>
              <w:pStyle w:val="ListParagraph"/>
              <w:numPr>
                <w:ilvl w:val="0"/>
                <w:numId w:val="12"/>
              </w:numPr>
              <w:spacing w:before="120" w:after="120" w:line="240" w:lineRule="auto"/>
              <w:contextualSpacing w:val="0"/>
              <w:rPr>
                <w:rFonts w:ascii="Arial" w:hAnsi="Arial" w:cs="Arial"/>
                <w:color w:val="000000"/>
                <w:sz w:val="19"/>
              </w:rPr>
            </w:pPr>
            <w:r w:rsidRPr="007F13D6">
              <w:rPr>
                <w:rFonts w:ascii="Arial" w:hAnsi="Arial" w:cs="Arial"/>
                <w:b/>
                <w:bCs/>
                <w:color w:val="000000"/>
                <w:sz w:val="19"/>
              </w:rPr>
              <w:t>Primary impacts:</w:t>
            </w:r>
            <w:r w:rsidRPr="007F13D6">
              <w:rPr>
                <w:rFonts w:ascii="Arial" w:hAnsi="Arial" w:cs="Arial"/>
                <w:color w:val="000000"/>
                <w:sz w:val="19"/>
              </w:rPr>
              <w:t xml:space="preserve"> Principals, Administrative Support Professionals, and Assistant Principals because these formulas are applied separately to each school or building unit.</w:t>
            </w:r>
          </w:p>
          <w:p w14:paraId="37866534" w14:textId="77777777" w:rsidR="00726538" w:rsidRPr="007F13D6" w:rsidRDefault="007B5277" w:rsidP="00CE7AFC">
            <w:pPr>
              <w:pStyle w:val="ListParagraph"/>
              <w:numPr>
                <w:ilvl w:val="0"/>
                <w:numId w:val="12"/>
              </w:numPr>
              <w:spacing w:before="120" w:after="120" w:line="240" w:lineRule="auto"/>
              <w:contextualSpacing w:val="0"/>
              <w:rPr>
                <w:rFonts w:ascii="Arial" w:hAnsi="Arial" w:cs="Arial"/>
                <w:color w:val="000000"/>
                <w:sz w:val="19"/>
              </w:rPr>
            </w:pPr>
            <w:r w:rsidRPr="007F13D6">
              <w:rPr>
                <w:rFonts w:ascii="Arial" w:hAnsi="Arial" w:cs="Arial"/>
                <w:b/>
                <w:bCs/>
                <w:color w:val="000000"/>
                <w:sz w:val="19"/>
              </w:rPr>
              <w:t>Downstream effects:</w:t>
            </w:r>
            <w:r w:rsidRPr="007F13D6">
              <w:rPr>
                <w:rFonts w:ascii="Arial" w:hAnsi="Arial" w:cs="Arial"/>
                <w:color w:val="000000"/>
                <w:sz w:val="19"/>
              </w:rPr>
              <w:t xml:space="preserve"> Assistant Superintendents, Directors, and 11-Month Supervisors because changes in school-based positions flow into Total Base positions.</w:t>
            </w:r>
          </w:p>
        </w:tc>
      </w:tr>
    </w:tbl>
    <w:p w14:paraId="64B0ADD7" w14:textId="77777777" w:rsidR="009430B5" w:rsidRPr="007F13D6" w:rsidRDefault="009430B5" w:rsidP="00CE7AFC">
      <w:pPr>
        <w:pStyle w:val="Heading1"/>
        <w:spacing w:before="120" w:after="120" w:line="240" w:lineRule="auto"/>
        <w:rPr>
          <w:rFonts w:ascii="Arial" w:hAnsi="Arial" w:cs="Arial"/>
        </w:rPr>
      </w:pPr>
    </w:p>
    <w:p w14:paraId="41442103" w14:textId="77777777" w:rsidR="009430B5" w:rsidRPr="007F13D6" w:rsidRDefault="009430B5" w:rsidP="009430B5">
      <w:pPr>
        <w:rPr>
          <w:rFonts w:ascii="Arial" w:hAnsi="Arial" w:cs="Arial"/>
        </w:rPr>
      </w:pPr>
    </w:p>
    <w:p w14:paraId="2A84A1BC" w14:textId="2BCCA3B2" w:rsidR="00726538" w:rsidRPr="007F13D6" w:rsidRDefault="00DD20EE" w:rsidP="00CE7AFC">
      <w:pPr>
        <w:pStyle w:val="Heading1"/>
        <w:spacing w:before="120" w:after="120" w:line="240" w:lineRule="auto"/>
        <w:rPr>
          <w:rFonts w:ascii="Arial" w:hAnsi="Arial" w:cs="Arial"/>
        </w:rPr>
      </w:pPr>
      <w:bookmarkStart w:id="16" w:name="_Toc237512551"/>
      <w:r w:rsidRPr="007F13D6">
        <w:rPr>
          <w:rFonts w:ascii="Arial" w:hAnsi="Arial" w:cs="Arial"/>
        </w:rPr>
        <w:lastRenderedPageBreak/>
        <w:t>3</w:t>
      </w:r>
      <w:r w:rsidR="00954852" w:rsidRPr="007F13D6">
        <w:rPr>
          <w:rFonts w:ascii="Arial" w:hAnsi="Arial" w:cs="Arial"/>
        </w:rPr>
        <w:t>. What Changes Under the Staffing Rules?</w:t>
      </w:r>
      <w:bookmarkEnd w:id="16"/>
    </w:p>
    <w:p w14:paraId="3D3D6278" w14:textId="77777777" w:rsidR="00441264" w:rsidRPr="007F13D6" w:rsidRDefault="00004581" w:rsidP="00CE7AFC">
      <w:pPr>
        <w:pStyle w:val="BodyText"/>
        <w:keepLines/>
        <w:spacing w:before="120" w:line="240" w:lineRule="auto"/>
        <w:rPr>
          <w:rFonts w:ascii="Arial" w:hAnsi="Arial" w:cs="Arial"/>
        </w:rPr>
      </w:pPr>
      <w:r w:rsidRPr="007F13D6">
        <w:rPr>
          <w:rFonts w:ascii="Arial" w:hAnsi="Arial" w:cs="Arial"/>
        </w:rPr>
        <w:t>For comparable staffing categories, the analysis applies a common, independently verified set of staffing inputs and holds the dollar rate constant within each category, as closely as the models’ structures allow</w:t>
      </w:r>
      <w:r w:rsidR="00441264" w:rsidRPr="007F13D6">
        <w:rPr>
          <w:rFonts w:ascii="Arial" w:hAnsi="Arial" w:cs="Arial"/>
        </w:rPr>
        <w:t>. The common rates are drawn from the PEFC workbook and represent PEFC’s recommended current dollar rates for the relevant position categories. These rates are applied to both the recreated current and IV&amp;V proposed staffing quantities through maintained component mappings. Where no defensible rate or mapping was available, the amount remains missing rather than being treated as zero.</w:t>
      </w:r>
    </w:p>
    <w:p w14:paraId="76F75FC5" w14:textId="77777777" w:rsidR="001351D9" w:rsidRPr="007F13D6" w:rsidRDefault="00441264" w:rsidP="00CE7AFC">
      <w:pPr>
        <w:pStyle w:val="BodyText"/>
        <w:keepLines/>
        <w:spacing w:before="120" w:line="240" w:lineRule="auto"/>
        <w:rPr>
          <w:rFonts w:ascii="Arial" w:hAnsi="Arial" w:cs="Arial"/>
        </w:rPr>
      </w:pPr>
      <w:r w:rsidRPr="007F13D6">
        <w:rPr>
          <w:rFonts w:ascii="Arial" w:hAnsi="Arial" w:cs="Arial"/>
        </w:rPr>
        <w:t>This approach helps isolate differences attributable to the models’ staffing formulas, thresholds, eligibility rules, position bases, and calculation units rather than differences in source inputs or dollar-rate assumptions. The resulting estimates support a consistent comparison but should not be interpreted as independently verified actual expenditures or complete costs under the current funding system</w:t>
      </w:r>
      <w:r w:rsidR="001351D9" w:rsidRPr="007F13D6">
        <w:rPr>
          <w:rFonts w:ascii="Arial" w:hAnsi="Arial" w:cs="Arial"/>
        </w:rPr>
        <w:t>.</w:t>
      </w:r>
    </w:p>
    <w:p w14:paraId="0B220207" w14:textId="77777777" w:rsidR="00726538" w:rsidRPr="007F13D6" w:rsidRDefault="00954852" w:rsidP="00CE7AFC">
      <w:pPr>
        <w:pStyle w:val="Heading2"/>
        <w:spacing w:before="120" w:after="120" w:line="240" w:lineRule="auto"/>
        <w:rPr>
          <w:rFonts w:ascii="Arial" w:hAnsi="Arial" w:cs="Arial"/>
        </w:rPr>
      </w:pPr>
      <w:bookmarkStart w:id="17" w:name="_Toc237512552"/>
      <w:r w:rsidRPr="007F13D6">
        <w:rPr>
          <w:rFonts w:ascii="Arial" w:hAnsi="Arial" w:cs="Arial"/>
        </w:rPr>
        <w:t>3.1 Two views of the statewide staffing comparison</w:t>
      </w:r>
      <w:bookmarkEnd w:id="17"/>
    </w:p>
    <w:p w14:paraId="32B48AF4" w14:textId="77777777" w:rsidR="00754A43" w:rsidRPr="007F13D6" w:rsidRDefault="008E105F" w:rsidP="00CE7AFC">
      <w:pPr>
        <w:pStyle w:val="BodyText"/>
        <w:keepLines/>
        <w:spacing w:before="120" w:line="240" w:lineRule="auto"/>
        <w:rPr>
          <w:rFonts w:ascii="Arial" w:hAnsi="Arial" w:cs="Arial"/>
        </w:rPr>
      </w:pPr>
      <w:r w:rsidRPr="007F13D6">
        <w:rPr>
          <w:rFonts w:ascii="Arial" w:hAnsi="Arial" w:cs="Arial"/>
        </w:rPr>
        <w:t>The working staffing difference is $52.5 million. Removing the proposed Buildings and Grounds amount, for which a comparable current amount is unavailable, produces a $47.1 million comparable-amount subtotal. This subtotal includes only categories with funding amounts available on both sides, although the Food Services Supervisor comparison remains provisional because current quantities are incomplete. The difference between the two views reflects completeness of the current baseline, not different versions of the proposed model</w:t>
      </w:r>
      <w:r w:rsidR="002768AC" w:rsidRPr="007F13D6">
        <w:rPr>
          <w:rFonts w:ascii="Arial" w:hAnsi="Arial" w:cs="Arial"/>
        </w:rPr>
        <w:t>.</w:t>
      </w:r>
    </w:p>
    <w:p w14:paraId="53438642" w14:textId="77777777"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Exhibit 4. Statewide staffing comparison</w:t>
      </w:r>
    </w:p>
    <w:tbl>
      <w:tblPr>
        <w:tblW w:w="9792" w:type="dxa"/>
        <w:jc w:val="center"/>
        <w:tblLayout w:type="fixed"/>
        <w:tblLook w:val="04A0" w:firstRow="1" w:lastRow="0" w:firstColumn="1" w:lastColumn="0" w:noHBand="0" w:noVBand="1"/>
      </w:tblPr>
      <w:tblGrid>
        <w:gridCol w:w="1296"/>
        <w:gridCol w:w="1008"/>
        <w:gridCol w:w="1008"/>
        <w:gridCol w:w="1008"/>
        <w:gridCol w:w="2736"/>
        <w:gridCol w:w="2736"/>
      </w:tblGrid>
      <w:tr w:rsidR="008E105F" w:rsidRPr="007F13D6" w14:paraId="214277C0" w14:textId="77777777" w:rsidTr="007047D3">
        <w:trPr>
          <w:cantSplit/>
          <w:tblHeader/>
          <w:jc w:val="center"/>
        </w:trPr>
        <w:tc>
          <w:tcPr>
            <w:tcW w:w="1296" w:type="dxa"/>
            <w:tcBorders>
              <w:bottom w:val="single" w:sz="8" w:space="0" w:color="FFFFFF"/>
            </w:tcBorders>
            <w:shd w:val="clear" w:color="auto" w:fill="1F4E78"/>
            <w:tcMar>
              <w:top w:w="70" w:type="dxa"/>
              <w:left w:w="80" w:type="dxa"/>
              <w:bottom w:w="70" w:type="dxa"/>
              <w:right w:w="80" w:type="dxa"/>
            </w:tcMar>
            <w:vAlign w:val="center"/>
          </w:tcPr>
          <w:p w14:paraId="60828716" w14:textId="77777777" w:rsidR="008E105F" w:rsidRPr="007F13D6" w:rsidRDefault="008E105F" w:rsidP="007407E1">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View</w:t>
            </w:r>
          </w:p>
        </w:tc>
        <w:tc>
          <w:tcPr>
            <w:tcW w:w="1008" w:type="dxa"/>
            <w:tcBorders>
              <w:bottom w:val="single" w:sz="8" w:space="0" w:color="FFFFFF"/>
            </w:tcBorders>
            <w:shd w:val="clear" w:color="auto" w:fill="1F4E78"/>
            <w:tcMar>
              <w:top w:w="70" w:type="dxa"/>
              <w:left w:w="80" w:type="dxa"/>
              <w:bottom w:w="70" w:type="dxa"/>
              <w:right w:w="80" w:type="dxa"/>
            </w:tcMar>
            <w:vAlign w:val="center"/>
          </w:tcPr>
          <w:p w14:paraId="0A855387" w14:textId="77777777" w:rsidR="008E105F" w:rsidRPr="007F13D6" w:rsidRDefault="008E105F" w:rsidP="007407E1">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Recreated current</w:t>
            </w:r>
          </w:p>
        </w:tc>
        <w:tc>
          <w:tcPr>
            <w:tcW w:w="1008" w:type="dxa"/>
            <w:tcBorders>
              <w:bottom w:val="single" w:sz="8" w:space="0" w:color="FFFFFF"/>
            </w:tcBorders>
            <w:shd w:val="clear" w:color="auto" w:fill="1F4E78"/>
            <w:tcMar>
              <w:top w:w="70" w:type="dxa"/>
              <w:left w:w="80" w:type="dxa"/>
              <w:bottom w:w="70" w:type="dxa"/>
              <w:right w:w="80" w:type="dxa"/>
            </w:tcMar>
            <w:vAlign w:val="center"/>
          </w:tcPr>
          <w:p w14:paraId="37E2112C" w14:textId="77777777" w:rsidR="008E105F" w:rsidRPr="007F13D6" w:rsidRDefault="008E105F" w:rsidP="007407E1">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IV&amp;V proposed</w:t>
            </w:r>
          </w:p>
        </w:tc>
        <w:tc>
          <w:tcPr>
            <w:tcW w:w="1008" w:type="dxa"/>
            <w:tcBorders>
              <w:bottom w:val="single" w:sz="8" w:space="0" w:color="FFFFFF"/>
            </w:tcBorders>
            <w:shd w:val="clear" w:color="auto" w:fill="1F4E78"/>
            <w:tcMar>
              <w:top w:w="70" w:type="dxa"/>
              <w:left w:w="80" w:type="dxa"/>
              <w:bottom w:w="70" w:type="dxa"/>
              <w:right w:w="80" w:type="dxa"/>
            </w:tcMar>
            <w:vAlign w:val="center"/>
          </w:tcPr>
          <w:p w14:paraId="76B9A87C" w14:textId="77777777" w:rsidR="008E105F" w:rsidRPr="007F13D6" w:rsidRDefault="008E105F" w:rsidP="007407E1">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Difference</w:t>
            </w:r>
          </w:p>
        </w:tc>
        <w:tc>
          <w:tcPr>
            <w:tcW w:w="2736" w:type="dxa"/>
            <w:tcBorders>
              <w:bottom w:val="single" w:sz="8" w:space="0" w:color="FFFFFF"/>
            </w:tcBorders>
            <w:shd w:val="clear" w:color="auto" w:fill="1F4E78"/>
            <w:vAlign w:val="center"/>
          </w:tcPr>
          <w:p w14:paraId="4B81A5A4" w14:textId="77777777" w:rsidR="008E105F" w:rsidRPr="007F13D6" w:rsidRDefault="008E105F" w:rsidP="007407E1">
            <w:pPr>
              <w:spacing w:after="0" w:line="240" w:lineRule="auto"/>
              <w:rPr>
                <w:rFonts w:ascii="Arial" w:hAnsi="Arial" w:cs="Arial"/>
                <w:b/>
                <w:color w:val="FFFFFF" w:themeColor="background1"/>
                <w:sz w:val="17"/>
                <w:szCs w:val="17"/>
              </w:rPr>
            </w:pPr>
            <w:r w:rsidRPr="007F13D6">
              <w:rPr>
                <w:rFonts w:ascii="Arial" w:hAnsi="Arial" w:cs="Arial"/>
                <w:b/>
                <w:bCs/>
                <w:color w:val="FFFFFF" w:themeColor="background1"/>
                <w:sz w:val="17"/>
                <w:szCs w:val="17"/>
              </w:rPr>
              <w:t>Categories included</w:t>
            </w:r>
          </w:p>
        </w:tc>
        <w:tc>
          <w:tcPr>
            <w:tcW w:w="2736" w:type="dxa"/>
            <w:tcBorders>
              <w:bottom w:val="single" w:sz="8" w:space="0" w:color="FFFFFF"/>
            </w:tcBorders>
            <w:shd w:val="clear" w:color="auto" w:fill="1F4E78"/>
            <w:tcMar>
              <w:top w:w="70" w:type="dxa"/>
              <w:left w:w="80" w:type="dxa"/>
              <w:bottom w:w="70" w:type="dxa"/>
              <w:right w:w="80" w:type="dxa"/>
            </w:tcMar>
            <w:vAlign w:val="center"/>
          </w:tcPr>
          <w:p w14:paraId="47BC6383" w14:textId="77777777" w:rsidR="008E105F" w:rsidRPr="007F13D6" w:rsidRDefault="008E105F" w:rsidP="007407E1">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How to use it</w:t>
            </w:r>
          </w:p>
        </w:tc>
      </w:tr>
      <w:tr w:rsidR="008E105F" w:rsidRPr="007F13D6" w14:paraId="3C0C77F8" w14:textId="77777777" w:rsidTr="007047D3">
        <w:trPr>
          <w:cantSplit/>
          <w:jc w:val="center"/>
        </w:trPr>
        <w:tc>
          <w:tcPr>
            <w:tcW w:w="1296" w:type="dxa"/>
            <w:tcBorders>
              <w:bottom w:val="single" w:sz="4" w:space="0" w:color="B7B7B7"/>
            </w:tcBorders>
            <w:tcMar>
              <w:top w:w="70" w:type="dxa"/>
              <w:left w:w="80" w:type="dxa"/>
              <w:bottom w:w="70" w:type="dxa"/>
              <w:right w:w="80" w:type="dxa"/>
            </w:tcMar>
            <w:vAlign w:val="center"/>
          </w:tcPr>
          <w:p w14:paraId="0DF8CE74" w14:textId="77777777" w:rsidR="008E105F" w:rsidRPr="007F13D6" w:rsidRDefault="008E105F" w:rsidP="007407E1">
            <w:pPr>
              <w:spacing w:after="0" w:line="240" w:lineRule="auto"/>
              <w:rPr>
                <w:rFonts w:ascii="Arial" w:hAnsi="Arial" w:cs="Arial"/>
                <w:sz w:val="17"/>
                <w:szCs w:val="17"/>
              </w:rPr>
            </w:pPr>
            <w:r w:rsidRPr="007F13D6">
              <w:rPr>
                <w:rStyle w:val="Strong"/>
                <w:rFonts w:ascii="Arial" w:hAnsi="Arial" w:cs="Arial"/>
                <w:color w:val="000000"/>
                <w:sz w:val="17"/>
                <w:szCs w:val="17"/>
              </w:rPr>
              <w:t>Working estimate</w:t>
            </w:r>
          </w:p>
        </w:tc>
        <w:tc>
          <w:tcPr>
            <w:tcW w:w="1008" w:type="dxa"/>
            <w:tcBorders>
              <w:bottom w:val="single" w:sz="4" w:space="0" w:color="B7B7B7"/>
            </w:tcBorders>
            <w:tcMar>
              <w:top w:w="70" w:type="dxa"/>
              <w:left w:w="80" w:type="dxa"/>
              <w:bottom w:w="70" w:type="dxa"/>
              <w:right w:w="80" w:type="dxa"/>
            </w:tcMar>
            <w:vAlign w:val="center"/>
          </w:tcPr>
          <w:p w14:paraId="1D14F97B" w14:textId="77777777" w:rsidR="008E105F" w:rsidRPr="007F13D6" w:rsidRDefault="008E105F" w:rsidP="007407E1">
            <w:pPr>
              <w:spacing w:after="0" w:line="240" w:lineRule="auto"/>
              <w:rPr>
                <w:rFonts w:ascii="Arial" w:hAnsi="Arial" w:cs="Arial"/>
                <w:sz w:val="17"/>
                <w:szCs w:val="17"/>
              </w:rPr>
            </w:pPr>
            <w:r w:rsidRPr="007F13D6">
              <w:rPr>
                <w:rFonts w:ascii="Arial" w:hAnsi="Arial" w:cs="Arial"/>
                <w:color w:val="000000"/>
                <w:sz w:val="17"/>
                <w:szCs w:val="17"/>
              </w:rPr>
              <w:t>$1.564B</w:t>
            </w:r>
          </w:p>
        </w:tc>
        <w:tc>
          <w:tcPr>
            <w:tcW w:w="1008" w:type="dxa"/>
            <w:tcBorders>
              <w:bottom w:val="single" w:sz="4" w:space="0" w:color="B7B7B7"/>
            </w:tcBorders>
            <w:tcMar>
              <w:top w:w="70" w:type="dxa"/>
              <w:left w:w="80" w:type="dxa"/>
              <w:bottom w:w="70" w:type="dxa"/>
              <w:right w:w="80" w:type="dxa"/>
            </w:tcMar>
            <w:vAlign w:val="center"/>
          </w:tcPr>
          <w:p w14:paraId="48B3A625" w14:textId="77777777" w:rsidR="008E105F" w:rsidRPr="007F13D6" w:rsidRDefault="008E105F" w:rsidP="007407E1">
            <w:pPr>
              <w:spacing w:after="0" w:line="240" w:lineRule="auto"/>
              <w:rPr>
                <w:rFonts w:ascii="Arial" w:hAnsi="Arial" w:cs="Arial"/>
                <w:sz w:val="17"/>
                <w:szCs w:val="17"/>
              </w:rPr>
            </w:pPr>
            <w:r w:rsidRPr="007F13D6">
              <w:rPr>
                <w:rFonts w:ascii="Arial" w:hAnsi="Arial" w:cs="Arial"/>
                <w:color w:val="000000"/>
                <w:sz w:val="17"/>
                <w:szCs w:val="17"/>
              </w:rPr>
              <w:t>$1.616B</w:t>
            </w:r>
          </w:p>
        </w:tc>
        <w:tc>
          <w:tcPr>
            <w:tcW w:w="1008" w:type="dxa"/>
            <w:tcBorders>
              <w:bottom w:val="single" w:sz="4" w:space="0" w:color="B7B7B7"/>
            </w:tcBorders>
            <w:tcMar>
              <w:top w:w="70" w:type="dxa"/>
              <w:left w:w="80" w:type="dxa"/>
              <w:bottom w:w="70" w:type="dxa"/>
              <w:right w:w="80" w:type="dxa"/>
            </w:tcMar>
            <w:vAlign w:val="center"/>
          </w:tcPr>
          <w:p w14:paraId="2EF9B7B4" w14:textId="77777777" w:rsidR="008E105F" w:rsidRPr="007F13D6" w:rsidRDefault="008E105F" w:rsidP="007407E1">
            <w:pPr>
              <w:spacing w:after="0" w:line="240" w:lineRule="auto"/>
              <w:rPr>
                <w:rFonts w:ascii="Arial" w:hAnsi="Arial" w:cs="Arial"/>
                <w:sz w:val="17"/>
                <w:szCs w:val="17"/>
              </w:rPr>
            </w:pPr>
            <w:r w:rsidRPr="007F13D6">
              <w:rPr>
                <w:rFonts w:ascii="Arial" w:hAnsi="Arial" w:cs="Arial"/>
                <w:color w:val="000000"/>
                <w:sz w:val="17"/>
                <w:szCs w:val="17"/>
              </w:rPr>
              <w:t>$52.5M</w:t>
            </w:r>
          </w:p>
        </w:tc>
        <w:tc>
          <w:tcPr>
            <w:tcW w:w="2736" w:type="dxa"/>
            <w:tcBorders>
              <w:bottom w:val="single" w:sz="4" w:space="0" w:color="B7B7B7"/>
            </w:tcBorders>
            <w:vAlign w:val="center"/>
          </w:tcPr>
          <w:p w14:paraId="3D093B33" w14:textId="77777777" w:rsidR="008E105F" w:rsidRPr="007F13D6" w:rsidRDefault="008E105F" w:rsidP="007407E1">
            <w:pPr>
              <w:spacing w:after="0" w:line="240" w:lineRule="auto"/>
              <w:rPr>
                <w:rFonts w:ascii="Arial" w:hAnsi="Arial" w:cs="Arial"/>
                <w:color w:val="000000"/>
                <w:sz w:val="17"/>
                <w:szCs w:val="17"/>
              </w:rPr>
            </w:pPr>
            <w:r w:rsidRPr="007F13D6">
              <w:rPr>
                <w:rFonts w:ascii="Arial" w:hAnsi="Arial" w:cs="Arial"/>
                <w:color w:val="000000"/>
                <w:sz w:val="17"/>
                <w:szCs w:val="17"/>
              </w:rPr>
              <w:t>All 19 modeled staffing categories, including Buildings and Grounds Supervisor and Food Services Supervisor.</w:t>
            </w:r>
          </w:p>
        </w:tc>
        <w:tc>
          <w:tcPr>
            <w:tcW w:w="2736" w:type="dxa"/>
            <w:tcBorders>
              <w:bottom w:val="single" w:sz="4" w:space="0" w:color="B7B7B7"/>
            </w:tcBorders>
            <w:tcMar>
              <w:top w:w="70" w:type="dxa"/>
              <w:left w:w="80" w:type="dxa"/>
              <w:bottom w:w="70" w:type="dxa"/>
              <w:right w:w="80" w:type="dxa"/>
            </w:tcMar>
            <w:vAlign w:val="center"/>
          </w:tcPr>
          <w:p w14:paraId="2630DFF5" w14:textId="77777777" w:rsidR="008E105F" w:rsidRPr="007F13D6" w:rsidRDefault="008E105F" w:rsidP="007407E1">
            <w:pPr>
              <w:spacing w:after="0" w:line="240" w:lineRule="auto"/>
              <w:rPr>
                <w:rFonts w:ascii="Arial" w:hAnsi="Arial" w:cs="Arial"/>
                <w:sz w:val="17"/>
                <w:szCs w:val="17"/>
              </w:rPr>
            </w:pPr>
            <w:r w:rsidRPr="007F13D6">
              <w:rPr>
                <w:rFonts w:ascii="Arial" w:hAnsi="Arial" w:cs="Arial"/>
                <w:color w:val="000000"/>
                <w:sz w:val="17"/>
                <w:szCs w:val="17"/>
              </w:rPr>
              <w:t>Broadest view. Includes proposed Buildings and Grounds funding without a comparable current amount and a provisional Food Services Supervisor comparison based on incomplete current quantities.</w:t>
            </w:r>
          </w:p>
        </w:tc>
      </w:tr>
      <w:tr w:rsidR="008E105F" w:rsidRPr="007F13D6" w14:paraId="19D0AEBC" w14:textId="77777777" w:rsidTr="007047D3">
        <w:trPr>
          <w:cantSplit/>
          <w:jc w:val="center"/>
        </w:trPr>
        <w:tc>
          <w:tcPr>
            <w:tcW w:w="1296" w:type="dxa"/>
            <w:tcBorders>
              <w:bottom w:val="single" w:sz="4" w:space="0" w:color="B7B7B7"/>
            </w:tcBorders>
            <w:shd w:val="clear" w:color="auto" w:fill="EAF3F8"/>
            <w:tcMar>
              <w:top w:w="70" w:type="dxa"/>
              <w:left w:w="80" w:type="dxa"/>
              <w:bottom w:w="70" w:type="dxa"/>
              <w:right w:w="80" w:type="dxa"/>
            </w:tcMar>
            <w:vAlign w:val="center"/>
          </w:tcPr>
          <w:p w14:paraId="45634740" w14:textId="77777777" w:rsidR="008E105F" w:rsidRPr="007F13D6" w:rsidRDefault="008E105F" w:rsidP="007407E1">
            <w:pPr>
              <w:spacing w:after="0" w:line="240" w:lineRule="auto"/>
              <w:rPr>
                <w:rFonts w:ascii="Arial" w:hAnsi="Arial" w:cs="Arial"/>
                <w:sz w:val="17"/>
                <w:szCs w:val="17"/>
              </w:rPr>
            </w:pPr>
            <w:r w:rsidRPr="007F13D6">
              <w:rPr>
                <w:rStyle w:val="Strong"/>
                <w:rFonts w:ascii="Arial" w:hAnsi="Arial" w:cs="Arial"/>
                <w:color w:val="000000"/>
                <w:sz w:val="17"/>
                <w:szCs w:val="17"/>
              </w:rPr>
              <w:t>Comparable-amount subtotal</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0CB13A25" w14:textId="77777777" w:rsidR="008E105F" w:rsidRPr="007F13D6" w:rsidRDefault="008E105F" w:rsidP="007407E1">
            <w:pPr>
              <w:spacing w:after="0" w:line="240" w:lineRule="auto"/>
              <w:rPr>
                <w:rFonts w:ascii="Arial" w:hAnsi="Arial" w:cs="Arial"/>
                <w:sz w:val="17"/>
                <w:szCs w:val="17"/>
              </w:rPr>
            </w:pPr>
            <w:r w:rsidRPr="007F13D6">
              <w:rPr>
                <w:rFonts w:ascii="Arial" w:hAnsi="Arial" w:cs="Arial"/>
                <w:color w:val="000000"/>
                <w:sz w:val="17"/>
                <w:szCs w:val="17"/>
              </w:rPr>
              <w:t>$1.564B</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06105365" w14:textId="77777777" w:rsidR="008E105F" w:rsidRPr="007F13D6" w:rsidRDefault="008E105F" w:rsidP="007407E1">
            <w:pPr>
              <w:spacing w:after="0" w:line="240" w:lineRule="auto"/>
              <w:rPr>
                <w:rFonts w:ascii="Arial" w:hAnsi="Arial" w:cs="Arial"/>
                <w:sz w:val="17"/>
                <w:szCs w:val="17"/>
              </w:rPr>
            </w:pPr>
            <w:r w:rsidRPr="007F13D6">
              <w:rPr>
                <w:rFonts w:ascii="Arial" w:hAnsi="Arial" w:cs="Arial"/>
                <w:color w:val="000000"/>
                <w:sz w:val="17"/>
                <w:szCs w:val="17"/>
              </w:rPr>
              <w:t>$1.611B</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3B5BF4C7" w14:textId="77777777" w:rsidR="008E105F" w:rsidRPr="007F13D6" w:rsidRDefault="008E105F" w:rsidP="007407E1">
            <w:pPr>
              <w:spacing w:after="0" w:line="240" w:lineRule="auto"/>
              <w:rPr>
                <w:rFonts w:ascii="Arial" w:hAnsi="Arial" w:cs="Arial"/>
                <w:sz w:val="17"/>
                <w:szCs w:val="17"/>
              </w:rPr>
            </w:pPr>
            <w:r w:rsidRPr="007F13D6">
              <w:rPr>
                <w:rFonts w:ascii="Arial" w:hAnsi="Arial" w:cs="Arial"/>
                <w:color w:val="000000"/>
                <w:sz w:val="17"/>
                <w:szCs w:val="17"/>
              </w:rPr>
              <w:t>$47.1M</w:t>
            </w:r>
          </w:p>
        </w:tc>
        <w:tc>
          <w:tcPr>
            <w:tcW w:w="2736" w:type="dxa"/>
            <w:tcBorders>
              <w:bottom w:val="single" w:sz="4" w:space="0" w:color="B7B7B7"/>
            </w:tcBorders>
            <w:shd w:val="clear" w:color="auto" w:fill="EAF3F8"/>
            <w:vAlign w:val="center"/>
          </w:tcPr>
          <w:p w14:paraId="51CA3AC7" w14:textId="77777777" w:rsidR="008E105F" w:rsidRPr="007F13D6" w:rsidRDefault="008E105F" w:rsidP="007407E1">
            <w:pPr>
              <w:spacing w:after="0" w:line="240" w:lineRule="auto"/>
              <w:rPr>
                <w:rFonts w:ascii="Arial" w:hAnsi="Arial" w:cs="Arial"/>
                <w:color w:val="000000"/>
                <w:sz w:val="17"/>
                <w:szCs w:val="17"/>
              </w:rPr>
            </w:pPr>
            <w:r w:rsidRPr="007F13D6">
              <w:rPr>
                <w:rFonts w:ascii="Arial" w:hAnsi="Arial" w:cs="Arial"/>
                <w:color w:val="000000"/>
                <w:sz w:val="17"/>
                <w:szCs w:val="17"/>
              </w:rPr>
              <w:t>The 18 categories with funding amounts available on both sides. Buildings and Grounds Supervisor is excluded.</w:t>
            </w:r>
          </w:p>
        </w:tc>
        <w:tc>
          <w:tcPr>
            <w:tcW w:w="2736" w:type="dxa"/>
            <w:tcBorders>
              <w:bottom w:val="single" w:sz="4" w:space="0" w:color="B7B7B7"/>
            </w:tcBorders>
            <w:shd w:val="clear" w:color="auto" w:fill="EAF3F8"/>
            <w:tcMar>
              <w:top w:w="70" w:type="dxa"/>
              <w:left w:w="80" w:type="dxa"/>
              <w:bottom w:w="70" w:type="dxa"/>
              <w:right w:w="80" w:type="dxa"/>
            </w:tcMar>
            <w:vAlign w:val="center"/>
          </w:tcPr>
          <w:p w14:paraId="563DBEE1" w14:textId="77777777" w:rsidR="008E105F" w:rsidRPr="007F13D6" w:rsidRDefault="008E105F" w:rsidP="007407E1">
            <w:pPr>
              <w:spacing w:after="0" w:line="240" w:lineRule="auto"/>
              <w:rPr>
                <w:rFonts w:ascii="Arial" w:hAnsi="Arial" w:cs="Arial"/>
                <w:sz w:val="17"/>
                <w:szCs w:val="17"/>
              </w:rPr>
            </w:pPr>
            <w:r w:rsidRPr="007F13D6">
              <w:rPr>
                <w:rFonts w:ascii="Arial" w:hAnsi="Arial" w:cs="Arial"/>
                <w:color w:val="000000"/>
                <w:sz w:val="17"/>
                <w:szCs w:val="17"/>
              </w:rPr>
              <w:t>Best available statewide comparison of modeled staffing amounts. Food Services Supervisor remains provisional because current quantities are incomplete.</w:t>
            </w:r>
          </w:p>
        </w:tc>
      </w:tr>
    </w:tbl>
    <w:p w14:paraId="75CC1279" w14:textId="77777777" w:rsidR="00726538" w:rsidRPr="007F13D6" w:rsidRDefault="00954852" w:rsidP="00CE7AFC">
      <w:pPr>
        <w:spacing w:before="120" w:after="120" w:line="240" w:lineRule="auto"/>
        <w:rPr>
          <w:rFonts w:ascii="Arial" w:hAnsi="Arial" w:cs="Arial"/>
        </w:rPr>
      </w:pPr>
      <w:r w:rsidRPr="007F13D6">
        <w:rPr>
          <w:rFonts w:ascii="Arial" w:hAnsi="Arial" w:cs="Arial"/>
          <w:i/>
          <w:color w:val="666666"/>
          <w:sz w:val="16"/>
        </w:rPr>
        <w:t>Source: 11_staffing_statewide_comparison.csv. Values rounded; detailed outputs retain full precision.</w:t>
      </w:r>
    </w:p>
    <w:tbl>
      <w:tblPr>
        <w:tblW w:w="0" w:type="auto"/>
        <w:jc w:val="center"/>
        <w:tblLook w:val="04A0" w:firstRow="1" w:lastRow="0" w:firstColumn="1" w:lastColumn="0" w:noHBand="0" w:noVBand="1"/>
      </w:tblPr>
      <w:tblGrid>
        <w:gridCol w:w="9340"/>
      </w:tblGrid>
      <w:tr w:rsidR="00E2107D" w:rsidRPr="007F13D6" w14:paraId="4180DDEB" w14:textId="77777777">
        <w:trPr>
          <w:jc w:val="center"/>
        </w:trPr>
        <w:tc>
          <w:tcPr>
            <w:tcW w:w="10166" w:type="dxa"/>
            <w:tcBorders>
              <w:top w:val="single" w:sz="8" w:space="0" w:color="2F75B5"/>
              <w:left w:val="single" w:sz="8" w:space="0" w:color="2F75B5"/>
              <w:bottom w:val="single" w:sz="8" w:space="0" w:color="2F75B5"/>
              <w:right w:val="single" w:sz="8" w:space="0" w:color="2F75B5"/>
            </w:tcBorders>
            <w:shd w:val="clear" w:color="auto" w:fill="EAF3F8"/>
            <w:tcMar>
              <w:top w:w="110" w:type="dxa"/>
              <w:left w:w="140" w:type="dxa"/>
              <w:bottom w:w="110" w:type="dxa"/>
              <w:right w:w="140" w:type="dxa"/>
            </w:tcMar>
          </w:tcPr>
          <w:p w14:paraId="30EDA44B" w14:textId="77777777" w:rsidR="00E2107D" w:rsidRPr="007F13D6" w:rsidRDefault="008E105F" w:rsidP="00CE7AFC">
            <w:pPr>
              <w:spacing w:before="120" w:after="120" w:line="240" w:lineRule="auto"/>
              <w:rPr>
                <w:rFonts w:ascii="Arial" w:hAnsi="Arial" w:cs="Arial"/>
              </w:rPr>
            </w:pPr>
            <w:r w:rsidRPr="007F13D6">
              <w:rPr>
                <w:rFonts w:ascii="Arial" w:hAnsi="Arial" w:cs="Arial"/>
                <w:b/>
                <w:color w:val="1F4E78"/>
              </w:rPr>
              <w:t>C</w:t>
            </w:r>
            <w:r w:rsidR="00E2107D" w:rsidRPr="007F13D6">
              <w:rPr>
                <w:rFonts w:ascii="Arial" w:hAnsi="Arial" w:cs="Arial"/>
                <w:b/>
                <w:color w:val="1F4E78"/>
              </w:rPr>
              <w:t>ategor</w:t>
            </w:r>
            <w:r w:rsidRPr="007F13D6">
              <w:rPr>
                <w:rFonts w:ascii="Arial" w:hAnsi="Arial" w:cs="Arial"/>
                <w:b/>
                <w:color w:val="1F4E78"/>
              </w:rPr>
              <w:t>y status</w:t>
            </w:r>
          </w:p>
          <w:p w14:paraId="3D464F4A" w14:textId="2C42DD5C" w:rsidR="009A41DE" w:rsidRPr="007F13D6" w:rsidRDefault="009A41DE" w:rsidP="00CE7AFC">
            <w:pPr>
              <w:spacing w:before="120" w:after="120" w:line="240" w:lineRule="auto"/>
              <w:rPr>
                <w:rFonts w:ascii="Arial" w:hAnsi="Arial" w:cs="Arial"/>
                <w:color w:val="000000"/>
                <w:sz w:val="19"/>
              </w:rPr>
            </w:pPr>
            <w:r w:rsidRPr="007F13D6">
              <w:rPr>
                <w:rFonts w:ascii="Arial" w:hAnsi="Arial" w:cs="Arial"/>
                <w:color w:val="000000"/>
                <w:sz w:val="19"/>
              </w:rPr>
              <w:t>Of the 18 categories included in the comparable-amount subtotal, 17 have confirmed mappings, quantities, and common rates: the six Base Division I categories; Principals; Assistant Principals; Administrative Support Professionals; Instructional Supports; Superintendents; Administrative Assistants; Assistant Superintendents; Directors; 11-Month Supervisors; Transportation Supervisors; and Reading Cadre.</w:t>
            </w:r>
          </w:p>
          <w:p w14:paraId="72E2A5D4" w14:textId="3D02246C" w:rsidR="009A41DE" w:rsidRPr="007F13D6" w:rsidRDefault="001034CB" w:rsidP="00CE7AFC">
            <w:pPr>
              <w:spacing w:before="120" w:after="120" w:line="240" w:lineRule="auto"/>
              <w:rPr>
                <w:rFonts w:ascii="Arial" w:hAnsi="Arial" w:cs="Arial"/>
                <w:color w:val="000000"/>
                <w:sz w:val="19"/>
              </w:rPr>
            </w:pPr>
            <w:r w:rsidRPr="007F13D6">
              <w:rPr>
                <w:rFonts w:ascii="Arial" w:hAnsi="Arial" w:cs="Arial"/>
                <w:color w:val="000000"/>
                <w:sz w:val="19"/>
              </w:rPr>
              <w:t>Food Services Supervisor is the only provisional category included in the subtotal. The recreated current model independently identifies nine positions, valued at approximately $1.11 million, for districts meeting the 500-Division I-unit threshold. School Finance indicated that all 19 districts currently receive at least one unit, but LEA-level allocations and the lunch-program building counts needed to fully reproduce those awards have not yet been confirmed. The primary estimate therefore retains the nine independently recreated positions as an incomplete minimum</w:t>
            </w:r>
            <w:r w:rsidR="009A41DE" w:rsidRPr="007F13D6">
              <w:rPr>
                <w:rFonts w:ascii="Arial" w:hAnsi="Arial" w:cs="Arial"/>
                <w:color w:val="000000"/>
                <w:sz w:val="19"/>
              </w:rPr>
              <w:t>.</w:t>
            </w:r>
          </w:p>
          <w:p w14:paraId="7C00B085" w14:textId="77777777" w:rsidR="009A41DE" w:rsidRPr="007F13D6" w:rsidRDefault="009A41DE" w:rsidP="00CE7AFC">
            <w:pPr>
              <w:spacing w:before="120" w:after="120" w:line="240" w:lineRule="auto"/>
              <w:rPr>
                <w:rFonts w:ascii="Arial" w:hAnsi="Arial" w:cs="Arial"/>
                <w:color w:val="000000"/>
                <w:sz w:val="19"/>
              </w:rPr>
            </w:pPr>
            <w:r w:rsidRPr="007F13D6">
              <w:rPr>
                <w:rFonts w:ascii="Arial" w:hAnsi="Arial" w:cs="Arial"/>
                <w:color w:val="000000"/>
                <w:sz w:val="19"/>
              </w:rPr>
              <w:t>Buildings and Grounds Supervisor is excluded from the comparable-amount subtotal because current custodial-unit data are not yet available.</w:t>
            </w:r>
          </w:p>
        </w:tc>
      </w:tr>
    </w:tbl>
    <w:p w14:paraId="1888125B" w14:textId="77777777" w:rsidR="007407E1" w:rsidRPr="007F13D6" w:rsidRDefault="007407E1" w:rsidP="00CE7AFC">
      <w:pPr>
        <w:pStyle w:val="BodyText"/>
        <w:keepLines/>
        <w:spacing w:before="120" w:line="240" w:lineRule="auto"/>
        <w:rPr>
          <w:rFonts w:ascii="Arial" w:hAnsi="Arial" w:cs="Arial"/>
        </w:rPr>
      </w:pPr>
    </w:p>
    <w:tbl>
      <w:tblPr>
        <w:tblW w:w="0" w:type="auto"/>
        <w:jc w:val="center"/>
        <w:tblLook w:val="04A0" w:firstRow="1" w:lastRow="0" w:firstColumn="1" w:lastColumn="0" w:noHBand="0" w:noVBand="1"/>
      </w:tblPr>
      <w:tblGrid>
        <w:gridCol w:w="9340"/>
      </w:tblGrid>
      <w:tr w:rsidR="009A41DE" w:rsidRPr="007F13D6" w14:paraId="4D771188" w14:textId="77777777">
        <w:trPr>
          <w:jc w:val="center"/>
        </w:trPr>
        <w:tc>
          <w:tcPr>
            <w:tcW w:w="964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40" w:type="dxa"/>
              <w:bottom w:w="110" w:type="dxa"/>
              <w:right w:w="140" w:type="dxa"/>
            </w:tcMar>
          </w:tcPr>
          <w:p w14:paraId="1456050C" w14:textId="77777777" w:rsidR="009A41DE" w:rsidRPr="007F13D6" w:rsidRDefault="009A41DE" w:rsidP="00CE7AFC">
            <w:pPr>
              <w:spacing w:before="120" w:after="120" w:line="240" w:lineRule="auto"/>
              <w:rPr>
                <w:rFonts w:ascii="Arial" w:hAnsi="Arial" w:cs="Arial"/>
              </w:rPr>
            </w:pPr>
            <w:r w:rsidRPr="007F13D6">
              <w:rPr>
                <w:rFonts w:ascii="Arial" w:hAnsi="Arial" w:cs="Arial"/>
                <w:b/>
                <w:color w:val="1F4E78"/>
              </w:rPr>
              <w:t>Note</w:t>
            </w:r>
          </w:p>
          <w:p w14:paraId="430C6477" w14:textId="2DDE11DB" w:rsidR="009A41DE" w:rsidRPr="007F13D6" w:rsidRDefault="001034CB" w:rsidP="00CE7AFC">
            <w:pPr>
              <w:spacing w:before="120" w:after="120" w:line="240" w:lineRule="auto"/>
              <w:rPr>
                <w:rFonts w:ascii="Arial" w:hAnsi="Arial" w:cs="Arial"/>
              </w:rPr>
            </w:pPr>
            <w:r w:rsidRPr="007F13D6">
              <w:rPr>
                <w:rFonts w:ascii="Arial" w:hAnsi="Arial" w:cs="Arial"/>
                <w:color w:val="000000"/>
                <w:sz w:val="19"/>
              </w:rPr>
              <w:t>School Finance indicated that all 19 districts currently receive at least one Food Services Supervisor unit. If confirmed at the LEA level, the current estimate would increase from 9 to 19 positions and from approximately $1.11 million to $2.35 million. This sensitivity is not incorporated into the primary estimate</w:t>
            </w:r>
            <w:r w:rsidR="009A41DE" w:rsidRPr="007F13D6">
              <w:rPr>
                <w:rFonts w:ascii="Arial" w:hAnsi="Arial" w:cs="Arial"/>
                <w:color w:val="000000"/>
                <w:sz w:val="19"/>
              </w:rPr>
              <w:t>.</w:t>
            </w:r>
          </w:p>
        </w:tc>
      </w:tr>
    </w:tbl>
    <w:p w14:paraId="6BE86240" w14:textId="77777777" w:rsidR="00726538" w:rsidRPr="007F13D6" w:rsidRDefault="00954852" w:rsidP="00CE7AFC">
      <w:pPr>
        <w:pStyle w:val="Heading2"/>
        <w:spacing w:before="120" w:after="120" w:line="240" w:lineRule="auto"/>
        <w:rPr>
          <w:rFonts w:ascii="Arial" w:hAnsi="Arial" w:cs="Arial"/>
        </w:rPr>
      </w:pPr>
      <w:bookmarkStart w:id="18" w:name="_Toc237512553"/>
      <w:r w:rsidRPr="007F13D6">
        <w:rPr>
          <w:rFonts w:ascii="Arial" w:hAnsi="Arial" w:cs="Arial"/>
        </w:rPr>
        <w:t>3.2 Core teaching quantities are nearly unchanged</w:t>
      </w:r>
      <w:bookmarkEnd w:id="18"/>
    </w:p>
    <w:p w14:paraId="4D0E14E7" w14:textId="77777777" w:rsidR="00B2129B" w:rsidRPr="007F13D6" w:rsidRDefault="00B2129B" w:rsidP="00CE7AFC">
      <w:pPr>
        <w:spacing w:before="120" w:after="120" w:line="240" w:lineRule="auto"/>
        <w:rPr>
          <w:rFonts w:ascii="Arial" w:hAnsi="Arial" w:cs="Arial"/>
        </w:rPr>
      </w:pPr>
      <w:r w:rsidRPr="007F13D6">
        <w:rPr>
          <w:rFonts w:ascii="Arial" w:hAnsi="Arial" w:cs="Arial"/>
        </w:rPr>
        <w:t>The recreated current model carries forward the Division I teaching quantities reported in the SY 2025–26 Unit Count file produced by the Data Service Center. The IV&amp;V proposed model uses the corresponding student enrollment categories from that same file and applies the proposed staffing ratios to recalculate the teaching quantities. For these categories, the proposed ratios are the same as the Division I staffing ratios reflected in the current Unit Count quantities.</w:t>
      </w:r>
    </w:p>
    <w:p w14:paraId="3044D23D" w14:textId="77777777" w:rsidR="000F7D53" w:rsidRPr="007F13D6" w:rsidRDefault="00F46C66" w:rsidP="00CE7AFC">
      <w:pPr>
        <w:spacing w:before="120" w:after="120" w:line="240" w:lineRule="auto"/>
        <w:rPr>
          <w:rFonts w:ascii="Arial" w:hAnsi="Arial" w:cs="Arial"/>
        </w:rPr>
      </w:pPr>
      <w:r w:rsidRPr="007F13D6">
        <w:rPr>
          <w:rFonts w:ascii="Arial" w:hAnsi="Arial" w:cs="Arial"/>
        </w:rPr>
        <w:t xml:space="preserve">For charters, the official Unit Count totals are allocated across the building-level calculation units identified in the PEFC workbook while preserving each charter organization’s statewide total. </w:t>
      </w:r>
      <w:r w:rsidR="00E44420" w:rsidRPr="007F13D6">
        <w:rPr>
          <w:rFonts w:ascii="Arial" w:hAnsi="Arial" w:cs="Arial"/>
        </w:rPr>
        <w:t>Whole-student categories are split across the charter’s buildings in proportion to the workbook’s building-level shares. Vocational quantities are not rounded and retain their full decimal values.</w:t>
      </w:r>
    </w:p>
    <w:p w14:paraId="5B422C59" w14:textId="77777777" w:rsidR="000F7D53" w:rsidRPr="007F13D6" w:rsidRDefault="000F7D53" w:rsidP="00CE7AFC">
      <w:pPr>
        <w:spacing w:before="120" w:after="120" w:line="240" w:lineRule="auto"/>
        <w:rPr>
          <w:rFonts w:ascii="Arial" w:hAnsi="Arial" w:cs="Arial"/>
        </w:rPr>
      </w:pPr>
      <w:r w:rsidRPr="007F13D6">
        <w:rPr>
          <w:rFonts w:ascii="Arial" w:hAnsi="Arial" w:cs="Arial"/>
        </w:rPr>
        <w:t>Because the two models use the same underlying Unit Count enrollment categories and equivalent staffing ratios for these teaching categories, the statewide Base Division I totals are nearly identical. The IV&amp;V proposed model produces only 0.26 more positions statewide. The small remaining differences are consistent with differences in calculation precision and aggregation rather than meaningful changes in statewide teaching levels.</w:t>
      </w:r>
    </w:p>
    <w:p w14:paraId="14AC4965" w14:textId="77777777"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Exhibit 5. Core teaching and vocational quantities</w:t>
      </w:r>
    </w:p>
    <w:tbl>
      <w:tblPr>
        <w:tblW w:w="8712" w:type="dxa"/>
        <w:jc w:val="center"/>
        <w:tblLayout w:type="fixed"/>
        <w:tblLook w:val="04A0" w:firstRow="1" w:lastRow="0" w:firstColumn="1" w:lastColumn="0" w:noHBand="0" w:noVBand="1"/>
      </w:tblPr>
      <w:tblGrid>
        <w:gridCol w:w="3726"/>
        <w:gridCol w:w="1674"/>
        <w:gridCol w:w="1512"/>
        <w:gridCol w:w="1800"/>
      </w:tblGrid>
      <w:tr w:rsidR="00C6787F" w:rsidRPr="007F13D6" w14:paraId="6EE8D6FD" w14:textId="77777777" w:rsidTr="007047D3">
        <w:trPr>
          <w:cantSplit/>
          <w:tblHeader/>
          <w:jc w:val="center"/>
        </w:trPr>
        <w:tc>
          <w:tcPr>
            <w:tcW w:w="3726" w:type="dxa"/>
            <w:tcBorders>
              <w:bottom w:val="single" w:sz="8" w:space="0" w:color="FFFFFF"/>
            </w:tcBorders>
            <w:shd w:val="clear" w:color="auto" w:fill="1F4E78"/>
            <w:tcMar>
              <w:top w:w="70" w:type="dxa"/>
              <w:left w:w="80" w:type="dxa"/>
              <w:bottom w:w="70" w:type="dxa"/>
              <w:right w:w="80" w:type="dxa"/>
            </w:tcMar>
            <w:vAlign w:val="center"/>
          </w:tcPr>
          <w:p w14:paraId="30887338" w14:textId="77777777" w:rsidR="00C6787F" w:rsidRPr="007F13D6" w:rsidRDefault="00C6787F"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Category</w:t>
            </w:r>
          </w:p>
        </w:tc>
        <w:tc>
          <w:tcPr>
            <w:tcW w:w="1674" w:type="dxa"/>
            <w:tcBorders>
              <w:bottom w:val="single" w:sz="8" w:space="0" w:color="FFFFFF"/>
            </w:tcBorders>
            <w:shd w:val="clear" w:color="auto" w:fill="1F4E78"/>
            <w:tcMar>
              <w:top w:w="70" w:type="dxa"/>
              <w:left w:w="80" w:type="dxa"/>
              <w:bottom w:w="70" w:type="dxa"/>
              <w:right w:w="80" w:type="dxa"/>
            </w:tcMar>
            <w:vAlign w:val="center"/>
          </w:tcPr>
          <w:p w14:paraId="7DB908C7" w14:textId="77777777" w:rsidR="00C6787F" w:rsidRPr="007F13D6" w:rsidRDefault="00C6787F"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Recreated current</w:t>
            </w:r>
          </w:p>
        </w:tc>
        <w:tc>
          <w:tcPr>
            <w:tcW w:w="1512" w:type="dxa"/>
            <w:tcBorders>
              <w:bottom w:val="single" w:sz="8" w:space="0" w:color="FFFFFF"/>
            </w:tcBorders>
            <w:shd w:val="clear" w:color="auto" w:fill="1F4E78"/>
            <w:tcMar>
              <w:top w:w="70" w:type="dxa"/>
              <w:left w:w="80" w:type="dxa"/>
              <w:bottom w:w="70" w:type="dxa"/>
              <w:right w:w="80" w:type="dxa"/>
            </w:tcMar>
            <w:vAlign w:val="center"/>
          </w:tcPr>
          <w:p w14:paraId="3E92A78A" w14:textId="77777777" w:rsidR="00C6787F" w:rsidRPr="007F13D6" w:rsidRDefault="00C6787F"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IV&amp;V proposed</w:t>
            </w:r>
          </w:p>
        </w:tc>
        <w:tc>
          <w:tcPr>
            <w:tcW w:w="1800" w:type="dxa"/>
            <w:tcBorders>
              <w:bottom w:val="single" w:sz="8" w:space="0" w:color="FFFFFF"/>
            </w:tcBorders>
            <w:shd w:val="clear" w:color="auto" w:fill="1F4E78"/>
            <w:tcMar>
              <w:top w:w="70" w:type="dxa"/>
              <w:left w:w="80" w:type="dxa"/>
              <w:bottom w:w="70" w:type="dxa"/>
              <w:right w:w="80" w:type="dxa"/>
            </w:tcMar>
            <w:vAlign w:val="center"/>
          </w:tcPr>
          <w:p w14:paraId="1B322CAE" w14:textId="77777777" w:rsidR="00C6787F" w:rsidRPr="007F13D6" w:rsidRDefault="00C6787F"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Position difference</w:t>
            </w:r>
          </w:p>
        </w:tc>
      </w:tr>
      <w:tr w:rsidR="00C6787F" w:rsidRPr="007F13D6" w14:paraId="1344FFAF" w14:textId="77777777" w:rsidTr="007047D3">
        <w:trPr>
          <w:cantSplit/>
          <w:jc w:val="center"/>
        </w:trPr>
        <w:tc>
          <w:tcPr>
            <w:tcW w:w="3726" w:type="dxa"/>
            <w:tcBorders>
              <w:bottom w:val="single" w:sz="4" w:space="0" w:color="B7B7B7"/>
            </w:tcBorders>
            <w:shd w:val="clear" w:color="auto" w:fill="EAF3F8"/>
            <w:tcMar>
              <w:top w:w="70" w:type="dxa"/>
              <w:left w:w="80" w:type="dxa"/>
              <w:bottom w:w="70" w:type="dxa"/>
              <w:right w:w="80" w:type="dxa"/>
            </w:tcMar>
            <w:vAlign w:val="center"/>
          </w:tcPr>
          <w:p w14:paraId="758CA88F"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K–3 Regular Education Teachers</w:t>
            </w:r>
          </w:p>
        </w:tc>
        <w:tc>
          <w:tcPr>
            <w:tcW w:w="1674" w:type="dxa"/>
            <w:tcBorders>
              <w:bottom w:val="single" w:sz="4" w:space="0" w:color="B7B7B7"/>
            </w:tcBorders>
            <w:shd w:val="clear" w:color="auto" w:fill="EAF3F8"/>
            <w:tcMar>
              <w:top w:w="70" w:type="dxa"/>
              <w:left w:w="80" w:type="dxa"/>
              <w:bottom w:w="70" w:type="dxa"/>
              <w:right w:w="80" w:type="dxa"/>
            </w:tcMar>
            <w:vAlign w:val="center"/>
          </w:tcPr>
          <w:p w14:paraId="302B7182"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2,090.01</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0DAE4FF0"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2,090.06</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733D5724"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+0.05</w:t>
            </w:r>
          </w:p>
        </w:tc>
      </w:tr>
      <w:tr w:rsidR="00C6787F" w:rsidRPr="007F13D6" w14:paraId="1CD0D7C8" w14:textId="77777777" w:rsidTr="007047D3">
        <w:trPr>
          <w:cantSplit/>
          <w:jc w:val="center"/>
        </w:trPr>
        <w:tc>
          <w:tcPr>
            <w:tcW w:w="3726" w:type="dxa"/>
            <w:tcBorders>
              <w:bottom w:val="single" w:sz="4" w:space="0" w:color="B7B7B7"/>
            </w:tcBorders>
            <w:tcMar>
              <w:top w:w="70" w:type="dxa"/>
              <w:left w:w="80" w:type="dxa"/>
              <w:bottom w:w="70" w:type="dxa"/>
              <w:right w:w="80" w:type="dxa"/>
            </w:tcMar>
            <w:vAlign w:val="center"/>
          </w:tcPr>
          <w:p w14:paraId="59119CF0"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Grades 4–12 Regular Education Teachers</w:t>
            </w:r>
          </w:p>
        </w:tc>
        <w:tc>
          <w:tcPr>
            <w:tcW w:w="1674" w:type="dxa"/>
            <w:tcBorders>
              <w:bottom w:val="single" w:sz="4" w:space="0" w:color="B7B7B7"/>
            </w:tcBorders>
            <w:tcMar>
              <w:top w:w="70" w:type="dxa"/>
              <w:left w:w="80" w:type="dxa"/>
              <w:bottom w:w="70" w:type="dxa"/>
              <w:right w:w="80" w:type="dxa"/>
            </w:tcMar>
            <w:vAlign w:val="center"/>
          </w:tcPr>
          <w:p w14:paraId="13BE7E27"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3,989.70</w:t>
            </w:r>
          </w:p>
        </w:tc>
        <w:tc>
          <w:tcPr>
            <w:tcW w:w="1512" w:type="dxa"/>
            <w:tcBorders>
              <w:bottom w:val="single" w:sz="4" w:space="0" w:color="B7B7B7"/>
            </w:tcBorders>
            <w:tcMar>
              <w:top w:w="70" w:type="dxa"/>
              <w:left w:w="80" w:type="dxa"/>
              <w:bottom w:w="70" w:type="dxa"/>
              <w:right w:w="80" w:type="dxa"/>
            </w:tcMar>
            <w:vAlign w:val="center"/>
          </w:tcPr>
          <w:p w14:paraId="0DFA6547"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3,989.70</w:t>
            </w:r>
          </w:p>
        </w:tc>
        <w:tc>
          <w:tcPr>
            <w:tcW w:w="1800" w:type="dxa"/>
            <w:tcBorders>
              <w:bottom w:val="single" w:sz="4" w:space="0" w:color="B7B7B7"/>
            </w:tcBorders>
            <w:tcMar>
              <w:top w:w="70" w:type="dxa"/>
              <w:left w:w="80" w:type="dxa"/>
              <w:bottom w:w="70" w:type="dxa"/>
              <w:right w:w="80" w:type="dxa"/>
            </w:tcMar>
            <w:vAlign w:val="center"/>
          </w:tcPr>
          <w:p w14:paraId="5A0C16BB"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0.00</w:t>
            </w:r>
          </w:p>
        </w:tc>
      </w:tr>
      <w:tr w:rsidR="00C6787F" w:rsidRPr="007F13D6" w14:paraId="5035C4CB" w14:textId="77777777" w:rsidTr="007047D3">
        <w:trPr>
          <w:cantSplit/>
          <w:jc w:val="center"/>
        </w:trPr>
        <w:tc>
          <w:tcPr>
            <w:tcW w:w="3726" w:type="dxa"/>
            <w:tcBorders>
              <w:bottom w:val="single" w:sz="4" w:space="0" w:color="B7B7B7"/>
            </w:tcBorders>
            <w:shd w:val="clear" w:color="auto" w:fill="EAF3F8"/>
            <w:tcMar>
              <w:top w:w="70" w:type="dxa"/>
              <w:left w:w="80" w:type="dxa"/>
              <w:bottom w:w="70" w:type="dxa"/>
              <w:right w:w="80" w:type="dxa"/>
            </w:tcMar>
            <w:vAlign w:val="center"/>
          </w:tcPr>
          <w:p w14:paraId="12F2D0F3"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Basic Special Education Teachers</w:t>
            </w:r>
          </w:p>
        </w:tc>
        <w:tc>
          <w:tcPr>
            <w:tcW w:w="1674" w:type="dxa"/>
            <w:tcBorders>
              <w:bottom w:val="single" w:sz="4" w:space="0" w:color="B7B7B7"/>
            </w:tcBorders>
            <w:shd w:val="clear" w:color="auto" w:fill="EAF3F8"/>
            <w:tcMar>
              <w:top w:w="70" w:type="dxa"/>
              <w:left w:w="80" w:type="dxa"/>
              <w:bottom w:w="70" w:type="dxa"/>
              <w:right w:w="80" w:type="dxa"/>
            </w:tcMar>
            <w:vAlign w:val="center"/>
          </w:tcPr>
          <w:p w14:paraId="0846C416"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1,653.86</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1DDD3040"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1,653.93</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4990B9D4"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+0.07</w:t>
            </w:r>
          </w:p>
        </w:tc>
      </w:tr>
      <w:tr w:rsidR="00C6787F" w:rsidRPr="007F13D6" w14:paraId="6855628E" w14:textId="77777777" w:rsidTr="007047D3">
        <w:trPr>
          <w:cantSplit/>
          <w:jc w:val="center"/>
        </w:trPr>
        <w:tc>
          <w:tcPr>
            <w:tcW w:w="3726" w:type="dxa"/>
            <w:tcBorders>
              <w:bottom w:val="single" w:sz="4" w:space="0" w:color="B7B7B7"/>
            </w:tcBorders>
            <w:tcMar>
              <w:top w:w="70" w:type="dxa"/>
              <w:left w:w="80" w:type="dxa"/>
              <w:bottom w:w="70" w:type="dxa"/>
              <w:right w:w="80" w:type="dxa"/>
            </w:tcMar>
            <w:vAlign w:val="center"/>
          </w:tcPr>
          <w:p w14:paraId="39CB843A"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Intensive Special Education Teachers</w:t>
            </w:r>
          </w:p>
        </w:tc>
        <w:tc>
          <w:tcPr>
            <w:tcW w:w="1674" w:type="dxa"/>
            <w:tcBorders>
              <w:bottom w:val="single" w:sz="4" w:space="0" w:color="B7B7B7"/>
            </w:tcBorders>
            <w:tcMar>
              <w:top w:w="70" w:type="dxa"/>
              <w:left w:w="80" w:type="dxa"/>
              <w:bottom w:w="70" w:type="dxa"/>
              <w:right w:w="80" w:type="dxa"/>
            </w:tcMar>
            <w:vAlign w:val="center"/>
          </w:tcPr>
          <w:p w14:paraId="4F9C6ECD"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1,152.47</w:t>
            </w:r>
          </w:p>
        </w:tc>
        <w:tc>
          <w:tcPr>
            <w:tcW w:w="1512" w:type="dxa"/>
            <w:tcBorders>
              <w:bottom w:val="single" w:sz="4" w:space="0" w:color="B7B7B7"/>
            </w:tcBorders>
            <w:tcMar>
              <w:top w:w="70" w:type="dxa"/>
              <w:left w:w="80" w:type="dxa"/>
              <w:bottom w:w="70" w:type="dxa"/>
              <w:right w:w="80" w:type="dxa"/>
            </w:tcMar>
            <w:vAlign w:val="center"/>
          </w:tcPr>
          <w:p w14:paraId="3F537E1F"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1,152.50</w:t>
            </w:r>
          </w:p>
        </w:tc>
        <w:tc>
          <w:tcPr>
            <w:tcW w:w="1800" w:type="dxa"/>
            <w:tcBorders>
              <w:bottom w:val="single" w:sz="4" w:space="0" w:color="B7B7B7"/>
            </w:tcBorders>
            <w:tcMar>
              <w:top w:w="70" w:type="dxa"/>
              <w:left w:w="80" w:type="dxa"/>
              <w:bottom w:w="70" w:type="dxa"/>
              <w:right w:w="80" w:type="dxa"/>
            </w:tcMar>
            <w:vAlign w:val="center"/>
          </w:tcPr>
          <w:p w14:paraId="011A4854"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+0.03</w:t>
            </w:r>
          </w:p>
        </w:tc>
      </w:tr>
      <w:tr w:rsidR="00C6787F" w:rsidRPr="007F13D6" w14:paraId="63231D73" w14:textId="77777777" w:rsidTr="007047D3">
        <w:trPr>
          <w:cantSplit/>
          <w:jc w:val="center"/>
        </w:trPr>
        <w:tc>
          <w:tcPr>
            <w:tcW w:w="3726" w:type="dxa"/>
            <w:tcBorders>
              <w:bottom w:val="single" w:sz="4" w:space="0" w:color="B7B7B7"/>
            </w:tcBorders>
            <w:shd w:val="clear" w:color="auto" w:fill="EAF3F8"/>
            <w:tcMar>
              <w:top w:w="70" w:type="dxa"/>
              <w:left w:w="80" w:type="dxa"/>
              <w:bottom w:w="70" w:type="dxa"/>
              <w:right w:w="80" w:type="dxa"/>
            </w:tcMar>
            <w:vAlign w:val="center"/>
          </w:tcPr>
          <w:p w14:paraId="2EB2C997"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Complex Special Education Teachers</w:t>
            </w:r>
          </w:p>
        </w:tc>
        <w:tc>
          <w:tcPr>
            <w:tcW w:w="1674" w:type="dxa"/>
            <w:tcBorders>
              <w:bottom w:val="single" w:sz="4" w:space="0" w:color="B7B7B7"/>
            </w:tcBorders>
            <w:shd w:val="clear" w:color="auto" w:fill="EAF3F8"/>
            <w:tcMar>
              <w:top w:w="70" w:type="dxa"/>
              <w:left w:w="80" w:type="dxa"/>
              <w:bottom w:w="70" w:type="dxa"/>
              <w:right w:w="80" w:type="dxa"/>
            </w:tcMar>
            <w:vAlign w:val="center"/>
          </w:tcPr>
          <w:p w14:paraId="1BEC694B"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2,449.12</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57902801"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2,449.23</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505B8C53"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+0.11</w:t>
            </w:r>
          </w:p>
        </w:tc>
      </w:tr>
      <w:tr w:rsidR="00C6787F" w:rsidRPr="007F13D6" w14:paraId="07E6DDE6" w14:textId="77777777" w:rsidTr="007047D3">
        <w:trPr>
          <w:cantSplit/>
          <w:jc w:val="center"/>
        </w:trPr>
        <w:tc>
          <w:tcPr>
            <w:tcW w:w="3726" w:type="dxa"/>
            <w:tcBorders>
              <w:bottom w:val="single" w:sz="4" w:space="0" w:color="B7B7B7"/>
            </w:tcBorders>
            <w:tcMar>
              <w:top w:w="70" w:type="dxa"/>
              <w:left w:w="80" w:type="dxa"/>
              <w:bottom w:w="70" w:type="dxa"/>
              <w:right w:w="80" w:type="dxa"/>
            </w:tcMar>
            <w:vAlign w:val="center"/>
          </w:tcPr>
          <w:p w14:paraId="552DA1B0"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Net Vocational Division I Positions</w:t>
            </w:r>
          </w:p>
        </w:tc>
        <w:tc>
          <w:tcPr>
            <w:tcW w:w="1674" w:type="dxa"/>
            <w:tcBorders>
              <w:bottom w:val="single" w:sz="4" w:space="0" w:color="B7B7B7"/>
            </w:tcBorders>
            <w:tcMar>
              <w:top w:w="70" w:type="dxa"/>
              <w:left w:w="80" w:type="dxa"/>
              <w:bottom w:w="70" w:type="dxa"/>
              <w:right w:w="80" w:type="dxa"/>
            </w:tcMar>
            <w:vAlign w:val="center"/>
          </w:tcPr>
          <w:p w14:paraId="52A0BFC4"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419.22</w:t>
            </w:r>
          </w:p>
        </w:tc>
        <w:tc>
          <w:tcPr>
            <w:tcW w:w="1512" w:type="dxa"/>
            <w:tcBorders>
              <w:bottom w:val="single" w:sz="4" w:space="0" w:color="B7B7B7"/>
            </w:tcBorders>
            <w:tcMar>
              <w:top w:w="70" w:type="dxa"/>
              <w:left w:w="80" w:type="dxa"/>
              <w:bottom w:w="70" w:type="dxa"/>
              <w:right w:w="80" w:type="dxa"/>
            </w:tcMar>
            <w:vAlign w:val="center"/>
          </w:tcPr>
          <w:p w14:paraId="7BE9B271"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419.22</w:t>
            </w:r>
          </w:p>
        </w:tc>
        <w:tc>
          <w:tcPr>
            <w:tcW w:w="1800" w:type="dxa"/>
            <w:tcBorders>
              <w:bottom w:val="single" w:sz="4" w:space="0" w:color="B7B7B7"/>
            </w:tcBorders>
            <w:tcMar>
              <w:top w:w="70" w:type="dxa"/>
              <w:left w:w="80" w:type="dxa"/>
              <w:bottom w:w="70" w:type="dxa"/>
              <w:right w:w="80" w:type="dxa"/>
            </w:tcMar>
            <w:vAlign w:val="center"/>
          </w:tcPr>
          <w:p w14:paraId="4F6F9D00" w14:textId="77777777" w:rsidR="00C6787F" w:rsidRPr="007F13D6" w:rsidRDefault="00C6787F" w:rsidP="007407E1">
            <w:pPr>
              <w:spacing w:after="0" w:line="240" w:lineRule="auto"/>
              <w:jc w:val="center"/>
              <w:rPr>
                <w:rFonts w:ascii="Arial" w:hAnsi="Arial" w:cs="Arial"/>
                <w:sz w:val="17"/>
                <w:szCs w:val="17"/>
              </w:rPr>
            </w:pPr>
            <w:r w:rsidRPr="007F13D6">
              <w:rPr>
                <w:rFonts w:ascii="Arial" w:hAnsi="Arial" w:cs="Arial"/>
                <w:color w:val="000000"/>
                <w:sz w:val="17"/>
                <w:szCs w:val="17"/>
              </w:rPr>
              <w:t>0.00</w:t>
            </w:r>
          </w:p>
        </w:tc>
      </w:tr>
      <w:tr w:rsidR="00C6787F" w:rsidRPr="007F13D6" w14:paraId="5776B139" w14:textId="77777777" w:rsidTr="007047D3">
        <w:trPr>
          <w:cantSplit/>
          <w:jc w:val="center"/>
        </w:trPr>
        <w:tc>
          <w:tcPr>
            <w:tcW w:w="3726" w:type="dxa"/>
            <w:tcBorders>
              <w:bottom w:val="single" w:sz="4" w:space="0" w:color="B7B7B7"/>
            </w:tcBorders>
            <w:shd w:val="clear" w:color="auto" w:fill="EAF3F8"/>
            <w:tcMar>
              <w:top w:w="70" w:type="dxa"/>
              <w:left w:w="80" w:type="dxa"/>
              <w:bottom w:w="70" w:type="dxa"/>
              <w:right w:w="80" w:type="dxa"/>
            </w:tcMar>
            <w:vAlign w:val="center"/>
          </w:tcPr>
          <w:p w14:paraId="3EDB6C50" w14:textId="77777777" w:rsidR="00C6787F" w:rsidRPr="007F13D6" w:rsidRDefault="00C6787F" w:rsidP="007407E1">
            <w:pPr>
              <w:spacing w:after="0" w:line="240" w:lineRule="auto"/>
              <w:jc w:val="center"/>
              <w:rPr>
                <w:rFonts w:ascii="Arial" w:hAnsi="Arial" w:cs="Arial"/>
                <w:color w:val="000000"/>
                <w:sz w:val="17"/>
                <w:szCs w:val="17"/>
              </w:rPr>
            </w:pPr>
            <w:r w:rsidRPr="007F13D6">
              <w:rPr>
                <w:rStyle w:val="Strong"/>
                <w:rFonts w:ascii="Arial" w:hAnsi="Arial" w:cs="Arial"/>
                <w:color w:val="000000"/>
                <w:sz w:val="17"/>
                <w:szCs w:val="17"/>
              </w:rPr>
              <w:t>Total Base Division I</w:t>
            </w:r>
            <w:r w:rsidR="005A65EF" w:rsidRPr="007F13D6">
              <w:rPr>
                <w:rStyle w:val="Strong"/>
                <w:rFonts w:ascii="Arial" w:hAnsi="Arial" w:cs="Arial"/>
                <w:color w:val="000000"/>
                <w:sz w:val="17"/>
                <w:szCs w:val="17"/>
              </w:rPr>
              <w:t xml:space="preserve"> Positions</w:t>
            </w:r>
          </w:p>
        </w:tc>
        <w:tc>
          <w:tcPr>
            <w:tcW w:w="1674" w:type="dxa"/>
            <w:tcBorders>
              <w:bottom w:val="single" w:sz="4" w:space="0" w:color="B7B7B7"/>
            </w:tcBorders>
            <w:shd w:val="clear" w:color="auto" w:fill="EAF3F8"/>
            <w:tcMar>
              <w:top w:w="70" w:type="dxa"/>
              <w:left w:w="80" w:type="dxa"/>
              <w:bottom w:w="70" w:type="dxa"/>
              <w:right w:w="80" w:type="dxa"/>
            </w:tcMar>
            <w:vAlign w:val="center"/>
          </w:tcPr>
          <w:p w14:paraId="02D715E7" w14:textId="77777777" w:rsidR="00C6787F" w:rsidRPr="007F13D6" w:rsidRDefault="00C6787F" w:rsidP="007407E1">
            <w:pPr>
              <w:spacing w:after="0" w:line="240" w:lineRule="auto"/>
              <w:jc w:val="center"/>
              <w:rPr>
                <w:rFonts w:ascii="Arial" w:hAnsi="Arial" w:cs="Arial"/>
                <w:color w:val="000000"/>
                <w:sz w:val="17"/>
                <w:szCs w:val="17"/>
              </w:rPr>
            </w:pPr>
            <w:r w:rsidRPr="007F13D6">
              <w:rPr>
                <w:rStyle w:val="Strong"/>
                <w:rFonts w:ascii="Arial" w:hAnsi="Arial" w:cs="Arial"/>
                <w:color w:val="000000"/>
                <w:sz w:val="17"/>
                <w:szCs w:val="17"/>
              </w:rPr>
              <w:t>11,754.38</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106FF46C" w14:textId="77777777" w:rsidR="00C6787F" w:rsidRPr="007F13D6" w:rsidRDefault="00C6787F" w:rsidP="007407E1">
            <w:pPr>
              <w:spacing w:after="0" w:line="240" w:lineRule="auto"/>
              <w:jc w:val="center"/>
              <w:rPr>
                <w:rFonts w:ascii="Arial" w:hAnsi="Arial" w:cs="Arial"/>
                <w:color w:val="000000"/>
                <w:sz w:val="17"/>
                <w:szCs w:val="17"/>
              </w:rPr>
            </w:pPr>
            <w:r w:rsidRPr="007F13D6">
              <w:rPr>
                <w:rStyle w:val="Strong"/>
                <w:rFonts w:ascii="Arial" w:hAnsi="Arial" w:cs="Arial"/>
                <w:color w:val="000000"/>
                <w:sz w:val="17"/>
                <w:szCs w:val="17"/>
              </w:rPr>
              <w:t>11,754.64</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32007AE0" w14:textId="77777777" w:rsidR="00C6787F" w:rsidRPr="007F13D6" w:rsidRDefault="00C6787F" w:rsidP="007407E1">
            <w:pPr>
              <w:spacing w:after="0" w:line="240" w:lineRule="auto"/>
              <w:jc w:val="center"/>
              <w:rPr>
                <w:rFonts w:ascii="Arial" w:hAnsi="Arial" w:cs="Arial"/>
                <w:color w:val="000000"/>
                <w:sz w:val="17"/>
                <w:szCs w:val="17"/>
              </w:rPr>
            </w:pPr>
            <w:r w:rsidRPr="007F13D6">
              <w:rPr>
                <w:rStyle w:val="Strong"/>
                <w:rFonts w:ascii="Arial" w:hAnsi="Arial" w:cs="Arial"/>
                <w:color w:val="000000"/>
                <w:sz w:val="17"/>
                <w:szCs w:val="17"/>
              </w:rPr>
              <w:t>+0.26</w:t>
            </w:r>
          </w:p>
        </w:tc>
      </w:tr>
    </w:tbl>
    <w:p w14:paraId="7F79CD57" w14:textId="77777777" w:rsidR="00726538" w:rsidRPr="007F13D6" w:rsidRDefault="00E43C39" w:rsidP="00CE7AFC">
      <w:pPr>
        <w:spacing w:before="120" w:after="120" w:line="240" w:lineRule="auto"/>
        <w:rPr>
          <w:rFonts w:ascii="Arial" w:hAnsi="Arial" w:cs="Arial"/>
          <w:i/>
          <w:color w:val="666666"/>
          <w:sz w:val="16"/>
        </w:rPr>
      </w:pPr>
      <w:r w:rsidRPr="007F13D6">
        <w:rPr>
          <w:rFonts w:ascii="Arial" w:hAnsi="Arial" w:cs="Arial"/>
          <w:i/>
          <w:color w:val="666666"/>
          <w:sz w:val="16"/>
        </w:rPr>
        <w:t>Source: 11_staffing_component_comparison.csv. Net vocational positions combine the reported vocational positions and vocational deduction, both of which are retained unchanged in the two models.</w:t>
      </w:r>
    </w:p>
    <w:p w14:paraId="7EC7898C" w14:textId="77777777" w:rsidR="004377A6" w:rsidRPr="007F13D6" w:rsidRDefault="000247B3" w:rsidP="00CE7AFC">
      <w:pPr>
        <w:spacing w:before="120" w:after="120" w:line="240" w:lineRule="auto"/>
        <w:rPr>
          <w:rFonts w:ascii="Arial" w:hAnsi="Arial" w:cs="Arial"/>
        </w:rPr>
      </w:pPr>
      <w:r w:rsidRPr="007F13D6">
        <w:rPr>
          <w:rFonts w:ascii="Arial" w:hAnsi="Arial" w:cs="Arial"/>
        </w:rPr>
        <w:t>Taken together, these results show that core teaching quantities are not the main source of the statewide staffing difference. The larger differences emerge in school administration, support positions, Central Office eligibility, position bases, and school calculation units</w:t>
      </w:r>
      <w:r w:rsidR="004377A6" w:rsidRPr="007F13D6">
        <w:rPr>
          <w:rFonts w:ascii="Arial" w:hAnsi="Arial" w:cs="Arial"/>
        </w:rPr>
        <w:t>.</w:t>
      </w:r>
    </w:p>
    <w:tbl>
      <w:tblPr>
        <w:tblW w:w="0" w:type="auto"/>
        <w:jc w:val="center"/>
        <w:tblLook w:val="04A0" w:firstRow="1" w:lastRow="0" w:firstColumn="1" w:lastColumn="0" w:noHBand="0" w:noVBand="1"/>
      </w:tblPr>
      <w:tblGrid>
        <w:gridCol w:w="9340"/>
      </w:tblGrid>
      <w:tr w:rsidR="00BE7238" w:rsidRPr="007F13D6" w14:paraId="49FEFDA7" w14:textId="77777777">
        <w:trPr>
          <w:jc w:val="center"/>
        </w:trPr>
        <w:tc>
          <w:tcPr>
            <w:tcW w:w="964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40" w:type="dxa"/>
              <w:bottom w:w="110" w:type="dxa"/>
              <w:right w:w="140" w:type="dxa"/>
            </w:tcMar>
          </w:tcPr>
          <w:p w14:paraId="47F4C54E" w14:textId="77777777" w:rsidR="00BE7238" w:rsidRPr="007F13D6" w:rsidRDefault="00BE7238" w:rsidP="00CE7AFC">
            <w:pPr>
              <w:spacing w:before="120" w:after="120" w:line="240" w:lineRule="auto"/>
              <w:rPr>
                <w:rFonts w:ascii="Arial" w:hAnsi="Arial" w:cs="Arial"/>
              </w:rPr>
            </w:pPr>
            <w:r w:rsidRPr="007F13D6">
              <w:rPr>
                <w:rFonts w:ascii="Arial" w:hAnsi="Arial" w:cs="Arial"/>
                <w:b/>
                <w:color w:val="1F4E78"/>
              </w:rPr>
              <w:t>Note</w:t>
            </w:r>
          </w:p>
          <w:p w14:paraId="14422E82" w14:textId="77777777" w:rsidR="00BE7238" w:rsidRPr="007F13D6" w:rsidRDefault="00F872A8" w:rsidP="00CE7AFC">
            <w:pPr>
              <w:spacing w:before="120" w:after="120" w:line="240" w:lineRule="auto"/>
              <w:rPr>
                <w:rFonts w:ascii="Arial" w:hAnsi="Arial" w:cs="Arial"/>
              </w:rPr>
            </w:pPr>
            <w:r w:rsidRPr="007F13D6">
              <w:rPr>
                <w:rFonts w:ascii="Arial" w:hAnsi="Arial" w:cs="Arial"/>
                <w:color w:val="000000"/>
                <w:sz w:val="19"/>
              </w:rPr>
              <w:t xml:space="preserve">The report uses three related but distinct staffing measures. In the recreated current model, </w:t>
            </w:r>
            <w:r w:rsidRPr="007F13D6">
              <w:rPr>
                <w:rFonts w:ascii="Arial" w:hAnsi="Arial" w:cs="Arial"/>
                <w:b/>
                <w:bCs/>
                <w:color w:val="000000"/>
                <w:sz w:val="19"/>
              </w:rPr>
              <w:t>Division I units</w:t>
            </w:r>
            <w:r w:rsidRPr="007F13D6">
              <w:rPr>
                <w:rFonts w:ascii="Arial" w:hAnsi="Arial" w:cs="Arial"/>
                <w:color w:val="000000"/>
                <w:sz w:val="19"/>
              </w:rPr>
              <w:t xml:space="preserve"> are the reported funding units used to determine staffing eligibility. In the proposed model, </w:t>
            </w:r>
            <w:r w:rsidRPr="007F13D6">
              <w:rPr>
                <w:rFonts w:ascii="Arial" w:hAnsi="Arial" w:cs="Arial"/>
                <w:b/>
                <w:bCs/>
                <w:color w:val="000000"/>
                <w:sz w:val="19"/>
              </w:rPr>
              <w:t>Base Division I positions</w:t>
            </w:r>
            <w:r w:rsidRPr="007F13D6">
              <w:rPr>
                <w:rFonts w:ascii="Arial" w:hAnsi="Arial" w:cs="Arial"/>
                <w:color w:val="000000"/>
                <w:sz w:val="19"/>
              </w:rPr>
              <w:t xml:space="preserve"> are the teaching and net vocational positions generated by the proposed formulas. </w:t>
            </w:r>
            <w:r w:rsidRPr="007F13D6">
              <w:rPr>
                <w:rFonts w:ascii="Arial" w:hAnsi="Arial" w:cs="Arial"/>
                <w:b/>
                <w:bCs/>
                <w:color w:val="000000"/>
                <w:sz w:val="19"/>
              </w:rPr>
              <w:t>Total Base positions</w:t>
            </w:r>
            <w:r w:rsidRPr="007F13D6">
              <w:rPr>
                <w:rFonts w:ascii="Arial" w:hAnsi="Arial" w:cs="Arial"/>
                <w:color w:val="000000"/>
                <w:sz w:val="19"/>
              </w:rPr>
              <w:t xml:space="preserve"> are a broader measure that adds Principals, Assistant Principals, Administrative Support Professionals, and Instructional Supports to Base Division I positions. These categories are calculated first and then included once in Total Base. For example, Instructional Supports are calculated as 20% of Base Division I positions and then included in Total Base for selected Central Office formulas</w:t>
            </w:r>
            <w:r w:rsidR="00BE7238" w:rsidRPr="007F13D6">
              <w:rPr>
                <w:rFonts w:ascii="Arial" w:hAnsi="Arial" w:cs="Arial"/>
                <w:color w:val="000000"/>
                <w:sz w:val="19"/>
              </w:rPr>
              <w:t>.</w:t>
            </w:r>
          </w:p>
        </w:tc>
      </w:tr>
    </w:tbl>
    <w:p w14:paraId="35B2BFCB" w14:textId="77777777" w:rsidR="00726538" w:rsidRPr="007F13D6" w:rsidRDefault="00954852" w:rsidP="00CE7AFC">
      <w:pPr>
        <w:pStyle w:val="Heading2"/>
        <w:spacing w:before="120" w:after="120" w:line="240" w:lineRule="auto"/>
        <w:rPr>
          <w:rFonts w:ascii="Arial" w:hAnsi="Arial" w:cs="Arial"/>
        </w:rPr>
      </w:pPr>
      <w:bookmarkStart w:id="19" w:name="_Toc237512554"/>
      <w:r w:rsidRPr="007F13D6">
        <w:rPr>
          <w:rFonts w:ascii="Arial" w:hAnsi="Arial" w:cs="Arial"/>
        </w:rPr>
        <w:lastRenderedPageBreak/>
        <w:t>3.3 The largest differences occur outside core teaching</w:t>
      </w:r>
      <w:bookmarkEnd w:id="19"/>
    </w:p>
    <w:p w14:paraId="2574A6A4" w14:textId="77777777" w:rsidR="00B85B7E" w:rsidRPr="007F13D6" w:rsidRDefault="00B85B7E" w:rsidP="00CE7AFC">
      <w:pPr>
        <w:keepNext/>
        <w:spacing w:before="120" w:after="120" w:line="240" w:lineRule="auto"/>
        <w:rPr>
          <w:rFonts w:ascii="Arial" w:hAnsi="Arial" w:cs="Arial"/>
        </w:rPr>
      </w:pPr>
      <w:r w:rsidRPr="007F13D6">
        <w:rPr>
          <w:rFonts w:ascii="Arial" w:hAnsi="Arial" w:cs="Arial"/>
          <w:b/>
          <w:color w:val="1F4E78"/>
          <w:sz w:val="18"/>
        </w:rPr>
        <w:t xml:space="preserve">Figure 1. </w:t>
      </w:r>
      <w:r w:rsidR="003F2515" w:rsidRPr="007F13D6">
        <w:rPr>
          <w:rFonts w:ascii="Arial" w:hAnsi="Arial" w:cs="Arial"/>
          <w:b/>
          <w:color w:val="1F4E78"/>
          <w:sz w:val="18"/>
        </w:rPr>
        <w:t>Largest working staffing differences by category</w:t>
      </w:r>
    </w:p>
    <w:p w14:paraId="07299788" w14:textId="77777777" w:rsidR="00726538" w:rsidRPr="007F13D6" w:rsidRDefault="00D9132B" w:rsidP="00CE7AFC">
      <w:pPr>
        <w:spacing w:before="120" w:after="120" w:line="240" w:lineRule="auto"/>
        <w:rPr>
          <w:rFonts w:ascii="Arial" w:hAnsi="Arial" w:cs="Arial"/>
        </w:rPr>
      </w:pPr>
      <w:r w:rsidRPr="007F13D6">
        <w:rPr>
          <w:rFonts w:ascii="Arial" w:hAnsi="Arial" w:cs="Arial"/>
          <w:i/>
          <w:noProof/>
          <w:color w:val="666666"/>
          <w:sz w:val="16"/>
        </w:rPr>
        <w:drawing>
          <wp:inline distT="0" distB="0" distL="0" distR="0" wp14:anchorId="6F34DE6B" wp14:editId="62D3612A">
            <wp:extent cx="5943600" cy="4003675"/>
            <wp:effectExtent l="0" t="0" r="0" b="0"/>
            <wp:docPr id="172926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60759" name="Picture 1729260759"/>
                    <pic:cNvPicPr/>
                  </pic:nvPicPr>
                  <pic:blipFill>
                    <a:blip r:embed="rId12"/>
                    <a:stretch>
                      <a:fillRect/>
                    </a:stretch>
                  </pic:blipFill>
                  <pic:spPr>
                    <a:xfrm>
                      <a:off x="0" y="0"/>
                      <a:ext cx="5943600" cy="4003675"/>
                    </a:xfrm>
                    <a:prstGeom prst="rect">
                      <a:avLst/>
                    </a:prstGeom>
                  </pic:spPr>
                </pic:pic>
              </a:graphicData>
            </a:graphic>
          </wp:inline>
        </w:drawing>
      </w:r>
      <w:r w:rsidR="00954852" w:rsidRPr="007F13D6">
        <w:rPr>
          <w:rFonts w:ascii="Arial" w:hAnsi="Arial" w:cs="Arial"/>
          <w:i/>
          <w:color w:val="666666"/>
          <w:sz w:val="16"/>
        </w:rPr>
        <w:t>Source: 11_staffing_component_comparison.csv. Asterisks identify provisional comparison categories.</w:t>
      </w:r>
    </w:p>
    <w:p w14:paraId="61A6E77D" w14:textId="77777777"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Exhibit 6. Major staffing-rule drivers</w:t>
      </w:r>
    </w:p>
    <w:tbl>
      <w:tblPr>
        <w:tblW w:w="0" w:type="auto"/>
        <w:jc w:val="center"/>
        <w:tblLayout w:type="fixed"/>
        <w:tblLook w:val="04A0" w:firstRow="1" w:lastRow="0" w:firstColumn="1" w:lastColumn="0" w:noHBand="0" w:noVBand="1"/>
      </w:tblPr>
      <w:tblGrid>
        <w:gridCol w:w="2951"/>
        <w:gridCol w:w="1224"/>
        <w:gridCol w:w="1224"/>
        <w:gridCol w:w="1368"/>
        <w:gridCol w:w="1440"/>
        <w:gridCol w:w="1584"/>
      </w:tblGrid>
      <w:tr w:rsidR="00726538" w:rsidRPr="007F13D6" w14:paraId="2CCCF18F" w14:textId="77777777" w:rsidTr="007047D3">
        <w:trPr>
          <w:cantSplit/>
          <w:tblHeader/>
          <w:jc w:val="center"/>
        </w:trPr>
        <w:tc>
          <w:tcPr>
            <w:tcW w:w="2951" w:type="dxa"/>
            <w:tcBorders>
              <w:bottom w:val="single" w:sz="8" w:space="0" w:color="FFFFFF"/>
            </w:tcBorders>
            <w:shd w:val="clear" w:color="auto" w:fill="1F4E78"/>
            <w:tcMar>
              <w:top w:w="70" w:type="dxa"/>
              <w:left w:w="80" w:type="dxa"/>
              <w:bottom w:w="70" w:type="dxa"/>
              <w:right w:w="80" w:type="dxa"/>
            </w:tcMar>
            <w:vAlign w:val="center"/>
          </w:tcPr>
          <w:p w14:paraId="5B0B9142" w14:textId="77777777" w:rsidR="00726538" w:rsidRPr="007F13D6" w:rsidRDefault="00954852" w:rsidP="007407E1">
            <w:pPr>
              <w:spacing w:after="0" w:line="240" w:lineRule="auto"/>
              <w:jc w:val="center"/>
              <w:rPr>
                <w:rFonts w:ascii="Arial" w:hAnsi="Arial" w:cs="Arial"/>
              </w:rPr>
            </w:pPr>
            <w:r w:rsidRPr="007F13D6">
              <w:rPr>
                <w:rFonts w:ascii="Arial" w:hAnsi="Arial" w:cs="Arial"/>
                <w:b/>
                <w:color w:val="FFFFFF"/>
                <w:sz w:val="15"/>
              </w:rPr>
              <w:t>Category</w:t>
            </w:r>
          </w:p>
        </w:tc>
        <w:tc>
          <w:tcPr>
            <w:tcW w:w="1224" w:type="dxa"/>
            <w:tcBorders>
              <w:bottom w:val="single" w:sz="8" w:space="0" w:color="FFFFFF"/>
            </w:tcBorders>
            <w:shd w:val="clear" w:color="auto" w:fill="1F4E78"/>
            <w:tcMar>
              <w:top w:w="70" w:type="dxa"/>
              <w:left w:w="80" w:type="dxa"/>
              <w:bottom w:w="70" w:type="dxa"/>
              <w:right w:w="80" w:type="dxa"/>
            </w:tcMar>
            <w:vAlign w:val="center"/>
          </w:tcPr>
          <w:p w14:paraId="65D06B90" w14:textId="77777777" w:rsidR="00726538" w:rsidRPr="007F13D6" w:rsidRDefault="00954852" w:rsidP="007407E1">
            <w:pPr>
              <w:spacing w:after="0" w:line="240" w:lineRule="auto"/>
              <w:jc w:val="center"/>
              <w:rPr>
                <w:rFonts w:ascii="Arial" w:hAnsi="Arial" w:cs="Arial"/>
              </w:rPr>
            </w:pPr>
            <w:r w:rsidRPr="007F13D6">
              <w:rPr>
                <w:rFonts w:ascii="Arial" w:hAnsi="Arial" w:cs="Arial"/>
                <w:b/>
                <w:color w:val="FFFFFF"/>
                <w:sz w:val="15"/>
              </w:rPr>
              <w:t>Current</w:t>
            </w:r>
          </w:p>
        </w:tc>
        <w:tc>
          <w:tcPr>
            <w:tcW w:w="1224" w:type="dxa"/>
            <w:tcBorders>
              <w:bottom w:val="single" w:sz="8" w:space="0" w:color="FFFFFF"/>
            </w:tcBorders>
            <w:shd w:val="clear" w:color="auto" w:fill="1F4E78"/>
            <w:tcMar>
              <w:top w:w="70" w:type="dxa"/>
              <w:left w:w="80" w:type="dxa"/>
              <w:bottom w:w="70" w:type="dxa"/>
              <w:right w:w="80" w:type="dxa"/>
            </w:tcMar>
            <w:vAlign w:val="center"/>
          </w:tcPr>
          <w:p w14:paraId="07BB644F" w14:textId="77777777" w:rsidR="00726538" w:rsidRPr="007F13D6" w:rsidRDefault="00954852" w:rsidP="007407E1">
            <w:pPr>
              <w:spacing w:after="0" w:line="240" w:lineRule="auto"/>
              <w:jc w:val="center"/>
              <w:rPr>
                <w:rFonts w:ascii="Arial" w:hAnsi="Arial" w:cs="Arial"/>
              </w:rPr>
            </w:pPr>
            <w:r w:rsidRPr="007F13D6">
              <w:rPr>
                <w:rFonts w:ascii="Arial" w:hAnsi="Arial" w:cs="Arial"/>
                <w:b/>
                <w:color w:val="FFFFFF"/>
                <w:sz w:val="15"/>
              </w:rPr>
              <w:t>Proposed</w:t>
            </w:r>
          </w:p>
        </w:tc>
        <w:tc>
          <w:tcPr>
            <w:tcW w:w="1368" w:type="dxa"/>
            <w:tcBorders>
              <w:bottom w:val="single" w:sz="8" w:space="0" w:color="FFFFFF"/>
            </w:tcBorders>
            <w:shd w:val="clear" w:color="auto" w:fill="1F4E78"/>
            <w:tcMar>
              <w:top w:w="70" w:type="dxa"/>
              <w:left w:w="80" w:type="dxa"/>
              <w:bottom w:w="70" w:type="dxa"/>
              <w:right w:w="80" w:type="dxa"/>
            </w:tcMar>
            <w:vAlign w:val="center"/>
          </w:tcPr>
          <w:p w14:paraId="3B03DAE1" w14:textId="77777777" w:rsidR="00726538" w:rsidRPr="007F13D6" w:rsidRDefault="00954852" w:rsidP="007407E1">
            <w:pPr>
              <w:spacing w:after="0" w:line="240" w:lineRule="auto"/>
              <w:jc w:val="center"/>
              <w:rPr>
                <w:rFonts w:ascii="Arial" w:hAnsi="Arial" w:cs="Arial"/>
              </w:rPr>
            </w:pPr>
            <w:r w:rsidRPr="007F13D6">
              <w:rPr>
                <w:rFonts w:ascii="Arial" w:hAnsi="Arial" w:cs="Arial"/>
                <w:b/>
                <w:color w:val="FFFFFF"/>
                <w:sz w:val="15"/>
              </w:rPr>
              <w:t>Position difference</w:t>
            </w:r>
          </w:p>
        </w:tc>
        <w:tc>
          <w:tcPr>
            <w:tcW w:w="1440" w:type="dxa"/>
            <w:tcBorders>
              <w:bottom w:val="single" w:sz="8" w:space="0" w:color="FFFFFF"/>
            </w:tcBorders>
            <w:shd w:val="clear" w:color="auto" w:fill="1F4E78"/>
            <w:tcMar>
              <w:top w:w="70" w:type="dxa"/>
              <w:left w:w="80" w:type="dxa"/>
              <w:bottom w:w="70" w:type="dxa"/>
              <w:right w:w="80" w:type="dxa"/>
            </w:tcMar>
            <w:vAlign w:val="center"/>
          </w:tcPr>
          <w:p w14:paraId="1DF0BBB6" w14:textId="77777777" w:rsidR="00726538" w:rsidRPr="007F13D6" w:rsidRDefault="00954852" w:rsidP="007407E1">
            <w:pPr>
              <w:spacing w:after="0" w:line="240" w:lineRule="auto"/>
              <w:jc w:val="center"/>
              <w:rPr>
                <w:rFonts w:ascii="Arial" w:hAnsi="Arial" w:cs="Arial"/>
              </w:rPr>
            </w:pPr>
            <w:r w:rsidRPr="007F13D6">
              <w:rPr>
                <w:rFonts w:ascii="Arial" w:hAnsi="Arial" w:cs="Arial"/>
                <w:b/>
                <w:color w:val="FFFFFF"/>
                <w:sz w:val="15"/>
              </w:rPr>
              <w:t>Funding difference</w:t>
            </w:r>
          </w:p>
        </w:tc>
        <w:tc>
          <w:tcPr>
            <w:tcW w:w="1584" w:type="dxa"/>
            <w:tcBorders>
              <w:bottom w:val="single" w:sz="8" w:space="0" w:color="FFFFFF"/>
            </w:tcBorders>
            <w:shd w:val="clear" w:color="auto" w:fill="1F4E78"/>
            <w:tcMar>
              <w:top w:w="70" w:type="dxa"/>
              <w:left w:w="80" w:type="dxa"/>
              <w:bottom w:w="70" w:type="dxa"/>
              <w:right w:w="80" w:type="dxa"/>
            </w:tcMar>
            <w:vAlign w:val="center"/>
          </w:tcPr>
          <w:p w14:paraId="375E0404" w14:textId="77777777" w:rsidR="00726538" w:rsidRPr="007F13D6" w:rsidRDefault="00954852" w:rsidP="007407E1">
            <w:pPr>
              <w:spacing w:after="0" w:line="240" w:lineRule="auto"/>
              <w:jc w:val="center"/>
              <w:rPr>
                <w:rFonts w:ascii="Arial" w:hAnsi="Arial" w:cs="Arial"/>
              </w:rPr>
            </w:pPr>
            <w:r w:rsidRPr="007F13D6">
              <w:rPr>
                <w:rFonts w:ascii="Arial" w:hAnsi="Arial" w:cs="Arial"/>
                <w:b/>
                <w:color w:val="FFFFFF"/>
                <w:sz w:val="15"/>
              </w:rPr>
              <w:t>Status</w:t>
            </w:r>
          </w:p>
        </w:tc>
      </w:tr>
      <w:tr w:rsidR="00726538" w:rsidRPr="007F13D6" w14:paraId="1602D607" w14:textId="77777777" w:rsidTr="007047D3">
        <w:trPr>
          <w:cantSplit/>
          <w:jc w:val="center"/>
        </w:trPr>
        <w:tc>
          <w:tcPr>
            <w:tcW w:w="2951" w:type="dxa"/>
            <w:tcBorders>
              <w:bottom w:val="single" w:sz="4" w:space="0" w:color="B7B7B7"/>
            </w:tcBorders>
            <w:tcMar>
              <w:top w:w="70" w:type="dxa"/>
              <w:left w:w="80" w:type="dxa"/>
              <w:bottom w:w="70" w:type="dxa"/>
              <w:right w:w="80" w:type="dxa"/>
            </w:tcMar>
            <w:vAlign w:val="center"/>
          </w:tcPr>
          <w:p w14:paraId="4D5BC833"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Assistant Principal</w:t>
            </w:r>
          </w:p>
        </w:tc>
        <w:tc>
          <w:tcPr>
            <w:tcW w:w="1224" w:type="dxa"/>
            <w:tcBorders>
              <w:bottom w:val="single" w:sz="4" w:space="0" w:color="B7B7B7"/>
            </w:tcBorders>
            <w:tcMar>
              <w:top w:w="70" w:type="dxa"/>
              <w:left w:w="80" w:type="dxa"/>
              <w:bottom w:w="70" w:type="dxa"/>
              <w:right w:w="80" w:type="dxa"/>
            </w:tcMar>
            <w:vAlign w:val="center"/>
          </w:tcPr>
          <w:p w14:paraId="551C30C8"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361.75</w:t>
            </w:r>
          </w:p>
        </w:tc>
        <w:tc>
          <w:tcPr>
            <w:tcW w:w="1224" w:type="dxa"/>
            <w:tcBorders>
              <w:bottom w:val="single" w:sz="4" w:space="0" w:color="B7B7B7"/>
            </w:tcBorders>
            <w:tcMar>
              <w:top w:w="70" w:type="dxa"/>
              <w:left w:w="80" w:type="dxa"/>
              <w:bottom w:w="70" w:type="dxa"/>
              <w:right w:w="80" w:type="dxa"/>
            </w:tcMar>
            <w:vAlign w:val="center"/>
          </w:tcPr>
          <w:p w14:paraId="358843D8"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494.60</w:t>
            </w:r>
          </w:p>
        </w:tc>
        <w:tc>
          <w:tcPr>
            <w:tcW w:w="1368" w:type="dxa"/>
            <w:tcBorders>
              <w:bottom w:val="single" w:sz="4" w:space="0" w:color="B7B7B7"/>
            </w:tcBorders>
            <w:tcMar>
              <w:top w:w="70" w:type="dxa"/>
              <w:left w:w="80" w:type="dxa"/>
              <w:bottom w:w="70" w:type="dxa"/>
              <w:right w:w="80" w:type="dxa"/>
            </w:tcMar>
            <w:vAlign w:val="center"/>
          </w:tcPr>
          <w:p w14:paraId="479F917B"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+132.85</w:t>
            </w:r>
          </w:p>
        </w:tc>
        <w:tc>
          <w:tcPr>
            <w:tcW w:w="1440" w:type="dxa"/>
            <w:tcBorders>
              <w:bottom w:val="single" w:sz="4" w:space="0" w:color="B7B7B7"/>
            </w:tcBorders>
            <w:tcMar>
              <w:top w:w="70" w:type="dxa"/>
              <w:left w:w="80" w:type="dxa"/>
              <w:bottom w:w="70" w:type="dxa"/>
              <w:right w:w="80" w:type="dxa"/>
            </w:tcMar>
            <w:vAlign w:val="center"/>
          </w:tcPr>
          <w:p w14:paraId="4F9CF79F"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$17.8M</w:t>
            </w:r>
          </w:p>
        </w:tc>
        <w:tc>
          <w:tcPr>
            <w:tcW w:w="1584" w:type="dxa"/>
            <w:tcBorders>
              <w:bottom w:val="single" w:sz="4" w:space="0" w:color="B7B7B7"/>
            </w:tcBorders>
            <w:tcMar>
              <w:top w:w="70" w:type="dxa"/>
              <w:left w:w="80" w:type="dxa"/>
              <w:bottom w:w="70" w:type="dxa"/>
              <w:right w:w="80" w:type="dxa"/>
            </w:tcMar>
            <w:vAlign w:val="center"/>
          </w:tcPr>
          <w:p w14:paraId="53D463BB"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Confirmed</w:t>
            </w:r>
          </w:p>
        </w:tc>
      </w:tr>
      <w:tr w:rsidR="00726538" w:rsidRPr="007F13D6" w14:paraId="32D6246B" w14:textId="77777777" w:rsidTr="007047D3">
        <w:trPr>
          <w:cantSplit/>
          <w:jc w:val="center"/>
        </w:trPr>
        <w:tc>
          <w:tcPr>
            <w:tcW w:w="2951" w:type="dxa"/>
            <w:tcBorders>
              <w:bottom w:val="single" w:sz="4" w:space="0" w:color="B7B7B7"/>
            </w:tcBorders>
            <w:shd w:val="clear" w:color="auto" w:fill="EAF3F8"/>
            <w:tcMar>
              <w:top w:w="70" w:type="dxa"/>
              <w:left w:w="80" w:type="dxa"/>
              <w:bottom w:w="70" w:type="dxa"/>
              <w:right w:w="80" w:type="dxa"/>
            </w:tcMar>
            <w:vAlign w:val="center"/>
          </w:tcPr>
          <w:p w14:paraId="05D97CE6"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Administrative Support Professionals</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0399396F"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1,053</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283CFB7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1,292</w:t>
            </w:r>
          </w:p>
        </w:tc>
        <w:tc>
          <w:tcPr>
            <w:tcW w:w="1368" w:type="dxa"/>
            <w:tcBorders>
              <w:bottom w:val="single" w:sz="4" w:space="0" w:color="B7B7B7"/>
            </w:tcBorders>
            <w:shd w:val="clear" w:color="auto" w:fill="EAF3F8"/>
            <w:tcMar>
              <w:top w:w="70" w:type="dxa"/>
              <w:left w:w="80" w:type="dxa"/>
              <w:bottom w:w="70" w:type="dxa"/>
              <w:right w:w="80" w:type="dxa"/>
            </w:tcMar>
            <w:vAlign w:val="center"/>
          </w:tcPr>
          <w:p w14:paraId="4686E6A8"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+239.00</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404B953F"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$17.7M</w:t>
            </w:r>
          </w:p>
        </w:tc>
        <w:tc>
          <w:tcPr>
            <w:tcW w:w="1584" w:type="dxa"/>
            <w:tcBorders>
              <w:bottom w:val="single" w:sz="4" w:space="0" w:color="B7B7B7"/>
            </w:tcBorders>
            <w:shd w:val="clear" w:color="auto" w:fill="EAF3F8"/>
            <w:tcMar>
              <w:top w:w="70" w:type="dxa"/>
              <w:left w:w="80" w:type="dxa"/>
              <w:bottom w:w="70" w:type="dxa"/>
              <w:right w:w="80" w:type="dxa"/>
            </w:tcMar>
            <w:vAlign w:val="center"/>
          </w:tcPr>
          <w:p w14:paraId="2EA9600A"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Confirmed</w:t>
            </w:r>
          </w:p>
        </w:tc>
      </w:tr>
      <w:tr w:rsidR="00726538" w:rsidRPr="007F13D6" w14:paraId="5A8A6BF0" w14:textId="77777777" w:rsidTr="007047D3">
        <w:trPr>
          <w:cantSplit/>
          <w:jc w:val="center"/>
        </w:trPr>
        <w:tc>
          <w:tcPr>
            <w:tcW w:w="2951" w:type="dxa"/>
            <w:tcBorders>
              <w:bottom w:val="single" w:sz="4" w:space="0" w:color="B7B7B7"/>
            </w:tcBorders>
            <w:tcMar>
              <w:top w:w="70" w:type="dxa"/>
              <w:left w:w="80" w:type="dxa"/>
              <w:bottom w:w="70" w:type="dxa"/>
              <w:right w:w="80" w:type="dxa"/>
            </w:tcMar>
            <w:vAlign w:val="center"/>
          </w:tcPr>
          <w:p w14:paraId="5C3FECF8"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Instructional Supports</w:t>
            </w:r>
          </w:p>
        </w:tc>
        <w:tc>
          <w:tcPr>
            <w:tcW w:w="1224" w:type="dxa"/>
            <w:tcBorders>
              <w:bottom w:val="single" w:sz="4" w:space="0" w:color="B7B7B7"/>
            </w:tcBorders>
            <w:tcMar>
              <w:top w:w="70" w:type="dxa"/>
              <w:left w:w="80" w:type="dxa"/>
              <w:bottom w:w="70" w:type="dxa"/>
              <w:right w:w="80" w:type="dxa"/>
            </w:tcMar>
            <w:vAlign w:val="center"/>
          </w:tcPr>
          <w:p w14:paraId="1B72C69B"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2,465.81</w:t>
            </w:r>
          </w:p>
        </w:tc>
        <w:tc>
          <w:tcPr>
            <w:tcW w:w="1224" w:type="dxa"/>
            <w:tcBorders>
              <w:bottom w:val="single" w:sz="4" w:space="0" w:color="B7B7B7"/>
            </w:tcBorders>
            <w:tcMar>
              <w:top w:w="70" w:type="dxa"/>
              <w:left w:w="80" w:type="dxa"/>
              <w:bottom w:w="70" w:type="dxa"/>
              <w:right w:w="80" w:type="dxa"/>
            </w:tcMar>
            <w:vAlign w:val="center"/>
          </w:tcPr>
          <w:p w14:paraId="1D39D9FD"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2,350.93</w:t>
            </w:r>
          </w:p>
        </w:tc>
        <w:tc>
          <w:tcPr>
            <w:tcW w:w="1368" w:type="dxa"/>
            <w:tcBorders>
              <w:bottom w:val="single" w:sz="4" w:space="0" w:color="B7B7B7"/>
            </w:tcBorders>
            <w:tcMar>
              <w:top w:w="70" w:type="dxa"/>
              <w:left w:w="80" w:type="dxa"/>
              <w:bottom w:w="70" w:type="dxa"/>
              <w:right w:w="80" w:type="dxa"/>
            </w:tcMar>
            <w:vAlign w:val="center"/>
          </w:tcPr>
          <w:p w14:paraId="4F6C82CB"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-114.88</w:t>
            </w:r>
          </w:p>
        </w:tc>
        <w:tc>
          <w:tcPr>
            <w:tcW w:w="1440" w:type="dxa"/>
            <w:tcBorders>
              <w:bottom w:val="single" w:sz="4" w:space="0" w:color="B7B7B7"/>
            </w:tcBorders>
            <w:tcMar>
              <w:top w:w="70" w:type="dxa"/>
              <w:left w:w="80" w:type="dxa"/>
              <w:bottom w:w="70" w:type="dxa"/>
              <w:right w:w="80" w:type="dxa"/>
            </w:tcMar>
            <w:vAlign w:val="center"/>
          </w:tcPr>
          <w:p w14:paraId="10E2955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$-11.0M</w:t>
            </w:r>
          </w:p>
        </w:tc>
        <w:tc>
          <w:tcPr>
            <w:tcW w:w="1584" w:type="dxa"/>
            <w:tcBorders>
              <w:bottom w:val="single" w:sz="4" w:space="0" w:color="B7B7B7"/>
            </w:tcBorders>
            <w:tcMar>
              <w:top w:w="70" w:type="dxa"/>
              <w:left w:w="80" w:type="dxa"/>
              <w:bottom w:w="70" w:type="dxa"/>
              <w:right w:w="80" w:type="dxa"/>
            </w:tcMar>
            <w:vAlign w:val="center"/>
          </w:tcPr>
          <w:p w14:paraId="5F8709A8"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Confirmed</w:t>
            </w:r>
          </w:p>
        </w:tc>
      </w:tr>
      <w:tr w:rsidR="00726538" w:rsidRPr="007F13D6" w14:paraId="196752DD" w14:textId="77777777" w:rsidTr="007047D3">
        <w:trPr>
          <w:cantSplit/>
          <w:jc w:val="center"/>
        </w:trPr>
        <w:tc>
          <w:tcPr>
            <w:tcW w:w="2951" w:type="dxa"/>
            <w:tcBorders>
              <w:bottom w:val="single" w:sz="4" w:space="0" w:color="B7B7B7"/>
            </w:tcBorders>
            <w:shd w:val="clear" w:color="auto" w:fill="EAF3F8"/>
            <w:tcMar>
              <w:top w:w="70" w:type="dxa"/>
              <w:left w:w="80" w:type="dxa"/>
              <w:bottom w:w="70" w:type="dxa"/>
              <w:right w:w="80" w:type="dxa"/>
            </w:tcMar>
            <w:vAlign w:val="center"/>
          </w:tcPr>
          <w:p w14:paraId="0B5BC456"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Principal</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5A87CB2B"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223</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268A05BE"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253</w:t>
            </w:r>
          </w:p>
        </w:tc>
        <w:tc>
          <w:tcPr>
            <w:tcW w:w="1368" w:type="dxa"/>
            <w:tcBorders>
              <w:bottom w:val="single" w:sz="4" w:space="0" w:color="B7B7B7"/>
            </w:tcBorders>
            <w:shd w:val="clear" w:color="auto" w:fill="EAF3F8"/>
            <w:tcMar>
              <w:top w:w="70" w:type="dxa"/>
              <w:left w:w="80" w:type="dxa"/>
              <w:bottom w:w="70" w:type="dxa"/>
              <w:right w:w="80" w:type="dxa"/>
            </w:tcMar>
            <w:vAlign w:val="center"/>
          </w:tcPr>
          <w:p w14:paraId="180B0AB0"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+30.00</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7AA5D268"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$4.6M</w:t>
            </w:r>
          </w:p>
        </w:tc>
        <w:tc>
          <w:tcPr>
            <w:tcW w:w="1584" w:type="dxa"/>
            <w:tcBorders>
              <w:bottom w:val="single" w:sz="4" w:space="0" w:color="B7B7B7"/>
            </w:tcBorders>
            <w:shd w:val="clear" w:color="auto" w:fill="EAF3F8"/>
            <w:tcMar>
              <w:top w:w="70" w:type="dxa"/>
              <w:left w:w="80" w:type="dxa"/>
              <w:bottom w:w="70" w:type="dxa"/>
              <w:right w:w="80" w:type="dxa"/>
            </w:tcMar>
            <w:vAlign w:val="center"/>
          </w:tcPr>
          <w:p w14:paraId="4685E32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Confirmed</w:t>
            </w:r>
          </w:p>
        </w:tc>
      </w:tr>
      <w:tr w:rsidR="00726538" w:rsidRPr="007F13D6" w14:paraId="6A22A26A" w14:textId="77777777" w:rsidTr="007047D3">
        <w:trPr>
          <w:cantSplit/>
          <w:jc w:val="center"/>
        </w:trPr>
        <w:tc>
          <w:tcPr>
            <w:tcW w:w="2951" w:type="dxa"/>
            <w:tcBorders>
              <w:bottom w:val="single" w:sz="4" w:space="0" w:color="B7B7B7"/>
            </w:tcBorders>
            <w:tcMar>
              <w:top w:w="70" w:type="dxa"/>
              <w:left w:w="80" w:type="dxa"/>
              <w:bottom w:w="70" w:type="dxa"/>
              <w:right w:w="80" w:type="dxa"/>
            </w:tcMar>
            <w:vAlign w:val="center"/>
          </w:tcPr>
          <w:p w14:paraId="2BE2B503"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Superintendent</w:t>
            </w:r>
          </w:p>
        </w:tc>
        <w:tc>
          <w:tcPr>
            <w:tcW w:w="1224" w:type="dxa"/>
            <w:tcBorders>
              <w:bottom w:val="single" w:sz="4" w:space="0" w:color="B7B7B7"/>
            </w:tcBorders>
            <w:tcMar>
              <w:top w:w="70" w:type="dxa"/>
              <w:left w:w="80" w:type="dxa"/>
              <w:bottom w:w="70" w:type="dxa"/>
              <w:right w:w="80" w:type="dxa"/>
            </w:tcMar>
            <w:vAlign w:val="center"/>
          </w:tcPr>
          <w:p w14:paraId="33470DEE"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19</w:t>
            </w:r>
          </w:p>
        </w:tc>
        <w:tc>
          <w:tcPr>
            <w:tcW w:w="1224" w:type="dxa"/>
            <w:tcBorders>
              <w:bottom w:val="single" w:sz="4" w:space="0" w:color="B7B7B7"/>
            </w:tcBorders>
            <w:tcMar>
              <w:top w:w="70" w:type="dxa"/>
              <w:left w:w="80" w:type="dxa"/>
              <w:bottom w:w="70" w:type="dxa"/>
              <w:right w:w="80" w:type="dxa"/>
            </w:tcMar>
            <w:vAlign w:val="center"/>
          </w:tcPr>
          <w:p w14:paraId="47EE3522"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43</w:t>
            </w:r>
          </w:p>
        </w:tc>
        <w:tc>
          <w:tcPr>
            <w:tcW w:w="1368" w:type="dxa"/>
            <w:tcBorders>
              <w:bottom w:val="single" w:sz="4" w:space="0" w:color="B7B7B7"/>
            </w:tcBorders>
            <w:tcMar>
              <w:top w:w="70" w:type="dxa"/>
              <w:left w:w="80" w:type="dxa"/>
              <w:bottom w:w="70" w:type="dxa"/>
              <w:right w:w="80" w:type="dxa"/>
            </w:tcMar>
            <w:vAlign w:val="center"/>
          </w:tcPr>
          <w:p w14:paraId="187932BE"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+24.00</w:t>
            </w:r>
          </w:p>
        </w:tc>
        <w:tc>
          <w:tcPr>
            <w:tcW w:w="1440" w:type="dxa"/>
            <w:tcBorders>
              <w:bottom w:val="single" w:sz="4" w:space="0" w:color="B7B7B7"/>
            </w:tcBorders>
            <w:tcMar>
              <w:top w:w="70" w:type="dxa"/>
              <w:left w:w="80" w:type="dxa"/>
              <w:bottom w:w="70" w:type="dxa"/>
              <w:right w:w="80" w:type="dxa"/>
            </w:tcMar>
            <w:vAlign w:val="center"/>
          </w:tcPr>
          <w:p w14:paraId="7C9C713F"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$4.5M</w:t>
            </w:r>
          </w:p>
        </w:tc>
        <w:tc>
          <w:tcPr>
            <w:tcW w:w="1584" w:type="dxa"/>
            <w:tcBorders>
              <w:bottom w:val="single" w:sz="4" w:space="0" w:color="B7B7B7"/>
            </w:tcBorders>
            <w:tcMar>
              <w:top w:w="70" w:type="dxa"/>
              <w:left w:w="80" w:type="dxa"/>
              <w:bottom w:w="70" w:type="dxa"/>
              <w:right w:w="80" w:type="dxa"/>
            </w:tcMar>
            <w:vAlign w:val="center"/>
          </w:tcPr>
          <w:p w14:paraId="18B1700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Confirmed</w:t>
            </w:r>
          </w:p>
        </w:tc>
      </w:tr>
      <w:tr w:rsidR="00726538" w:rsidRPr="007F13D6" w14:paraId="3DEA2390" w14:textId="77777777" w:rsidTr="007047D3">
        <w:trPr>
          <w:cantSplit/>
          <w:jc w:val="center"/>
        </w:trPr>
        <w:tc>
          <w:tcPr>
            <w:tcW w:w="2951" w:type="dxa"/>
            <w:tcBorders>
              <w:bottom w:val="single" w:sz="4" w:space="0" w:color="B7B7B7"/>
            </w:tcBorders>
            <w:shd w:val="clear" w:color="auto" w:fill="EAF3F8"/>
            <w:tcMar>
              <w:top w:w="70" w:type="dxa"/>
              <w:left w:w="80" w:type="dxa"/>
              <w:bottom w:w="70" w:type="dxa"/>
              <w:right w:w="80" w:type="dxa"/>
            </w:tcMar>
            <w:vAlign w:val="center"/>
          </w:tcPr>
          <w:p w14:paraId="4DBDA45C"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Food Services Supervisor</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7F572DD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9</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4E85A74E"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46</w:t>
            </w:r>
          </w:p>
        </w:tc>
        <w:tc>
          <w:tcPr>
            <w:tcW w:w="1368" w:type="dxa"/>
            <w:tcBorders>
              <w:bottom w:val="single" w:sz="4" w:space="0" w:color="B7B7B7"/>
            </w:tcBorders>
            <w:shd w:val="clear" w:color="auto" w:fill="EAF3F8"/>
            <w:tcMar>
              <w:top w:w="70" w:type="dxa"/>
              <w:left w:w="80" w:type="dxa"/>
              <w:bottom w:w="70" w:type="dxa"/>
              <w:right w:w="80" w:type="dxa"/>
            </w:tcMar>
            <w:vAlign w:val="center"/>
          </w:tcPr>
          <w:p w14:paraId="7870494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+37.00</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06B72E5D"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$4.6M</w:t>
            </w:r>
          </w:p>
        </w:tc>
        <w:tc>
          <w:tcPr>
            <w:tcW w:w="1584" w:type="dxa"/>
            <w:tcBorders>
              <w:bottom w:val="single" w:sz="4" w:space="0" w:color="B7B7B7"/>
            </w:tcBorders>
            <w:shd w:val="clear" w:color="auto" w:fill="EAF3F8"/>
            <w:tcMar>
              <w:top w:w="70" w:type="dxa"/>
              <w:left w:w="80" w:type="dxa"/>
              <w:bottom w:w="70" w:type="dxa"/>
              <w:right w:w="80" w:type="dxa"/>
            </w:tcMar>
            <w:vAlign w:val="center"/>
          </w:tcPr>
          <w:p w14:paraId="3C7A610E" w14:textId="77777777" w:rsidR="00726538" w:rsidRPr="007F13D6" w:rsidRDefault="00954852" w:rsidP="007407E1">
            <w:pPr>
              <w:spacing w:after="0" w:line="240" w:lineRule="auto"/>
              <w:jc w:val="center"/>
              <w:rPr>
                <w:rFonts w:ascii="Arial" w:hAnsi="Arial" w:cs="Arial"/>
                <w:b/>
                <w:bCs/>
              </w:rPr>
            </w:pPr>
            <w:r w:rsidRPr="007F13D6">
              <w:rPr>
                <w:rFonts w:ascii="Arial" w:hAnsi="Arial" w:cs="Arial"/>
                <w:b/>
                <w:bCs/>
                <w:color w:val="000000"/>
                <w:sz w:val="15"/>
              </w:rPr>
              <w:t>Provisional</w:t>
            </w:r>
          </w:p>
        </w:tc>
      </w:tr>
      <w:tr w:rsidR="00726538" w:rsidRPr="007F13D6" w14:paraId="19E29E52" w14:textId="77777777" w:rsidTr="007047D3">
        <w:trPr>
          <w:cantSplit/>
          <w:jc w:val="center"/>
        </w:trPr>
        <w:tc>
          <w:tcPr>
            <w:tcW w:w="2951" w:type="dxa"/>
            <w:tcBorders>
              <w:bottom w:val="single" w:sz="4" w:space="0" w:color="B7B7B7"/>
            </w:tcBorders>
            <w:tcMar>
              <w:top w:w="70" w:type="dxa"/>
              <w:left w:w="80" w:type="dxa"/>
              <w:bottom w:w="70" w:type="dxa"/>
              <w:right w:w="80" w:type="dxa"/>
            </w:tcMar>
            <w:vAlign w:val="center"/>
          </w:tcPr>
          <w:p w14:paraId="5A631E1B"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11-Month Supervisor</w:t>
            </w:r>
          </w:p>
        </w:tc>
        <w:tc>
          <w:tcPr>
            <w:tcW w:w="1224" w:type="dxa"/>
            <w:tcBorders>
              <w:bottom w:val="single" w:sz="4" w:space="0" w:color="B7B7B7"/>
            </w:tcBorders>
            <w:tcMar>
              <w:top w:w="70" w:type="dxa"/>
              <w:left w:w="80" w:type="dxa"/>
              <w:bottom w:w="70" w:type="dxa"/>
              <w:right w:w="80" w:type="dxa"/>
            </w:tcMar>
            <w:vAlign w:val="center"/>
          </w:tcPr>
          <w:p w14:paraId="2786E700"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78.36</w:t>
            </w:r>
          </w:p>
        </w:tc>
        <w:tc>
          <w:tcPr>
            <w:tcW w:w="1224" w:type="dxa"/>
            <w:tcBorders>
              <w:bottom w:val="single" w:sz="4" w:space="0" w:color="B7B7B7"/>
            </w:tcBorders>
            <w:tcMar>
              <w:top w:w="70" w:type="dxa"/>
              <w:left w:w="80" w:type="dxa"/>
              <w:bottom w:w="70" w:type="dxa"/>
              <w:right w:w="80" w:type="dxa"/>
            </w:tcMar>
            <w:vAlign w:val="center"/>
          </w:tcPr>
          <w:p w14:paraId="7D58A1C5"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107.63</w:t>
            </w:r>
          </w:p>
        </w:tc>
        <w:tc>
          <w:tcPr>
            <w:tcW w:w="1368" w:type="dxa"/>
            <w:tcBorders>
              <w:bottom w:val="single" w:sz="4" w:space="0" w:color="B7B7B7"/>
            </w:tcBorders>
            <w:tcMar>
              <w:top w:w="70" w:type="dxa"/>
              <w:left w:w="80" w:type="dxa"/>
              <w:bottom w:w="70" w:type="dxa"/>
              <w:right w:w="80" w:type="dxa"/>
            </w:tcMar>
            <w:vAlign w:val="center"/>
          </w:tcPr>
          <w:p w14:paraId="4C42FA4D"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+29.27</w:t>
            </w:r>
          </w:p>
        </w:tc>
        <w:tc>
          <w:tcPr>
            <w:tcW w:w="1440" w:type="dxa"/>
            <w:tcBorders>
              <w:bottom w:val="single" w:sz="4" w:space="0" w:color="B7B7B7"/>
            </w:tcBorders>
            <w:tcMar>
              <w:top w:w="70" w:type="dxa"/>
              <w:left w:w="80" w:type="dxa"/>
              <w:bottom w:w="70" w:type="dxa"/>
              <w:right w:w="80" w:type="dxa"/>
            </w:tcMar>
            <w:vAlign w:val="center"/>
          </w:tcPr>
          <w:p w14:paraId="4089400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$3.3M</w:t>
            </w:r>
          </w:p>
        </w:tc>
        <w:tc>
          <w:tcPr>
            <w:tcW w:w="1584" w:type="dxa"/>
            <w:tcBorders>
              <w:bottom w:val="single" w:sz="4" w:space="0" w:color="B7B7B7"/>
            </w:tcBorders>
            <w:tcMar>
              <w:top w:w="70" w:type="dxa"/>
              <w:left w:w="80" w:type="dxa"/>
              <w:bottom w:w="70" w:type="dxa"/>
              <w:right w:w="80" w:type="dxa"/>
            </w:tcMar>
            <w:vAlign w:val="center"/>
          </w:tcPr>
          <w:p w14:paraId="6C692CA5"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Confirmed</w:t>
            </w:r>
          </w:p>
        </w:tc>
      </w:tr>
      <w:tr w:rsidR="00726538" w:rsidRPr="007F13D6" w14:paraId="2CDA7C0D" w14:textId="77777777" w:rsidTr="007047D3">
        <w:trPr>
          <w:cantSplit/>
          <w:jc w:val="center"/>
        </w:trPr>
        <w:tc>
          <w:tcPr>
            <w:tcW w:w="2951" w:type="dxa"/>
            <w:tcBorders>
              <w:bottom w:val="single" w:sz="4" w:space="0" w:color="B7B7B7"/>
            </w:tcBorders>
            <w:shd w:val="clear" w:color="auto" w:fill="EAF3F8"/>
            <w:tcMar>
              <w:top w:w="70" w:type="dxa"/>
              <w:left w:w="80" w:type="dxa"/>
              <w:bottom w:w="70" w:type="dxa"/>
              <w:right w:w="80" w:type="dxa"/>
            </w:tcMar>
            <w:vAlign w:val="center"/>
          </w:tcPr>
          <w:p w14:paraId="25E0645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Director</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2C75379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60</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27E17BBC"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75</w:t>
            </w:r>
          </w:p>
        </w:tc>
        <w:tc>
          <w:tcPr>
            <w:tcW w:w="1368" w:type="dxa"/>
            <w:tcBorders>
              <w:bottom w:val="single" w:sz="4" w:space="0" w:color="B7B7B7"/>
            </w:tcBorders>
            <w:shd w:val="clear" w:color="auto" w:fill="EAF3F8"/>
            <w:tcMar>
              <w:top w:w="70" w:type="dxa"/>
              <w:left w:w="80" w:type="dxa"/>
              <w:bottom w:w="70" w:type="dxa"/>
              <w:right w:w="80" w:type="dxa"/>
            </w:tcMar>
            <w:vAlign w:val="center"/>
          </w:tcPr>
          <w:p w14:paraId="1054AEC5"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+15.00</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1BC17C62"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$2.5M</w:t>
            </w:r>
          </w:p>
        </w:tc>
        <w:tc>
          <w:tcPr>
            <w:tcW w:w="1584" w:type="dxa"/>
            <w:tcBorders>
              <w:bottom w:val="single" w:sz="4" w:space="0" w:color="B7B7B7"/>
            </w:tcBorders>
            <w:shd w:val="clear" w:color="auto" w:fill="EAF3F8"/>
            <w:tcMar>
              <w:top w:w="70" w:type="dxa"/>
              <w:left w:w="80" w:type="dxa"/>
              <w:bottom w:w="70" w:type="dxa"/>
              <w:right w:w="80" w:type="dxa"/>
            </w:tcMar>
            <w:vAlign w:val="center"/>
          </w:tcPr>
          <w:p w14:paraId="68CD73A5"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Confirmed</w:t>
            </w:r>
          </w:p>
        </w:tc>
      </w:tr>
      <w:tr w:rsidR="00726538" w:rsidRPr="007F13D6" w14:paraId="050D41AD" w14:textId="77777777" w:rsidTr="007047D3">
        <w:trPr>
          <w:cantSplit/>
          <w:jc w:val="center"/>
        </w:trPr>
        <w:tc>
          <w:tcPr>
            <w:tcW w:w="2951" w:type="dxa"/>
            <w:tcBorders>
              <w:bottom w:val="single" w:sz="4" w:space="0" w:color="B7B7B7"/>
            </w:tcBorders>
            <w:tcMar>
              <w:top w:w="70" w:type="dxa"/>
              <w:left w:w="80" w:type="dxa"/>
              <w:bottom w:w="70" w:type="dxa"/>
              <w:right w:w="80" w:type="dxa"/>
            </w:tcMar>
            <w:vAlign w:val="center"/>
          </w:tcPr>
          <w:p w14:paraId="54D5C2E8"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Reading Cadre</w:t>
            </w:r>
          </w:p>
        </w:tc>
        <w:tc>
          <w:tcPr>
            <w:tcW w:w="1224" w:type="dxa"/>
            <w:tcBorders>
              <w:bottom w:val="single" w:sz="4" w:space="0" w:color="B7B7B7"/>
            </w:tcBorders>
            <w:tcMar>
              <w:top w:w="70" w:type="dxa"/>
              <w:left w:w="80" w:type="dxa"/>
              <w:bottom w:w="70" w:type="dxa"/>
              <w:right w:w="80" w:type="dxa"/>
            </w:tcMar>
            <w:vAlign w:val="center"/>
          </w:tcPr>
          <w:p w14:paraId="27A3235C"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19</w:t>
            </w:r>
          </w:p>
        </w:tc>
        <w:tc>
          <w:tcPr>
            <w:tcW w:w="1224" w:type="dxa"/>
            <w:tcBorders>
              <w:bottom w:val="single" w:sz="4" w:space="0" w:color="B7B7B7"/>
            </w:tcBorders>
            <w:tcMar>
              <w:top w:w="70" w:type="dxa"/>
              <w:left w:w="80" w:type="dxa"/>
              <w:bottom w:w="70" w:type="dxa"/>
              <w:right w:w="80" w:type="dxa"/>
            </w:tcMar>
            <w:vAlign w:val="center"/>
          </w:tcPr>
          <w:p w14:paraId="38905B89"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43</w:t>
            </w:r>
          </w:p>
        </w:tc>
        <w:tc>
          <w:tcPr>
            <w:tcW w:w="1368" w:type="dxa"/>
            <w:tcBorders>
              <w:bottom w:val="single" w:sz="4" w:space="0" w:color="B7B7B7"/>
            </w:tcBorders>
            <w:tcMar>
              <w:top w:w="70" w:type="dxa"/>
              <w:left w:w="80" w:type="dxa"/>
              <w:bottom w:w="70" w:type="dxa"/>
              <w:right w:w="80" w:type="dxa"/>
            </w:tcMar>
            <w:vAlign w:val="center"/>
          </w:tcPr>
          <w:p w14:paraId="15146BD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+24.00</w:t>
            </w:r>
          </w:p>
        </w:tc>
        <w:tc>
          <w:tcPr>
            <w:tcW w:w="1440" w:type="dxa"/>
            <w:tcBorders>
              <w:bottom w:val="single" w:sz="4" w:space="0" w:color="B7B7B7"/>
            </w:tcBorders>
            <w:tcMar>
              <w:top w:w="70" w:type="dxa"/>
              <w:left w:w="80" w:type="dxa"/>
              <w:bottom w:w="70" w:type="dxa"/>
              <w:right w:w="80" w:type="dxa"/>
            </w:tcMar>
            <w:vAlign w:val="center"/>
          </w:tcPr>
          <w:p w14:paraId="4B78EA9F"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$2.3M</w:t>
            </w:r>
          </w:p>
        </w:tc>
        <w:tc>
          <w:tcPr>
            <w:tcW w:w="1584" w:type="dxa"/>
            <w:tcBorders>
              <w:bottom w:val="single" w:sz="4" w:space="0" w:color="B7B7B7"/>
            </w:tcBorders>
            <w:tcMar>
              <w:top w:w="70" w:type="dxa"/>
              <w:left w:w="80" w:type="dxa"/>
              <w:bottom w:w="70" w:type="dxa"/>
              <w:right w:w="80" w:type="dxa"/>
            </w:tcMar>
            <w:vAlign w:val="center"/>
          </w:tcPr>
          <w:p w14:paraId="78CDAA5A"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Confirmed</w:t>
            </w:r>
          </w:p>
        </w:tc>
      </w:tr>
      <w:tr w:rsidR="00726538" w:rsidRPr="007F13D6" w14:paraId="7FFF9EA1" w14:textId="77777777" w:rsidTr="007047D3">
        <w:trPr>
          <w:cantSplit/>
          <w:jc w:val="center"/>
        </w:trPr>
        <w:tc>
          <w:tcPr>
            <w:tcW w:w="2951" w:type="dxa"/>
            <w:tcBorders>
              <w:bottom w:val="single" w:sz="4" w:space="0" w:color="B7B7B7"/>
            </w:tcBorders>
            <w:shd w:val="clear" w:color="auto" w:fill="EAF3F8"/>
            <w:tcMar>
              <w:top w:w="70" w:type="dxa"/>
              <w:left w:w="80" w:type="dxa"/>
              <w:bottom w:w="70" w:type="dxa"/>
              <w:right w:w="80" w:type="dxa"/>
            </w:tcMar>
            <w:vAlign w:val="center"/>
          </w:tcPr>
          <w:p w14:paraId="689D2A70"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Assistant Superintendent</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70720B69"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19</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622CBD98"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24</w:t>
            </w:r>
          </w:p>
        </w:tc>
        <w:tc>
          <w:tcPr>
            <w:tcW w:w="1368" w:type="dxa"/>
            <w:tcBorders>
              <w:bottom w:val="single" w:sz="4" w:space="0" w:color="B7B7B7"/>
            </w:tcBorders>
            <w:shd w:val="clear" w:color="auto" w:fill="EAF3F8"/>
            <w:tcMar>
              <w:top w:w="70" w:type="dxa"/>
              <w:left w:w="80" w:type="dxa"/>
              <w:bottom w:w="70" w:type="dxa"/>
              <w:right w:w="80" w:type="dxa"/>
            </w:tcMar>
            <w:vAlign w:val="center"/>
          </w:tcPr>
          <w:p w14:paraId="69725332"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+5.00</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61EEA357"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$839,290</w:t>
            </w:r>
          </w:p>
        </w:tc>
        <w:tc>
          <w:tcPr>
            <w:tcW w:w="1584" w:type="dxa"/>
            <w:tcBorders>
              <w:bottom w:val="single" w:sz="4" w:space="0" w:color="B7B7B7"/>
            </w:tcBorders>
            <w:shd w:val="clear" w:color="auto" w:fill="EAF3F8"/>
            <w:tcMar>
              <w:top w:w="70" w:type="dxa"/>
              <w:left w:w="80" w:type="dxa"/>
              <w:bottom w:w="70" w:type="dxa"/>
              <w:right w:w="80" w:type="dxa"/>
            </w:tcMar>
            <w:vAlign w:val="center"/>
          </w:tcPr>
          <w:p w14:paraId="1AFD3C5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5"/>
              </w:rPr>
              <w:t>Confirmed</w:t>
            </w:r>
          </w:p>
        </w:tc>
      </w:tr>
    </w:tbl>
    <w:p w14:paraId="0C7570F7" w14:textId="77777777" w:rsidR="00726538" w:rsidRPr="007F13D6" w:rsidRDefault="00954852" w:rsidP="00CE7AFC">
      <w:pPr>
        <w:spacing w:before="120" w:after="120" w:line="240" w:lineRule="auto"/>
        <w:rPr>
          <w:rFonts w:ascii="Arial" w:hAnsi="Arial" w:cs="Arial"/>
        </w:rPr>
      </w:pPr>
      <w:r w:rsidRPr="007F13D6">
        <w:rPr>
          <w:rFonts w:ascii="Arial" w:hAnsi="Arial" w:cs="Arial"/>
          <w:i/>
          <w:color w:val="666666"/>
          <w:sz w:val="16"/>
        </w:rPr>
        <w:t>Source: 11_staffing_component_comparison.csv.</w:t>
      </w:r>
    </w:p>
    <w:p w14:paraId="107B6B8E" w14:textId="77777777" w:rsidR="00C60DC9" w:rsidRPr="007F13D6" w:rsidRDefault="00266FF2" w:rsidP="00CE7AFC">
      <w:pPr>
        <w:spacing w:before="120" w:after="120" w:line="240" w:lineRule="auto"/>
        <w:rPr>
          <w:rFonts w:ascii="Arial" w:hAnsi="Arial" w:cs="Arial"/>
          <w:b/>
          <w:bCs/>
        </w:rPr>
      </w:pPr>
      <w:r w:rsidRPr="007F13D6">
        <w:rPr>
          <w:rFonts w:ascii="Arial" w:hAnsi="Arial" w:cs="Arial"/>
        </w:rPr>
        <w:t>The three largest working modeled funding differences are Assistant Principals, Administrative Support Professionals, and Instructional Supports. Together, they produce a net increase of approximately $24.5 million. All three are confirmed comparison categories, although Administrative Support Professionals and Instructional Supports are broad functional crosswalks rather than one-to-one position matches</w:t>
      </w:r>
      <w:r w:rsidR="00C60DC9" w:rsidRPr="007F13D6">
        <w:rPr>
          <w:rFonts w:ascii="Arial" w:hAnsi="Arial" w:cs="Arial"/>
        </w:rPr>
        <w:t>.</w:t>
      </w:r>
    </w:p>
    <w:p w14:paraId="69D9E66C" w14:textId="77777777" w:rsidR="00C60DC9" w:rsidRPr="007F13D6" w:rsidRDefault="00C60DC9" w:rsidP="00CE7AFC">
      <w:pPr>
        <w:pStyle w:val="ListParagraph"/>
        <w:numPr>
          <w:ilvl w:val="0"/>
          <w:numId w:val="14"/>
        </w:numPr>
        <w:spacing w:before="120" w:after="120" w:line="240" w:lineRule="auto"/>
        <w:contextualSpacing w:val="0"/>
        <w:rPr>
          <w:rFonts w:ascii="Arial" w:hAnsi="Arial" w:cs="Arial"/>
          <w:b/>
          <w:bCs/>
        </w:rPr>
      </w:pPr>
      <w:r w:rsidRPr="007F13D6">
        <w:rPr>
          <w:rFonts w:ascii="Arial" w:hAnsi="Arial" w:cs="Arial"/>
          <w:b/>
          <w:bCs/>
        </w:rPr>
        <w:lastRenderedPageBreak/>
        <w:t>Assistant Principals</w:t>
      </w:r>
      <w:r w:rsidRPr="007F13D6">
        <w:rPr>
          <w:rFonts w:ascii="Arial" w:hAnsi="Arial" w:cs="Arial"/>
        </w:rPr>
        <w:t xml:space="preserve"> </w:t>
      </w:r>
      <w:r w:rsidR="00266FF2" w:rsidRPr="007F13D6">
        <w:rPr>
          <w:rFonts w:ascii="Arial" w:hAnsi="Arial" w:cs="Arial"/>
        </w:rPr>
        <w:t>increase by 132.85 positions and $17.8 million. Both models use the same threshold schedule but apply it to different staffing bases. The recreated current model uses reported Division I units, while the proposed model uses Base Division I positions plus Administrative Support Professionals and Instructional Supports. For districts, where school calculation units remain unchanged, this broader base allows more schools to cross higher staffing thresholds. For some charters, dividing an organization into multiple building-level calculation units slightly reduces the proposed total</w:t>
      </w:r>
      <w:r w:rsidRPr="007F13D6">
        <w:rPr>
          <w:rFonts w:ascii="Arial" w:hAnsi="Arial" w:cs="Arial"/>
        </w:rPr>
        <w:t>.</w:t>
      </w:r>
    </w:p>
    <w:p w14:paraId="6769B425" w14:textId="77777777" w:rsidR="00C60DC9" w:rsidRPr="007F13D6" w:rsidRDefault="00C60DC9" w:rsidP="00CE7AFC">
      <w:pPr>
        <w:pStyle w:val="ListParagraph"/>
        <w:numPr>
          <w:ilvl w:val="0"/>
          <w:numId w:val="14"/>
        </w:numPr>
        <w:spacing w:before="120" w:after="120" w:line="240" w:lineRule="auto"/>
        <w:contextualSpacing w:val="0"/>
        <w:rPr>
          <w:rFonts w:ascii="Arial" w:hAnsi="Arial" w:cs="Arial"/>
          <w:b/>
          <w:bCs/>
        </w:rPr>
      </w:pPr>
      <w:r w:rsidRPr="007F13D6">
        <w:rPr>
          <w:rFonts w:ascii="Arial" w:hAnsi="Arial" w:cs="Arial"/>
          <w:b/>
          <w:bCs/>
        </w:rPr>
        <w:t>Administrative Support Professionals</w:t>
      </w:r>
      <w:r w:rsidRPr="007F13D6">
        <w:rPr>
          <w:rFonts w:ascii="Arial" w:hAnsi="Arial" w:cs="Arial"/>
        </w:rPr>
        <w:t xml:space="preserve"> </w:t>
      </w:r>
      <w:r w:rsidR="00266FF2" w:rsidRPr="007F13D6">
        <w:rPr>
          <w:rFonts w:ascii="Arial" w:hAnsi="Arial" w:cs="Arial"/>
        </w:rPr>
        <w:t>increase by 239 positions and $17.7 million. The recreated current model calculates Secretary positions from reported Division I units, while the proposed model applies the same tiered schedule to Base Division I positions, Principals, and Instructional Supports. The Secretary-to-Administrative Support Professionals mapping and the $74,017 common rate are externally confirmed for this functional comparison.</w:t>
      </w:r>
    </w:p>
    <w:p w14:paraId="5D30D365" w14:textId="77777777" w:rsidR="00C60DC9" w:rsidRPr="007F13D6" w:rsidRDefault="00C60DC9" w:rsidP="00CE7AFC">
      <w:pPr>
        <w:pStyle w:val="ListParagraph"/>
        <w:numPr>
          <w:ilvl w:val="0"/>
          <w:numId w:val="14"/>
        </w:numPr>
        <w:spacing w:before="120" w:after="120" w:line="240" w:lineRule="auto"/>
        <w:contextualSpacing w:val="0"/>
        <w:rPr>
          <w:rFonts w:ascii="Arial" w:hAnsi="Arial" w:cs="Arial"/>
          <w:b/>
          <w:bCs/>
        </w:rPr>
      </w:pPr>
      <w:r w:rsidRPr="007F13D6">
        <w:rPr>
          <w:rFonts w:ascii="Arial" w:hAnsi="Arial" w:cs="Arial"/>
          <w:b/>
          <w:bCs/>
        </w:rPr>
        <w:t>Instructional Supports</w:t>
      </w:r>
      <w:r w:rsidRPr="007F13D6">
        <w:rPr>
          <w:rFonts w:ascii="Arial" w:hAnsi="Arial" w:cs="Arial"/>
        </w:rPr>
        <w:t xml:space="preserve"> </w:t>
      </w:r>
      <w:r w:rsidR="00266FF2" w:rsidRPr="007F13D6">
        <w:rPr>
          <w:rFonts w:ascii="Arial" w:hAnsi="Arial" w:cs="Arial"/>
        </w:rPr>
        <w:t>decrease by 114.88 positions and $11.0 million, offsetting part of the increases above. The proposed model provides a consolidated allocation equal to 20% of Base Division I positions. The recreated current comparison instead combines several separately funded functions, including counselors and social workers, psychologists, nurses, Academic Excellence, driver education, related services, and visiting teachers. The functional crosswalk and $96,155 common rate are confirmed, but the result should be interpreted as a broad comparison of support functions rather than a direct reduction in identical positions or services</w:t>
      </w:r>
      <w:r w:rsidRPr="007F13D6">
        <w:rPr>
          <w:rFonts w:ascii="Arial" w:hAnsi="Arial" w:cs="Arial"/>
        </w:rPr>
        <w:t>.</w:t>
      </w:r>
    </w:p>
    <w:p w14:paraId="352AAF5F" w14:textId="77777777" w:rsidR="0042417B" w:rsidRPr="007F13D6" w:rsidRDefault="00266FF2" w:rsidP="00CE7AFC">
      <w:pPr>
        <w:spacing w:before="120" w:after="120" w:line="240" w:lineRule="auto"/>
        <w:rPr>
          <w:rFonts w:ascii="Arial" w:hAnsi="Arial" w:cs="Arial"/>
        </w:rPr>
      </w:pPr>
      <w:r w:rsidRPr="007F13D6">
        <w:rPr>
          <w:rFonts w:ascii="Arial" w:hAnsi="Arial" w:cs="Arial"/>
        </w:rPr>
        <w:t>Beyond these three categories, most of the remaining differences reflect four features of the proposed model: additional building-level calculation units for some charter organizations, expanded charter eligibility for certain LEA-level positions, a broader staffing base for selected Central Office formulas, and a revised Food Services Supervisor rule</w:t>
      </w:r>
      <w:r w:rsidR="0042417B" w:rsidRPr="007F13D6">
        <w:rPr>
          <w:rFonts w:ascii="Arial" w:hAnsi="Arial" w:cs="Arial"/>
        </w:rPr>
        <w:t>.</w:t>
      </w:r>
    </w:p>
    <w:p w14:paraId="419695A5" w14:textId="77777777" w:rsidR="0042417B" w:rsidRPr="007F13D6" w:rsidRDefault="0042417B" w:rsidP="00CE7AFC">
      <w:pPr>
        <w:pStyle w:val="ListParagraph"/>
        <w:numPr>
          <w:ilvl w:val="0"/>
          <w:numId w:val="17"/>
        </w:numPr>
        <w:spacing w:before="120" w:after="120" w:line="240" w:lineRule="auto"/>
        <w:contextualSpacing w:val="0"/>
        <w:rPr>
          <w:rFonts w:ascii="Arial" w:hAnsi="Arial" w:cs="Arial"/>
        </w:rPr>
      </w:pPr>
      <w:r w:rsidRPr="007F13D6">
        <w:rPr>
          <w:rFonts w:ascii="Arial" w:hAnsi="Arial" w:cs="Arial"/>
          <w:b/>
          <w:bCs/>
        </w:rPr>
        <w:t>Principals</w:t>
      </w:r>
      <w:r w:rsidRPr="007F13D6">
        <w:rPr>
          <w:rFonts w:ascii="Arial" w:hAnsi="Arial" w:cs="Arial"/>
        </w:rPr>
        <w:t xml:space="preserve"> </w:t>
      </w:r>
      <w:r w:rsidR="00266FF2" w:rsidRPr="007F13D6">
        <w:rPr>
          <w:rFonts w:ascii="Arial" w:hAnsi="Arial" w:cs="Arial"/>
        </w:rPr>
        <w:t>increase by 30 positions and $4.6 million. The recreated current model provides one Principal only when an official coded school has at least 15 Division I units. The proposed model provides one Principal for every district school code and charter building calculation unit. Of the 30-position increase, 24 result from using additional charter building units beyond the 24 official charter organization codes, and six result from removing the 15-unit threshold for five district schools and one charter</w:t>
      </w:r>
      <w:r w:rsidRPr="007F13D6">
        <w:rPr>
          <w:rFonts w:ascii="Arial" w:hAnsi="Arial" w:cs="Arial"/>
        </w:rPr>
        <w:t>.</w:t>
      </w:r>
    </w:p>
    <w:p w14:paraId="48F7B561" w14:textId="77777777" w:rsidR="0042417B" w:rsidRPr="007F13D6" w:rsidRDefault="0042417B" w:rsidP="00CE7AFC">
      <w:pPr>
        <w:pStyle w:val="ListParagraph"/>
        <w:numPr>
          <w:ilvl w:val="0"/>
          <w:numId w:val="17"/>
        </w:numPr>
        <w:spacing w:before="120" w:after="120" w:line="240" w:lineRule="auto"/>
        <w:contextualSpacing w:val="0"/>
        <w:rPr>
          <w:rFonts w:ascii="Arial" w:hAnsi="Arial" w:cs="Arial"/>
        </w:rPr>
      </w:pPr>
      <w:r w:rsidRPr="007F13D6">
        <w:rPr>
          <w:rFonts w:ascii="Arial" w:hAnsi="Arial" w:cs="Arial"/>
          <w:b/>
          <w:bCs/>
        </w:rPr>
        <w:t>Superintendents and Reading Cadre</w:t>
      </w:r>
      <w:r w:rsidRPr="007F13D6">
        <w:rPr>
          <w:rFonts w:ascii="Arial" w:hAnsi="Arial" w:cs="Arial"/>
        </w:rPr>
        <w:t xml:space="preserve"> </w:t>
      </w:r>
      <w:r w:rsidR="00266FF2" w:rsidRPr="007F13D6">
        <w:rPr>
          <w:rFonts w:ascii="Arial" w:hAnsi="Arial" w:cs="Arial"/>
        </w:rPr>
        <w:t>each increase by 24 positions, adding $4.5 million and $2.3 million, respectively. The current model provides one of each position per district and excludes charters. The proposed model provides one per LEA, leaving the 19 district totals unchanged while adding one position for each of the 24 charter LEAs</w:t>
      </w:r>
      <w:r w:rsidRPr="007F13D6">
        <w:rPr>
          <w:rFonts w:ascii="Arial" w:hAnsi="Arial" w:cs="Arial"/>
        </w:rPr>
        <w:t>.</w:t>
      </w:r>
    </w:p>
    <w:p w14:paraId="61F62D4B" w14:textId="77777777" w:rsidR="0042417B" w:rsidRPr="007F13D6" w:rsidRDefault="0042417B" w:rsidP="00CE7AFC">
      <w:pPr>
        <w:pStyle w:val="ListParagraph"/>
        <w:numPr>
          <w:ilvl w:val="0"/>
          <w:numId w:val="17"/>
        </w:numPr>
        <w:spacing w:before="120" w:after="120" w:line="240" w:lineRule="auto"/>
        <w:contextualSpacing w:val="0"/>
        <w:rPr>
          <w:rFonts w:ascii="Arial" w:hAnsi="Arial" w:cs="Arial"/>
        </w:rPr>
      </w:pPr>
      <w:r w:rsidRPr="007F13D6">
        <w:rPr>
          <w:rFonts w:ascii="Arial" w:hAnsi="Arial" w:cs="Arial"/>
          <w:b/>
          <w:bCs/>
        </w:rPr>
        <w:t>Assistant Superintendents, Directors, and 11-Month Supervisors</w:t>
      </w:r>
      <w:r w:rsidRPr="007F13D6">
        <w:rPr>
          <w:rFonts w:ascii="Arial" w:hAnsi="Arial" w:cs="Arial"/>
        </w:rPr>
        <w:t xml:space="preserve"> </w:t>
      </w:r>
      <w:r w:rsidR="00D86B9C" w:rsidRPr="007F13D6">
        <w:rPr>
          <w:rFonts w:ascii="Arial" w:hAnsi="Arial" w:cs="Arial"/>
        </w:rPr>
        <w:t>increase because the proposed model applies their formulas to a broader staffing base. The recreated current model uses reported Division I units, while the proposed model uses Total Base positions. Because Total Base adds Principals, Assistant Principals, Administrative Support Professionals, and Instructional Supports to Base Division I positions, some LEAs cross additional Assistant Superintendent and Director thresholds. The proportional 11-Month Supervisor allocation also increases as the staffing base grows</w:t>
      </w:r>
      <w:r w:rsidRPr="007F13D6">
        <w:rPr>
          <w:rFonts w:ascii="Arial" w:hAnsi="Arial" w:cs="Arial"/>
        </w:rPr>
        <w:t>.</w:t>
      </w:r>
    </w:p>
    <w:p w14:paraId="3C347508" w14:textId="77777777" w:rsidR="00353F63" w:rsidRPr="007F13D6" w:rsidRDefault="0042417B" w:rsidP="00CE7AFC">
      <w:pPr>
        <w:pStyle w:val="ListParagraph"/>
        <w:numPr>
          <w:ilvl w:val="0"/>
          <w:numId w:val="17"/>
        </w:numPr>
        <w:spacing w:before="120" w:after="120" w:line="240" w:lineRule="auto"/>
        <w:contextualSpacing w:val="0"/>
        <w:rPr>
          <w:rFonts w:ascii="Arial" w:hAnsi="Arial" w:cs="Arial"/>
        </w:rPr>
      </w:pPr>
      <w:r w:rsidRPr="007F13D6">
        <w:rPr>
          <w:rFonts w:ascii="Arial" w:hAnsi="Arial" w:cs="Arial"/>
          <w:b/>
          <w:bCs/>
        </w:rPr>
        <w:t>Food Services Supervisors</w:t>
      </w:r>
      <w:r w:rsidRPr="007F13D6">
        <w:rPr>
          <w:rFonts w:ascii="Arial" w:hAnsi="Arial" w:cs="Arial"/>
        </w:rPr>
        <w:t xml:space="preserve"> </w:t>
      </w:r>
      <w:r w:rsidR="00D86B9C" w:rsidRPr="007F13D6">
        <w:rPr>
          <w:rFonts w:ascii="Arial" w:hAnsi="Arial" w:cs="Arial"/>
        </w:rPr>
        <w:t>show a working increase of 37 positions and $4.6 million, but the comparison remains provisional. The recreated current model identifies nine known positions, valued at approximately $1.11 million, for districts that meet the 500-Division I-unit threshold. Districts below that threshold may also qualify if they operate at least four lunch-program buildings, but those building counts remain unavailable for ten districts. The current estimate is therefore an incomplete minimum. The proposed model provides one position per LEA, including charters, plus one additional position for each completed 500 Base Division I positions beyond the first 500. This produces 46 positions: one for each of the 43 LEAs and a second position for three large districts.</w:t>
      </w:r>
    </w:p>
    <w:p w14:paraId="4E5218EE" w14:textId="77777777" w:rsidR="00726538" w:rsidRPr="007F13D6" w:rsidRDefault="00954852" w:rsidP="00CE7AFC">
      <w:pPr>
        <w:pStyle w:val="Heading2"/>
        <w:spacing w:before="120" w:after="120" w:line="240" w:lineRule="auto"/>
        <w:rPr>
          <w:rFonts w:ascii="Arial" w:hAnsi="Arial" w:cs="Arial"/>
        </w:rPr>
      </w:pPr>
      <w:bookmarkStart w:id="20" w:name="_Toc237512555"/>
      <w:r w:rsidRPr="007F13D6">
        <w:rPr>
          <w:rFonts w:ascii="Arial" w:hAnsi="Arial" w:cs="Arial"/>
        </w:rPr>
        <w:lastRenderedPageBreak/>
        <w:t xml:space="preserve">3.4 Principals illustrate why calculation </w:t>
      </w:r>
      <w:proofErr w:type="gramStart"/>
      <w:r w:rsidRPr="007F13D6">
        <w:rPr>
          <w:rFonts w:ascii="Arial" w:hAnsi="Arial" w:cs="Arial"/>
        </w:rPr>
        <w:t>units</w:t>
      </w:r>
      <w:proofErr w:type="gramEnd"/>
      <w:r w:rsidRPr="007F13D6">
        <w:rPr>
          <w:rFonts w:ascii="Arial" w:hAnsi="Arial" w:cs="Arial"/>
        </w:rPr>
        <w:t xml:space="preserve"> matter</w:t>
      </w:r>
      <w:bookmarkEnd w:id="20"/>
    </w:p>
    <w:p w14:paraId="3E93496A" w14:textId="77777777" w:rsidR="000F6BD8" w:rsidRPr="007F13D6" w:rsidRDefault="000F6BD8" w:rsidP="00CE7AFC">
      <w:pPr>
        <w:pStyle w:val="BodyText"/>
        <w:keepLines/>
        <w:spacing w:before="120" w:line="240" w:lineRule="auto"/>
        <w:rPr>
          <w:rFonts w:ascii="Arial" w:hAnsi="Arial" w:cs="Arial"/>
        </w:rPr>
      </w:pPr>
      <w:r w:rsidRPr="007F13D6">
        <w:rPr>
          <w:rFonts w:ascii="Arial" w:hAnsi="Arial" w:cs="Arial"/>
        </w:rPr>
        <w:t>An official coded school is a school represented by a distinct school code in DDOE systems. Under the DDOE interpretation reflected in the 2023 correspondence, each charter organization is treated as one coded school, regardless of the number of buildings it operates. A calculation unit, by contrast, is the school or building row to which a funding formula is applied. Principals provide the clearest example, but calculation-unit structure also affects Administrative Support Professionals and Assistant Principals because those formulas are applied separately to each calculation unit. Changes in these school-level positions can then flow into Total Base positions and affect selected Central Office calculations.</w:t>
      </w:r>
    </w:p>
    <w:p w14:paraId="33743103" w14:textId="77777777" w:rsidR="00726538" w:rsidRPr="007F13D6" w:rsidRDefault="000F6BD8" w:rsidP="00CE7AFC">
      <w:pPr>
        <w:pStyle w:val="BodyText"/>
        <w:keepLines/>
        <w:spacing w:before="120" w:line="240" w:lineRule="auto"/>
        <w:rPr>
          <w:rFonts w:ascii="Arial" w:hAnsi="Arial" w:cs="Arial"/>
        </w:rPr>
      </w:pPr>
      <w:r w:rsidRPr="007F13D6">
        <w:rPr>
          <w:rFonts w:ascii="Arial" w:hAnsi="Arial" w:cs="Arial"/>
        </w:rPr>
        <w:t>The recreated current model provides one Principal only when an official coded school has at least 15 reported Division I units. The proposed model provides one Principal for every school calculation unit, including the separate building-level units proposed for some charter organizations in the PEFC workbook. The resulting increase therefore reflects both the removal of the 15-unit threshold and the use of additional charter building units</w:t>
      </w:r>
      <w:r w:rsidR="00954852" w:rsidRPr="007F13D6">
        <w:rPr>
          <w:rFonts w:ascii="Arial" w:hAnsi="Arial" w:cs="Arial"/>
        </w:rPr>
        <w:t>.</w:t>
      </w:r>
    </w:p>
    <w:p w14:paraId="0B892133" w14:textId="77777777"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Exhibit 7. Bridge from 223 current principals to 253 proposed principals</w:t>
      </w:r>
    </w:p>
    <w:tbl>
      <w:tblPr>
        <w:tblW w:w="9648" w:type="dxa"/>
        <w:jc w:val="center"/>
        <w:tblLayout w:type="fixed"/>
        <w:tblLook w:val="04A0" w:firstRow="1" w:lastRow="0" w:firstColumn="1" w:lastColumn="0" w:noHBand="0" w:noVBand="1"/>
      </w:tblPr>
      <w:tblGrid>
        <w:gridCol w:w="2880"/>
        <w:gridCol w:w="1008"/>
        <w:gridCol w:w="5760"/>
      </w:tblGrid>
      <w:tr w:rsidR="00337FDB" w:rsidRPr="007F13D6" w14:paraId="3C62D6CC" w14:textId="77777777" w:rsidTr="007047D3">
        <w:trPr>
          <w:cantSplit/>
          <w:tblHeader/>
          <w:jc w:val="center"/>
        </w:trPr>
        <w:tc>
          <w:tcPr>
            <w:tcW w:w="2880" w:type="dxa"/>
            <w:tcBorders>
              <w:bottom w:val="single" w:sz="8" w:space="0" w:color="FFFFFF"/>
            </w:tcBorders>
            <w:shd w:val="clear" w:color="auto" w:fill="1F4E78"/>
            <w:tcMar>
              <w:top w:w="70" w:type="dxa"/>
              <w:left w:w="80" w:type="dxa"/>
              <w:bottom w:w="70" w:type="dxa"/>
              <w:right w:w="80" w:type="dxa"/>
            </w:tcMar>
            <w:vAlign w:val="center"/>
          </w:tcPr>
          <w:p w14:paraId="26CB6497" w14:textId="77777777" w:rsidR="00337FDB" w:rsidRPr="007F13D6" w:rsidRDefault="00337FDB" w:rsidP="007407E1">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Bridge element</w:t>
            </w:r>
          </w:p>
        </w:tc>
        <w:tc>
          <w:tcPr>
            <w:tcW w:w="1008" w:type="dxa"/>
            <w:tcBorders>
              <w:bottom w:val="single" w:sz="8" w:space="0" w:color="FFFFFF"/>
            </w:tcBorders>
            <w:shd w:val="clear" w:color="auto" w:fill="1F4E78"/>
            <w:tcMar>
              <w:top w:w="70" w:type="dxa"/>
              <w:left w:w="80" w:type="dxa"/>
              <w:bottom w:w="70" w:type="dxa"/>
              <w:right w:w="80" w:type="dxa"/>
            </w:tcMar>
            <w:vAlign w:val="center"/>
          </w:tcPr>
          <w:p w14:paraId="63DEBE22" w14:textId="77777777" w:rsidR="00337FDB" w:rsidRPr="007F13D6" w:rsidRDefault="00337FDB" w:rsidP="007407E1">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Positions</w:t>
            </w:r>
          </w:p>
        </w:tc>
        <w:tc>
          <w:tcPr>
            <w:tcW w:w="5760" w:type="dxa"/>
            <w:tcBorders>
              <w:bottom w:val="single" w:sz="8" w:space="0" w:color="FFFFFF"/>
            </w:tcBorders>
            <w:shd w:val="clear" w:color="auto" w:fill="1F4E78"/>
            <w:tcMar>
              <w:top w:w="70" w:type="dxa"/>
              <w:left w:w="80" w:type="dxa"/>
              <w:bottom w:w="70" w:type="dxa"/>
              <w:right w:w="80" w:type="dxa"/>
            </w:tcMar>
            <w:vAlign w:val="center"/>
          </w:tcPr>
          <w:p w14:paraId="733110EA" w14:textId="77777777" w:rsidR="00337FDB" w:rsidRPr="007F13D6" w:rsidRDefault="00337FDB" w:rsidP="007407E1">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Explanation</w:t>
            </w:r>
          </w:p>
        </w:tc>
      </w:tr>
      <w:tr w:rsidR="00337FDB" w:rsidRPr="007F13D6" w14:paraId="6E15F591" w14:textId="77777777" w:rsidTr="007047D3">
        <w:trPr>
          <w:cantSplit/>
          <w:jc w:val="center"/>
        </w:trPr>
        <w:tc>
          <w:tcPr>
            <w:tcW w:w="2880" w:type="dxa"/>
            <w:tcBorders>
              <w:bottom w:val="single" w:sz="4" w:space="0" w:color="B7B7B7"/>
            </w:tcBorders>
            <w:tcMar>
              <w:top w:w="70" w:type="dxa"/>
              <w:left w:w="80" w:type="dxa"/>
              <w:bottom w:w="70" w:type="dxa"/>
              <w:right w:w="80" w:type="dxa"/>
            </w:tcMar>
            <w:vAlign w:val="center"/>
          </w:tcPr>
          <w:p w14:paraId="36D71844"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Recreated current principal positions</w:t>
            </w:r>
          </w:p>
        </w:tc>
        <w:tc>
          <w:tcPr>
            <w:tcW w:w="1008" w:type="dxa"/>
            <w:tcBorders>
              <w:bottom w:val="single" w:sz="4" w:space="0" w:color="B7B7B7"/>
            </w:tcBorders>
            <w:tcMar>
              <w:top w:w="70" w:type="dxa"/>
              <w:left w:w="80" w:type="dxa"/>
              <w:bottom w:w="70" w:type="dxa"/>
              <w:right w:w="80" w:type="dxa"/>
            </w:tcMar>
            <w:vAlign w:val="center"/>
          </w:tcPr>
          <w:p w14:paraId="74CABF78"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223</w:t>
            </w:r>
          </w:p>
        </w:tc>
        <w:tc>
          <w:tcPr>
            <w:tcW w:w="5760" w:type="dxa"/>
            <w:tcBorders>
              <w:bottom w:val="single" w:sz="4" w:space="0" w:color="B7B7B7"/>
            </w:tcBorders>
            <w:tcMar>
              <w:top w:w="70" w:type="dxa"/>
              <w:left w:w="80" w:type="dxa"/>
              <w:bottom w:w="70" w:type="dxa"/>
              <w:right w:w="80" w:type="dxa"/>
            </w:tcMar>
            <w:vAlign w:val="center"/>
          </w:tcPr>
          <w:p w14:paraId="21204579"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Current rule: one Principal for a school building or combination of school buildings once it reaches at least 15 Division I units.</w:t>
            </w:r>
          </w:p>
        </w:tc>
      </w:tr>
      <w:tr w:rsidR="00337FDB" w:rsidRPr="007F13D6" w14:paraId="783608DA" w14:textId="77777777" w:rsidTr="007047D3">
        <w:trPr>
          <w:cantSplit/>
          <w:jc w:val="center"/>
        </w:trPr>
        <w:tc>
          <w:tcPr>
            <w:tcW w:w="2880" w:type="dxa"/>
            <w:tcBorders>
              <w:bottom w:val="single" w:sz="4" w:space="0" w:color="B7B7B7"/>
            </w:tcBorders>
            <w:shd w:val="clear" w:color="auto" w:fill="EAF3F8"/>
            <w:tcMar>
              <w:top w:w="70" w:type="dxa"/>
              <w:left w:w="80" w:type="dxa"/>
              <w:bottom w:w="70" w:type="dxa"/>
              <w:right w:w="80" w:type="dxa"/>
            </w:tcMar>
            <w:vAlign w:val="center"/>
          </w:tcPr>
          <w:p w14:paraId="5B7AA7DF"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Effect of additional charter building calculation units</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0B86FAF2"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+24</w:t>
            </w:r>
          </w:p>
        </w:tc>
        <w:tc>
          <w:tcPr>
            <w:tcW w:w="5760" w:type="dxa"/>
            <w:tcBorders>
              <w:bottom w:val="single" w:sz="4" w:space="0" w:color="B7B7B7"/>
            </w:tcBorders>
            <w:shd w:val="clear" w:color="auto" w:fill="EAF3F8"/>
            <w:tcMar>
              <w:top w:w="70" w:type="dxa"/>
              <w:left w:w="80" w:type="dxa"/>
              <w:bottom w:w="70" w:type="dxa"/>
              <w:right w:w="80" w:type="dxa"/>
            </w:tcMar>
            <w:vAlign w:val="center"/>
          </w:tcPr>
          <w:p w14:paraId="5455BCBA"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The proposed model uses 48 charter building-level calculation units rather than 24 official charter organization codes, adding 24 units eligible for a Principal.</w:t>
            </w:r>
          </w:p>
        </w:tc>
      </w:tr>
      <w:tr w:rsidR="00337FDB" w:rsidRPr="007F13D6" w14:paraId="6B22AB65" w14:textId="77777777" w:rsidTr="007047D3">
        <w:trPr>
          <w:cantSplit/>
          <w:jc w:val="center"/>
        </w:trPr>
        <w:tc>
          <w:tcPr>
            <w:tcW w:w="2880" w:type="dxa"/>
            <w:tcBorders>
              <w:bottom w:val="single" w:sz="4" w:space="0" w:color="B7B7B7"/>
            </w:tcBorders>
            <w:tcMar>
              <w:top w:w="70" w:type="dxa"/>
              <w:left w:w="80" w:type="dxa"/>
              <w:bottom w:w="70" w:type="dxa"/>
              <w:right w:w="80" w:type="dxa"/>
            </w:tcMar>
            <w:vAlign w:val="center"/>
          </w:tcPr>
          <w:p w14:paraId="4BFE98DE"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Effect of replacing the current 15-unit minimum</w:t>
            </w:r>
          </w:p>
        </w:tc>
        <w:tc>
          <w:tcPr>
            <w:tcW w:w="1008" w:type="dxa"/>
            <w:tcBorders>
              <w:bottom w:val="single" w:sz="4" w:space="0" w:color="B7B7B7"/>
            </w:tcBorders>
            <w:tcMar>
              <w:top w:w="70" w:type="dxa"/>
              <w:left w:w="80" w:type="dxa"/>
              <w:bottom w:w="70" w:type="dxa"/>
              <w:right w:w="80" w:type="dxa"/>
            </w:tcMar>
            <w:vAlign w:val="center"/>
          </w:tcPr>
          <w:p w14:paraId="013B584A"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+6</w:t>
            </w:r>
          </w:p>
        </w:tc>
        <w:tc>
          <w:tcPr>
            <w:tcW w:w="5760" w:type="dxa"/>
            <w:tcBorders>
              <w:bottom w:val="single" w:sz="4" w:space="0" w:color="B7B7B7"/>
            </w:tcBorders>
            <w:tcMar>
              <w:top w:w="70" w:type="dxa"/>
              <w:left w:w="80" w:type="dxa"/>
              <w:bottom w:w="70" w:type="dxa"/>
              <w:right w:w="80" w:type="dxa"/>
            </w:tcMar>
            <w:vAlign w:val="center"/>
          </w:tcPr>
          <w:p w14:paraId="5CB6C7FA"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Five district coded schools and BASSE have fewer than 15 Division I units and therefore receive no Principal under the recreated current rule, but each receives one under the proposed rule.</w:t>
            </w:r>
          </w:p>
        </w:tc>
      </w:tr>
      <w:tr w:rsidR="00337FDB" w:rsidRPr="007F13D6" w14:paraId="7CA96712" w14:textId="77777777" w:rsidTr="007047D3">
        <w:trPr>
          <w:cantSplit/>
          <w:jc w:val="center"/>
        </w:trPr>
        <w:tc>
          <w:tcPr>
            <w:tcW w:w="2880" w:type="dxa"/>
            <w:tcBorders>
              <w:bottom w:val="single" w:sz="4" w:space="0" w:color="B7B7B7"/>
            </w:tcBorders>
            <w:shd w:val="clear" w:color="auto" w:fill="EAF3F8"/>
            <w:tcMar>
              <w:top w:w="70" w:type="dxa"/>
              <w:left w:w="80" w:type="dxa"/>
              <w:bottom w:w="70" w:type="dxa"/>
              <w:right w:w="80" w:type="dxa"/>
            </w:tcMar>
            <w:vAlign w:val="center"/>
          </w:tcPr>
          <w:p w14:paraId="2C162460"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IV&amp;V proposed principal positions</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687E32E4"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253</w:t>
            </w:r>
          </w:p>
        </w:tc>
        <w:tc>
          <w:tcPr>
            <w:tcW w:w="5760" w:type="dxa"/>
            <w:tcBorders>
              <w:bottom w:val="single" w:sz="4" w:space="0" w:color="B7B7B7"/>
            </w:tcBorders>
            <w:shd w:val="clear" w:color="auto" w:fill="EAF3F8"/>
            <w:tcMar>
              <w:top w:w="70" w:type="dxa"/>
              <w:left w:w="80" w:type="dxa"/>
              <w:bottom w:w="70" w:type="dxa"/>
              <w:right w:w="80" w:type="dxa"/>
            </w:tcMar>
            <w:vAlign w:val="center"/>
          </w:tcPr>
          <w:p w14:paraId="4C7341A0" w14:textId="77777777" w:rsidR="00337FDB" w:rsidRPr="007F13D6" w:rsidRDefault="00337FDB" w:rsidP="007407E1">
            <w:pPr>
              <w:spacing w:after="0" w:line="240" w:lineRule="auto"/>
              <w:rPr>
                <w:rFonts w:ascii="Arial" w:hAnsi="Arial" w:cs="Arial"/>
                <w:sz w:val="17"/>
                <w:szCs w:val="17"/>
              </w:rPr>
            </w:pPr>
            <w:r w:rsidRPr="007F13D6">
              <w:rPr>
                <w:rFonts w:ascii="Arial" w:hAnsi="Arial" w:cs="Arial"/>
                <w:color w:val="000000"/>
                <w:sz w:val="17"/>
                <w:szCs w:val="17"/>
              </w:rPr>
              <w:t>Proposed rule: one Principal for every school calculation unit.</w:t>
            </w:r>
          </w:p>
        </w:tc>
      </w:tr>
    </w:tbl>
    <w:p w14:paraId="09E4167A" w14:textId="77777777" w:rsidR="00726538" w:rsidRPr="007F13D6" w:rsidRDefault="00954852" w:rsidP="00CE7AFC">
      <w:pPr>
        <w:spacing w:before="120" w:after="120" w:line="240" w:lineRule="auto"/>
        <w:rPr>
          <w:rFonts w:ascii="Arial" w:hAnsi="Arial" w:cs="Arial"/>
        </w:rPr>
      </w:pPr>
      <w:r w:rsidRPr="007F13D6">
        <w:rPr>
          <w:rFonts w:ascii="Arial" w:hAnsi="Arial" w:cs="Arial"/>
          <w:i/>
          <w:color w:val="666666"/>
          <w:sz w:val="16"/>
        </w:rPr>
        <w:t>Source: 04_current_model_quantities.csv; 07_proposed_model_quantities.csv; 11_charter_building_treatment.csv.</w:t>
      </w:r>
    </w:p>
    <w:p w14:paraId="0E3F0065" w14:textId="77777777" w:rsidR="00726538" w:rsidRPr="007F13D6" w:rsidRDefault="000F6BD8" w:rsidP="00CE7AFC">
      <w:pPr>
        <w:pStyle w:val="BodyText"/>
        <w:keepLines/>
        <w:spacing w:before="120" w:line="240" w:lineRule="auto"/>
        <w:rPr>
          <w:rFonts w:ascii="Arial" w:hAnsi="Arial" w:cs="Arial"/>
        </w:rPr>
      </w:pPr>
      <w:r w:rsidRPr="007F13D6">
        <w:rPr>
          <w:rFonts w:ascii="Arial" w:hAnsi="Arial" w:cs="Arial"/>
        </w:rPr>
        <w:t>The bridge shows that 24 of the 30 additional positions result from using 48 charter building-level calculation units rather than 24 official charter organization codes. The remaining six result from removing the current 15-unit minimum, which allows Capital Early Childhood Center, Pulaski Early Education Center, Stubbs Early Education Center, DelCastle ILC, First State School, and BASSE to receive Principal positions</w:t>
      </w:r>
      <w:r w:rsidR="00954852" w:rsidRPr="007F13D6">
        <w:rPr>
          <w:rFonts w:ascii="Arial" w:hAnsi="Arial" w:cs="Arial"/>
        </w:rPr>
        <w:t>.</w:t>
      </w:r>
    </w:p>
    <w:tbl>
      <w:tblPr>
        <w:tblW w:w="0" w:type="auto"/>
        <w:jc w:val="center"/>
        <w:tblLook w:val="04A0" w:firstRow="1" w:lastRow="0" w:firstColumn="1" w:lastColumn="0" w:noHBand="0" w:noVBand="1"/>
      </w:tblPr>
      <w:tblGrid>
        <w:gridCol w:w="9340"/>
      </w:tblGrid>
      <w:tr w:rsidR="00726538" w:rsidRPr="007F13D6" w14:paraId="44EA06A1" w14:textId="77777777">
        <w:trPr>
          <w:jc w:val="center"/>
        </w:trPr>
        <w:tc>
          <w:tcPr>
            <w:tcW w:w="10166" w:type="dxa"/>
            <w:tcBorders>
              <w:top w:val="single" w:sz="8" w:space="0" w:color="2F6B67"/>
              <w:left w:val="single" w:sz="8" w:space="0" w:color="2F6B67"/>
              <w:bottom w:val="single" w:sz="8" w:space="0" w:color="2F6B67"/>
              <w:right w:val="single" w:sz="8" w:space="0" w:color="2F6B67"/>
            </w:tcBorders>
            <w:shd w:val="clear" w:color="auto" w:fill="DDEFEA"/>
            <w:tcMar>
              <w:top w:w="110" w:type="dxa"/>
              <w:left w:w="140" w:type="dxa"/>
              <w:bottom w:w="110" w:type="dxa"/>
              <w:right w:w="140" w:type="dxa"/>
            </w:tcMar>
          </w:tcPr>
          <w:p w14:paraId="21FECD67" w14:textId="77777777" w:rsidR="00726538" w:rsidRPr="007F13D6" w:rsidRDefault="00954852" w:rsidP="00CE7AFC">
            <w:pPr>
              <w:spacing w:before="120" w:after="120" w:line="240" w:lineRule="auto"/>
              <w:rPr>
                <w:rFonts w:ascii="Arial" w:hAnsi="Arial" w:cs="Arial"/>
              </w:rPr>
            </w:pPr>
            <w:r w:rsidRPr="007F13D6">
              <w:rPr>
                <w:rFonts w:ascii="Arial" w:hAnsi="Arial" w:cs="Arial"/>
                <w:b/>
                <w:color w:val="1F4E78"/>
              </w:rPr>
              <w:t>Interpretation</w:t>
            </w:r>
          </w:p>
          <w:p w14:paraId="65EF0E6D" w14:textId="59C5BAC3" w:rsidR="000F6BD8" w:rsidRPr="007F13D6" w:rsidRDefault="000F6BD8" w:rsidP="00CE7AFC">
            <w:pPr>
              <w:spacing w:before="120" w:after="120" w:line="240" w:lineRule="auto"/>
              <w:rPr>
                <w:rFonts w:ascii="Arial" w:hAnsi="Arial" w:cs="Arial"/>
                <w:color w:val="000000"/>
                <w:sz w:val="19"/>
              </w:rPr>
            </w:pPr>
            <w:r w:rsidRPr="007F13D6">
              <w:rPr>
                <w:rFonts w:ascii="Arial" w:hAnsi="Arial" w:cs="Arial"/>
                <w:color w:val="000000"/>
                <w:sz w:val="19"/>
              </w:rPr>
              <w:t>The additional charter building rows are funding calculation units used to apply school-based formulas under the proposed model. Based on the building structure presented in the PEFC workbook, they allow certain staffing rules to be applied separately to distinct charter buildings.</w:t>
            </w:r>
          </w:p>
          <w:p w14:paraId="1F095AB8" w14:textId="77777777" w:rsidR="00726538" w:rsidRPr="007F13D6" w:rsidRDefault="000F6BD8" w:rsidP="00CE7AFC">
            <w:pPr>
              <w:spacing w:before="120" w:after="120" w:line="240" w:lineRule="auto"/>
              <w:rPr>
                <w:rFonts w:ascii="Arial" w:hAnsi="Arial" w:cs="Arial"/>
                <w:color w:val="000000"/>
                <w:sz w:val="19"/>
              </w:rPr>
            </w:pPr>
            <w:r w:rsidRPr="007F13D6">
              <w:rPr>
                <w:rFonts w:ascii="Arial" w:hAnsi="Arial" w:cs="Arial"/>
                <w:color w:val="000000"/>
                <w:sz w:val="19"/>
              </w:rPr>
              <w:t>Charter totals are allocated across building units only for Base staffing formulas. Opportunity and Operational Funding retain each charter organization’s students and weighted counts at the organization level. The building rows therefore affect how certain school-based positions are calculated, not the number of students funded statewide</w:t>
            </w:r>
            <w:r w:rsidR="00954852" w:rsidRPr="007F13D6">
              <w:rPr>
                <w:rFonts w:ascii="Arial" w:hAnsi="Arial" w:cs="Arial"/>
                <w:color w:val="000000"/>
                <w:sz w:val="19"/>
              </w:rPr>
              <w:t>.</w:t>
            </w:r>
          </w:p>
        </w:tc>
      </w:tr>
    </w:tbl>
    <w:p w14:paraId="0BF954F1" w14:textId="25759D39" w:rsidR="007407E1" w:rsidRPr="007F13D6" w:rsidRDefault="00954852" w:rsidP="007407E1">
      <w:pPr>
        <w:pStyle w:val="Heading2"/>
        <w:spacing w:before="120" w:after="120" w:line="240" w:lineRule="auto"/>
        <w:rPr>
          <w:rFonts w:ascii="Arial" w:hAnsi="Arial" w:cs="Arial"/>
        </w:rPr>
      </w:pPr>
      <w:bookmarkStart w:id="21" w:name="_Toc237512556"/>
      <w:r w:rsidRPr="007F13D6">
        <w:rPr>
          <w:rFonts w:ascii="Arial" w:hAnsi="Arial" w:cs="Arial"/>
        </w:rPr>
        <w:t>3.5 District and charter patterns</w:t>
      </w:r>
      <w:bookmarkEnd w:id="21"/>
    </w:p>
    <w:p w14:paraId="5394105F" w14:textId="71EF7F73"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 xml:space="preserve">Exhibit 8. </w:t>
      </w:r>
      <w:r w:rsidR="0032182C" w:rsidRPr="007F13D6">
        <w:rPr>
          <w:rFonts w:ascii="Arial" w:hAnsi="Arial" w:cs="Arial"/>
          <w:b/>
          <w:color w:val="1F4E78"/>
          <w:sz w:val="18"/>
        </w:rPr>
        <w:t>LEA distribution of comparable staffing amounts</w:t>
      </w:r>
    </w:p>
    <w:tbl>
      <w:tblPr>
        <w:tblW w:w="9144" w:type="dxa"/>
        <w:jc w:val="center"/>
        <w:tblLayout w:type="fixed"/>
        <w:tblLook w:val="04A0" w:firstRow="1" w:lastRow="0" w:firstColumn="1" w:lastColumn="0" w:noHBand="0" w:noVBand="1"/>
      </w:tblPr>
      <w:tblGrid>
        <w:gridCol w:w="1440"/>
        <w:gridCol w:w="792"/>
        <w:gridCol w:w="1512"/>
        <w:gridCol w:w="1512"/>
        <w:gridCol w:w="1440"/>
        <w:gridCol w:w="1296"/>
        <w:gridCol w:w="1152"/>
      </w:tblGrid>
      <w:tr w:rsidR="00E71663" w:rsidRPr="007F13D6" w14:paraId="161BE875" w14:textId="77777777" w:rsidTr="007047D3">
        <w:trPr>
          <w:cantSplit/>
          <w:tblHeader/>
          <w:jc w:val="center"/>
        </w:trPr>
        <w:tc>
          <w:tcPr>
            <w:tcW w:w="1440" w:type="dxa"/>
            <w:tcBorders>
              <w:bottom w:val="single" w:sz="8" w:space="0" w:color="FFFFFF"/>
            </w:tcBorders>
            <w:shd w:val="clear" w:color="auto" w:fill="1F4E78"/>
            <w:tcMar>
              <w:top w:w="70" w:type="dxa"/>
              <w:left w:w="80" w:type="dxa"/>
              <w:bottom w:w="70" w:type="dxa"/>
              <w:right w:w="80" w:type="dxa"/>
            </w:tcMar>
            <w:vAlign w:val="center"/>
          </w:tcPr>
          <w:p w14:paraId="7244FBED" w14:textId="77777777" w:rsidR="00E71663" w:rsidRPr="007F13D6" w:rsidRDefault="00E71663"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LEA type</w:t>
            </w:r>
          </w:p>
        </w:tc>
        <w:tc>
          <w:tcPr>
            <w:tcW w:w="792" w:type="dxa"/>
            <w:tcBorders>
              <w:bottom w:val="single" w:sz="8" w:space="0" w:color="FFFFFF"/>
            </w:tcBorders>
            <w:shd w:val="clear" w:color="auto" w:fill="1F4E78"/>
            <w:tcMar>
              <w:top w:w="70" w:type="dxa"/>
              <w:left w:w="80" w:type="dxa"/>
              <w:bottom w:w="70" w:type="dxa"/>
              <w:right w:w="80" w:type="dxa"/>
            </w:tcMar>
            <w:vAlign w:val="center"/>
          </w:tcPr>
          <w:p w14:paraId="5B81B71F" w14:textId="77777777" w:rsidR="00E71663" w:rsidRPr="007F13D6" w:rsidRDefault="00E71663"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LEAs</w:t>
            </w:r>
          </w:p>
        </w:tc>
        <w:tc>
          <w:tcPr>
            <w:tcW w:w="1512" w:type="dxa"/>
            <w:tcBorders>
              <w:bottom w:val="single" w:sz="8" w:space="0" w:color="FFFFFF"/>
            </w:tcBorders>
            <w:shd w:val="clear" w:color="auto" w:fill="1F4E78"/>
            <w:tcMar>
              <w:top w:w="70" w:type="dxa"/>
              <w:left w:w="80" w:type="dxa"/>
              <w:bottom w:w="70" w:type="dxa"/>
              <w:right w:w="80" w:type="dxa"/>
            </w:tcMar>
            <w:vAlign w:val="center"/>
          </w:tcPr>
          <w:p w14:paraId="1A5AFC34" w14:textId="77777777" w:rsidR="00E71663" w:rsidRPr="007F13D6" w:rsidRDefault="00E71663"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Current</w:t>
            </w:r>
          </w:p>
        </w:tc>
        <w:tc>
          <w:tcPr>
            <w:tcW w:w="1512" w:type="dxa"/>
            <w:tcBorders>
              <w:bottom w:val="single" w:sz="8" w:space="0" w:color="FFFFFF"/>
            </w:tcBorders>
            <w:shd w:val="clear" w:color="auto" w:fill="1F4E78"/>
            <w:tcMar>
              <w:top w:w="70" w:type="dxa"/>
              <w:left w:w="80" w:type="dxa"/>
              <w:bottom w:w="70" w:type="dxa"/>
              <w:right w:w="80" w:type="dxa"/>
            </w:tcMar>
            <w:vAlign w:val="center"/>
          </w:tcPr>
          <w:p w14:paraId="2F8A057F" w14:textId="77777777" w:rsidR="00E71663" w:rsidRPr="007F13D6" w:rsidRDefault="00E71663"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Proposed</w:t>
            </w:r>
          </w:p>
        </w:tc>
        <w:tc>
          <w:tcPr>
            <w:tcW w:w="1440" w:type="dxa"/>
            <w:tcBorders>
              <w:bottom w:val="single" w:sz="8" w:space="0" w:color="FFFFFF"/>
            </w:tcBorders>
            <w:shd w:val="clear" w:color="auto" w:fill="1F4E78"/>
            <w:tcMar>
              <w:top w:w="70" w:type="dxa"/>
              <w:left w:w="80" w:type="dxa"/>
              <w:bottom w:w="70" w:type="dxa"/>
              <w:right w:w="80" w:type="dxa"/>
            </w:tcMar>
            <w:vAlign w:val="center"/>
          </w:tcPr>
          <w:p w14:paraId="5D01B23A" w14:textId="77777777" w:rsidR="00E71663" w:rsidRPr="007F13D6" w:rsidRDefault="00E71663"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Aggregate change</w:t>
            </w:r>
          </w:p>
        </w:tc>
        <w:tc>
          <w:tcPr>
            <w:tcW w:w="1296" w:type="dxa"/>
            <w:tcBorders>
              <w:bottom w:val="single" w:sz="8" w:space="0" w:color="FFFFFF"/>
            </w:tcBorders>
            <w:shd w:val="clear" w:color="auto" w:fill="1F4E78"/>
            <w:tcMar>
              <w:top w:w="70" w:type="dxa"/>
              <w:left w:w="80" w:type="dxa"/>
              <w:bottom w:w="70" w:type="dxa"/>
              <w:right w:w="80" w:type="dxa"/>
            </w:tcMar>
            <w:vAlign w:val="center"/>
          </w:tcPr>
          <w:p w14:paraId="251F33CA" w14:textId="77777777" w:rsidR="00E71663" w:rsidRPr="007F13D6" w:rsidRDefault="00E71663"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Median LEA change</w:t>
            </w:r>
          </w:p>
        </w:tc>
        <w:tc>
          <w:tcPr>
            <w:tcW w:w="1152" w:type="dxa"/>
            <w:tcBorders>
              <w:bottom w:val="single" w:sz="8" w:space="0" w:color="FFFFFF"/>
            </w:tcBorders>
            <w:shd w:val="clear" w:color="auto" w:fill="1F4E78"/>
            <w:tcMar>
              <w:top w:w="70" w:type="dxa"/>
              <w:left w:w="80" w:type="dxa"/>
              <w:bottom w:w="70" w:type="dxa"/>
              <w:right w:w="80" w:type="dxa"/>
            </w:tcMar>
            <w:vAlign w:val="center"/>
          </w:tcPr>
          <w:p w14:paraId="39128242" w14:textId="77777777" w:rsidR="00E71663" w:rsidRPr="007F13D6" w:rsidRDefault="00E71663"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Direction</w:t>
            </w:r>
          </w:p>
        </w:tc>
      </w:tr>
      <w:tr w:rsidR="00E71663" w:rsidRPr="007F13D6" w14:paraId="14E0F3D7" w14:textId="77777777" w:rsidTr="007047D3">
        <w:trPr>
          <w:cantSplit/>
          <w:jc w:val="center"/>
        </w:trPr>
        <w:tc>
          <w:tcPr>
            <w:tcW w:w="1440" w:type="dxa"/>
            <w:tcBorders>
              <w:bottom w:val="single" w:sz="4" w:space="0" w:color="B7B7B7"/>
            </w:tcBorders>
            <w:tcMar>
              <w:top w:w="70" w:type="dxa"/>
              <w:left w:w="80" w:type="dxa"/>
              <w:bottom w:w="70" w:type="dxa"/>
              <w:right w:w="80" w:type="dxa"/>
            </w:tcMar>
            <w:vAlign w:val="center"/>
          </w:tcPr>
          <w:p w14:paraId="47B1991C"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Districts</w:t>
            </w:r>
          </w:p>
        </w:tc>
        <w:tc>
          <w:tcPr>
            <w:tcW w:w="792" w:type="dxa"/>
            <w:tcBorders>
              <w:bottom w:val="single" w:sz="4" w:space="0" w:color="B7B7B7"/>
            </w:tcBorders>
            <w:tcMar>
              <w:top w:w="70" w:type="dxa"/>
              <w:left w:w="80" w:type="dxa"/>
              <w:bottom w:w="70" w:type="dxa"/>
              <w:right w:w="80" w:type="dxa"/>
            </w:tcMar>
            <w:vAlign w:val="center"/>
          </w:tcPr>
          <w:p w14:paraId="034BA164"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19</w:t>
            </w:r>
          </w:p>
        </w:tc>
        <w:tc>
          <w:tcPr>
            <w:tcW w:w="1512" w:type="dxa"/>
            <w:tcBorders>
              <w:bottom w:val="single" w:sz="4" w:space="0" w:color="B7B7B7"/>
            </w:tcBorders>
            <w:tcMar>
              <w:top w:w="70" w:type="dxa"/>
              <w:left w:w="80" w:type="dxa"/>
              <w:bottom w:w="70" w:type="dxa"/>
              <w:right w:w="80" w:type="dxa"/>
            </w:tcMar>
            <w:vAlign w:val="center"/>
          </w:tcPr>
          <w:p w14:paraId="077B211E"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$1.393B</w:t>
            </w:r>
          </w:p>
        </w:tc>
        <w:tc>
          <w:tcPr>
            <w:tcW w:w="1512" w:type="dxa"/>
            <w:tcBorders>
              <w:bottom w:val="single" w:sz="4" w:space="0" w:color="B7B7B7"/>
            </w:tcBorders>
            <w:tcMar>
              <w:top w:w="70" w:type="dxa"/>
              <w:left w:w="80" w:type="dxa"/>
              <w:bottom w:w="70" w:type="dxa"/>
              <w:right w:w="80" w:type="dxa"/>
            </w:tcMar>
            <w:vAlign w:val="center"/>
          </w:tcPr>
          <w:p w14:paraId="19B240B0"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$1.423B</w:t>
            </w:r>
          </w:p>
        </w:tc>
        <w:tc>
          <w:tcPr>
            <w:tcW w:w="1440" w:type="dxa"/>
            <w:tcBorders>
              <w:bottom w:val="single" w:sz="4" w:space="0" w:color="B7B7B7"/>
            </w:tcBorders>
            <w:tcMar>
              <w:top w:w="70" w:type="dxa"/>
              <w:left w:w="80" w:type="dxa"/>
              <w:bottom w:w="70" w:type="dxa"/>
              <w:right w:w="80" w:type="dxa"/>
            </w:tcMar>
            <w:vAlign w:val="center"/>
          </w:tcPr>
          <w:p w14:paraId="666860AA"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+2.2%</w:t>
            </w:r>
          </w:p>
        </w:tc>
        <w:tc>
          <w:tcPr>
            <w:tcW w:w="1296" w:type="dxa"/>
            <w:tcBorders>
              <w:bottom w:val="single" w:sz="4" w:space="0" w:color="B7B7B7"/>
            </w:tcBorders>
            <w:tcMar>
              <w:top w:w="70" w:type="dxa"/>
              <w:left w:w="80" w:type="dxa"/>
              <w:bottom w:w="70" w:type="dxa"/>
              <w:right w:w="80" w:type="dxa"/>
            </w:tcMar>
            <w:vAlign w:val="center"/>
          </w:tcPr>
          <w:p w14:paraId="4D514850"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2.6%</w:t>
            </w:r>
          </w:p>
        </w:tc>
        <w:tc>
          <w:tcPr>
            <w:tcW w:w="1152" w:type="dxa"/>
            <w:tcBorders>
              <w:bottom w:val="single" w:sz="4" w:space="0" w:color="B7B7B7"/>
            </w:tcBorders>
            <w:tcMar>
              <w:top w:w="70" w:type="dxa"/>
              <w:left w:w="80" w:type="dxa"/>
              <w:bottom w:w="70" w:type="dxa"/>
              <w:right w:w="80" w:type="dxa"/>
            </w:tcMar>
            <w:vAlign w:val="center"/>
          </w:tcPr>
          <w:p w14:paraId="42501275"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 xml:space="preserve">18 </w:t>
            </w:r>
            <w:proofErr w:type="gramStart"/>
            <w:r w:rsidRPr="007F13D6">
              <w:rPr>
                <w:rFonts w:ascii="Arial" w:hAnsi="Arial" w:cs="Arial"/>
                <w:color w:val="000000"/>
                <w:sz w:val="17"/>
                <w:szCs w:val="17"/>
              </w:rPr>
              <w:t>increase</w:t>
            </w:r>
            <w:proofErr w:type="gramEnd"/>
            <w:r w:rsidRPr="007F13D6">
              <w:rPr>
                <w:rFonts w:ascii="Arial" w:hAnsi="Arial" w:cs="Arial"/>
                <w:color w:val="000000"/>
                <w:sz w:val="17"/>
                <w:szCs w:val="17"/>
              </w:rPr>
              <w:t>; 1 decrease</w:t>
            </w:r>
          </w:p>
        </w:tc>
      </w:tr>
      <w:tr w:rsidR="00E71663" w:rsidRPr="007F13D6" w14:paraId="2DCB6B8D" w14:textId="77777777" w:rsidTr="007047D3">
        <w:trPr>
          <w:cantSplit/>
          <w:jc w:val="center"/>
        </w:trPr>
        <w:tc>
          <w:tcPr>
            <w:tcW w:w="1440" w:type="dxa"/>
            <w:tcBorders>
              <w:bottom w:val="single" w:sz="4" w:space="0" w:color="B7B7B7"/>
            </w:tcBorders>
            <w:shd w:val="clear" w:color="auto" w:fill="EAF3F8"/>
            <w:tcMar>
              <w:top w:w="70" w:type="dxa"/>
              <w:left w:w="80" w:type="dxa"/>
              <w:bottom w:w="70" w:type="dxa"/>
              <w:right w:w="80" w:type="dxa"/>
            </w:tcMar>
            <w:vAlign w:val="center"/>
          </w:tcPr>
          <w:p w14:paraId="14F730B6"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Charters</w:t>
            </w:r>
          </w:p>
        </w:tc>
        <w:tc>
          <w:tcPr>
            <w:tcW w:w="792" w:type="dxa"/>
            <w:tcBorders>
              <w:bottom w:val="single" w:sz="4" w:space="0" w:color="B7B7B7"/>
            </w:tcBorders>
            <w:shd w:val="clear" w:color="auto" w:fill="EAF3F8"/>
            <w:tcMar>
              <w:top w:w="70" w:type="dxa"/>
              <w:left w:w="80" w:type="dxa"/>
              <w:bottom w:w="70" w:type="dxa"/>
              <w:right w:w="80" w:type="dxa"/>
            </w:tcMar>
            <w:vAlign w:val="center"/>
          </w:tcPr>
          <w:p w14:paraId="6A147308"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24</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2D8DED99"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$170.7M</w:t>
            </w:r>
          </w:p>
        </w:tc>
        <w:tc>
          <w:tcPr>
            <w:tcW w:w="1512" w:type="dxa"/>
            <w:tcBorders>
              <w:bottom w:val="single" w:sz="4" w:space="0" w:color="B7B7B7"/>
            </w:tcBorders>
            <w:shd w:val="clear" w:color="auto" w:fill="EAF3F8"/>
            <w:tcMar>
              <w:top w:w="70" w:type="dxa"/>
              <w:left w:w="80" w:type="dxa"/>
              <w:bottom w:w="70" w:type="dxa"/>
              <w:right w:w="80" w:type="dxa"/>
            </w:tcMar>
            <w:vAlign w:val="center"/>
          </w:tcPr>
          <w:p w14:paraId="38E0CB71"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$187.7M</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22E9851F"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+9.9%</w:t>
            </w:r>
          </w:p>
        </w:tc>
        <w:tc>
          <w:tcPr>
            <w:tcW w:w="1296" w:type="dxa"/>
            <w:tcBorders>
              <w:bottom w:val="single" w:sz="4" w:space="0" w:color="B7B7B7"/>
            </w:tcBorders>
            <w:shd w:val="clear" w:color="auto" w:fill="EAF3F8"/>
            <w:tcMar>
              <w:top w:w="70" w:type="dxa"/>
              <w:left w:w="80" w:type="dxa"/>
              <w:bottom w:w="70" w:type="dxa"/>
              <w:right w:w="80" w:type="dxa"/>
            </w:tcMar>
            <w:vAlign w:val="center"/>
          </w:tcPr>
          <w:p w14:paraId="73A4AC48"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12.6%</w:t>
            </w:r>
          </w:p>
        </w:tc>
        <w:tc>
          <w:tcPr>
            <w:tcW w:w="1152" w:type="dxa"/>
            <w:tcBorders>
              <w:bottom w:val="single" w:sz="4" w:space="0" w:color="B7B7B7"/>
            </w:tcBorders>
            <w:shd w:val="clear" w:color="auto" w:fill="EAF3F8"/>
            <w:tcMar>
              <w:top w:w="70" w:type="dxa"/>
              <w:left w:w="80" w:type="dxa"/>
              <w:bottom w:w="70" w:type="dxa"/>
              <w:right w:w="80" w:type="dxa"/>
            </w:tcMar>
            <w:vAlign w:val="center"/>
          </w:tcPr>
          <w:p w14:paraId="0F7244F0"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 xml:space="preserve">24 </w:t>
            </w:r>
            <w:proofErr w:type="gramStart"/>
            <w:r w:rsidRPr="007F13D6">
              <w:rPr>
                <w:rFonts w:ascii="Arial" w:hAnsi="Arial" w:cs="Arial"/>
                <w:color w:val="000000"/>
                <w:sz w:val="17"/>
                <w:szCs w:val="17"/>
              </w:rPr>
              <w:t>increase</w:t>
            </w:r>
            <w:proofErr w:type="gramEnd"/>
          </w:p>
        </w:tc>
      </w:tr>
      <w:tr w:rsidR="00E71663" w:rsidRPr="007F13D6" w14:paraId="7F5C3CD6" w14:textId="77777777" w:rsidTr="007047D3">
        <w:trPr>
          <w:cantSplit/>
          <w:jc w:val="center"/>
        </w:trPr>
        <w:tc>
          <w:tcPr>
            <w:tcW w:w="1440" w:type="dxa"/>
            <w:tcBorders>
              <w:bottom w:val="single" w:sz="4" w:space="0" w:color="B7B7B7"/>
            </w:tcBorders>
            <w:tcMar>
              <w:top w:w="70" w:type="dxa"/>
              <w:left w:w="80" w:type="dxa"/>
              <w:bottom w:w="70" w:type="dxa"/>
              <w:right w:w="80" w:type="dxa"/>
            </w:tcMar>
            <w:vAlign w:val="center"/>
          </w:tcPr>
          <w:p w14:paraId="6FE9DB2F"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lastRenderedPageBreak/>
              <w:t>All LEAs</w:t>
            </w:r>
          </w:p>
        </w:tc>
        <w:tc>
          <w:tcPr>
            <w:tcW w:w="792" w:type="dxa"/>
            <w:tcBorders>
              <w:bottom w:val="single" w:sz="4" w:space="0" w:color="B7B7B7"/>
            </w:tcBorders>
            <w:tcMar>
              <w:top w:w="70" w:type="dxa"/>
              <w:left w:w="80" w:type="dxa"/>
              <w:bottom w:w="70" w:type="dxa"/>
              <w:right w:w="80" w:type="dxa"/>
            </w:tcMar>
            <w:vAlign w:val="center"/>
          </w:tcPr>
          <w:p w14:paraId="798A878B"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43</w:t>
            </w:r>
          </w:p>
        </w:tc>
        <w:tc>
          <w:tcPr>
            <w:tcW w:w="1512" w:type="dxa"/>
            <w:tcBorders>
              <w:bottom w:val="single" w:sz="4" w:space="0" w:color="B7B7B7"/>
            </w:tcBorders>
            <w:tcMar>
              <w:top w:w="70" w:type="dxa"/>
              <w:left w:w="80" w:type="dxa"/>
              <w:bottom w:w="70" w:type="dxa"/>
              <w:right w:w="80" w:type="dxa"/>
            </w:tcMar>
            <w:vAlign w:val="center"/>
          </w:tcPr>
          <w:p w14:paraId="527EC7DF"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$1.564B</w:t>
            </w:r>
          </w:p>
        </w:tc>
        <w:tc>
          <w:tcPr>
            <w:tcW w:w="1512" w:type="dxa"/>
            <w:tcBorders>
              <w:bottom w:val="single" w:sz="4" w:space="0" w:color="B7B7B7"/>
            </w:tcBorders>
            <w:tcMar>
              <w:top w:w="70" w:type="dxa"/>
              <w:left w:w="80" w:type="dxa"/>
              <w:bottom w:w="70" w:type="dxa"/>
              <w:right w:w="80" w:type="dxa"/>
            </w:tcMar>
            <w:vAlign w:val="center"/>
          </w:tcPr>
          <w:p w14:paraId="64C690E6"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$1.611B</w:t>
            </w:r>
          </w:p>
        </w:tc>
        <w:tc>
          <w:tcPr>
            <w:tcW w:w="1440" w:type="dxa"/>
            <w:tcBorders>
              <w:bottom w:val="single" w:sz="4" w:space="0" w:color="B7B7B7"/>
            </w:tcBorders>
            <w:tcMar>
              <w:top w:w="70" w:type="dxa"/>
              <w:left w:w="80" w:type="dxa"/>
              <w:bottom w:w="70" w:type="dxa"/>
              <w:right w:w="80" w:type="dxa"/>
            </w:tcMar>
            <w:vAlign w:val="center"/>
          </w:tcPr>
          <w:p w14:paraId="30B1AE0F"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+3.0%</w:t>
            </w:r>
          </w:p>
        </w:tc>
        <w:tc>
          <w:tcPr>
            <w:tcW w:w="1296" w:type="dxa"/>
            <w:tcBorders>
              <w:bottom w:val="single" w:sz="4" w:space="0" w:color="B7B7B7"/>
            </w:tcBorders>
            <w:tcMar>
              <w:top w:w="70" w:type="dxa"/>
              <w:left w:w="80" w:type="dxa"/>
              <w:bottom w:w="70" w:type="dxa"/>
              <w:right w:w="80" w:type="dxa"/>
            </w:tcMar>
            <w:vAlign w:val="center"/>
          </w:tcPr>
          <w:p w14:paraId="2B6F3B82"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8.4%</w:t>
            </w:r>
          </w:p>
        </w:tc>
        <w:tc>
          <w:tcPr>
            <w:tcW w:w="1152" w:type="dxa"/>
            <w:tcBorders>
              <w:bottom w:val="single" w:sz="4" w:space="0" w:color="B7B7B7"/>
            </w:tcBorders>
            <w:tcMar>
              <w:top w:w="70" w:type="dxa"/>
              <w:left w:w="80" w:type="dxa"/>
              <w:bottom w:w="70" w:type="dxa"/>
              <w:right w:w="80" w:type="dxa"/>
            </w:tcMar>
            <w:vAlign w:val="center"/>
          </w:tcPr>
          <w:p w14:paraId="654ABDB2" w14:textId="77777777" w:rsidR="00E71663" w:rsidRPr="007F13D6" w:rsidRDefault="00E71663" w:rsidP="007407E1">
            <w:pPr>
              <w:spacing w:after="0" w:line="240" w:lineRule="auto"/>
              <w:jc w:val="center"/>
              <w:rPr>
                <w:rFonts w:ascii="Arial" w:hAnsi="Arial" w:cs="Arial"/>
                <w:sz w:val="17"/>
                <w:szCs w:val="17"/>
              </w:rPr>
            </w:pPr>
            <w:r w:rsidRPr="007F13D6">
              <w:rPr>
                <w:rFonts w:ascii="Arial" w:hAnsi="Arial" w:cs="Arial"/>
                <w:color w:val="000000"/>
                <w:sz w:val="17"/>
                <w:szCs w:val="17"/>
              </w:rPr>
              <w:t xml:space="preserve">42 </w:t>
            </w:r>
            <w:proofErr w:type="gramStart"/>
            <w:r w:rsidRPr="007F13D6">
              <w:rPr>
                <w:rFonts w:ascii="Arial" w:hAnsi="Arial" w:cs="Arial"/>
                <w:color w:val="000000"/>
                <w:sz w:val="17"/>
                <w:szCs w:val="17"/>
              </w:rPr>
              <w:t>increase</w:t>
            </w:r>
            <w:proofErr w:type="gramEnd"/>
            <w:r w:rsidRPr="007F13D6">
              <w:rPr>
                <w:rFonts w:ascii="Arial" w:hAnsi="Arial" w:cs="Arial"/>
                <w:color w:val="000000"/>
                <w:sz w:val="17"/>
                <w:szCs w:val="17"/>
              </w:rPr>
              <w:t>; 1 decrease</w:t>
            </w:r>
          </w:p>
        </w:tc>
      </w:tr>
    </w:tbl>
    <w:p w14:paraId="1096E285" w14:textId="77777777" w:rsidR="00726538" w:rsidRPr="007F13D6" w:rsidRDefault="002249BE" w:rsidP="00CE7AFC">
      <w:pPr>
        <w:spacing w:before="120" w:after="120" w:line="240" w:lineRule="auto"/>
        <w:rPr>
          <w:rFonts w:ascii="Arial" w:hAnsi="Arial" w:cs="Arial"/>
        </w:rPr>
      </w:pPr>
      <w:r w:rsidRPr="007F13D6">
        <w:rPr>
          <w:rFonts w:ascii="Arial" w:hAnsi="Arial" w:cs="Arial"/>
          <w:i/>
          <w:color w:val="666666"/>
          <w:sz w:val="16"/>
        </w:rPr>
        <w:t>Source: IV&amp;V pipeline outputs. Comparable amounts include the 18 staffing categories with funding amounts available under both models. The current Food Services Supervisor quantity remains provisional</w:t>
      </w:r>
      <w:r w:rsidR="00A727C7" w:rsidRPr="007F13D6">
        <w:rPr>
          <w:rFonts w:ascii="Arial" w:hAnsi="Arial" w:cs="Arial"/>
          <w:i/>
          <w:color w:val="666666"/>
          <w:sz w:val="16"/>
        </w:rPr>
        <w:t>.</w:t>
      </w:r>
    </w:p>
    <w:p w14:paraId="077CB6B3" w14:textId="7A280ABD" w:rsidR="00726538" w:rsidRPr="007F13D6" w:rsidRDefault="0098212F" w:rsidP="00CE7AFC">
      <w:pPr>
        <w:pStyle w:val="BodyText"/>
        <w:keepLines/>
        <w:spacing w:before="120" w:line="240" w:lineRule="auto"/>
        <w:rPr>
          <w:rFonts w:ascii="Arial" w:hAnsi="Arial" w:cs="Arial"/>
        </w:rPr>
      </w:pPr>
      <w:r w:rsidRPr="007F13D6">
        <w:rPr>
          <w:rFonts w:ascii="Arial" w:hAnsi="Arial" w:cs="Arial"/>
        </w:rPr>
        <w:t>Christina remains the only LEA with a comparable decrease</w:t>
      </w:r>
      <w:r w:rsidR="002249BE" w:rsidRPr="007F13D6">
        <w:rPr>
          <w:rFonts w:ascii="Arial" w:hAnsi="Arial" w:cs="Arial"/>
        </w:rPr>
        <w:t>, at approximately 0.5%. The result is driven primarily by Instructional Supports. The recreated current comparison includes 330.07 positions across several separately funded support functions, valued at approximately $31.74 million, while the proposed model provides 266.39 consolidated Instructional Supports positions, valued at approximately $25.61 million. This decrease of 63.67 positions and $6.12 million exceeds Christina’s increases in other comparable staffing categories. Because the current and proposed estimates represent different groupings of positions and formulas, the result should be interpreted as a broad functional comparison rather than the loss of 63.67 identical positions or services</w:t>
      </w:r>
      <w:r w:rsidR="00842D6B" w:rsidRPr="007F13D6">
        <w:rPr>
          <w:rFonts w:ascii="Arial" w:hAnsi="Arial" w:cs="Arial"/>
        </w:rPr>
        <w:t>.</w:t>
      </w:r>
    </w:p>
    <w:p w14:paraId="5679B536" w14:textId="77777777" w:rsidR="00A429F1" w:rsidRPr="007F13D6" w:rsidRDefault="00A429F1" w:rsidP="00CE7AFC">
      <w:pPr>
        <w:keepNext/>
        <w:spacing w:before="120" w:after="120" w:line="240" w:lineRule="auto"/>
        <w:rPr>
          <w:rFonts w:ascii="Arial" w:hAnsi="Arial" w:cs="Arial"/>
          <w:b/>
          <w:color w:val="1F4E78"/>
          <w:sz w:val="18"/>
        </w:rPr>
      </w:pPr>
      <w:r w:rsidRPr="007F13D6">
        <w:rPr>
          <w:rFonts w:ascii="Arial" w:hAnsi="Arial" w:cs="Arial"/>
          <w:b/>
          <w:color w:val="1F4E78"/>
          <w:sz w:val="18"/>
        </w:rPr>
        <w:t>Figure 2. Distribution of comparable staffing funding</w:t>
      </w:r>
    </w:p>
    <w:p w14:paraId="1629BDB3" w14:textId="77777777" w:rsidR="00333521" w:rsidRPr="007F13D6" w:rsidRDefault="00E042BA" w:rsidP="00CE7AFC">
      <w:pPr>
        <w:keepNext/>
        <w:spacing w:before="120" w:after="120" w:line="240" w:lineRule="auto"/>
        <w:jc w:val="center"/>
        <w:rPr>
          <w:rFonts w:ascii="Arial" w:hAnsi="Arial" w:cs="Arial"/>
        </w:rPr>
      </w:pPr>
      <w:r w:rsidRPr="007F13D6">
        <w:rPr>
          <w:rFonts w:ascii="Arial" w:hAnsi="Arial" w:cs="Arial"/>
          <w:noProof/>
        </w:rPr>
        <w:drawing>
          <wp:inline distT="0" distB="0" distL="0" distR="0" wp14:anchorId="0898E630" wp14:editId="51C9A371">
            <wp:extent cx="5943600" cy="3559810"/>
            <wp:effectExtent l="0" t="0" r="0" b="0"/>
            <wp:docPr id="1369623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23731" name="Picture 2"/>
                    <pic:cNvPicPr/>
                  </pic:nvPicPr>
                  <pic:blipFill>
                    <a:blip r:embed="rId13"/>
                    <a:stretch>
                      <a:fillRect/>
                    </a:stretch>
                  </pic:blipFill>
                  <pic:spPr>
                    <a:xfrm>
                      <a:off x="0" y="0"/>
                      <a:ext cx="5943600" cy="3559810"/>
                    </a:xfrm>
                    <a:prstGeom prst="rect">
                      <a:avLst/>
                    </a:prstGeom>
                  </pic:spPr>
                </pic:pic>
              </a:graphicData>
            </a:graphic>
          </wp:inline>
        </w:drawing>
      </w:r>
    </w:p>
    <w:p w14:paraId="5A5F30C7" w14:textId="77777777" w:rsidR="002708C5" w:rsidRPr="007F13D6" w:rsidRDefault="002708C5" w:rsidP="00CE7AFC">
      <w:pPr>
        <w:spacing w:before="120" w:after="120" w:line="240" w:lineRule="auto"/>
        <w:rPr>
          <w:rFonts w:ascii="Arial" w:hAnsi="Arial" w:cs="Arial"/>
          <w:i/>
          <w:color w:val="666666"/>
          <w:sz w:val="16"/>
        </w:rPr>
      </w:pPr>
      <w:r w:rsidRPr="007F13D6">
        <w:rPr>
          <w:rFonts w:ascii="Arial" w:hAnsi="Arial" w:cs="Arial"/>
          <w:i/>
          <w:color w:val="666666"/>
          <w:sz w:val="16"/>
        </w:rPr>
        <w:t>Source: IV&amp;V analysis of SY 2025–26 staffing quantities and PEFC-recommended rates; calculations from 11_staffing_lea_comparison.csv and 08_proposed_model_funding_detail.csv.</w:t>
      </w:r>
    </w:p>
    <w:p w14:paraId="10DF1757" w14:textId="77777777" w:rsidR="00335D11" w:rsidRPr="007F13D6" w:rsidRDefault="00D22125" w:rsidP="00CE7AFC">
      <w:pPr>
        <w:spacing w:before="120" w:after="120" w:line="240" w:lineRule="auto"/>
        <w:rPr>
          <w:rFonts w:ascii="Arial" w:hAnsi="Arial" w:cs="Arial"/>
        </w:rPr>
      </w:pPr>
      <w:r w:rsidRPr="007F13D6">
        <w:rPr>
          <w:rFonts w:ascii="Arial" w:hAnsi="Arial" w:cs="Arial"/>
        </w:rPr>
        <w:t>Figure 2 shows that district percentage changes are generally clustered closer to zero, while charter percentage increases are larger. The median comparable increase is 2.6% for districts and 12.6% for charters. Christina is the only LEA with a negative percentage difference, while BASSE is a notable charter outlier, with an estimated 40% increase in comparable staffing funding under the proposed model</w:t>
      </w:r>
      <w:r w:rsidR="00335D11" w:rsidRPr="007F13D6">
        <w:rPr>
          <w:rFonts w:ascii="Arial" w:hAnsi="Arial" w:cs="Arial"/>
        </w:rPr>
        <w:t>.</w:t>
      </w:r>
    </w:p>
    <w:tbl>
      <w:tblPr>
        <w:tblW w:w="0" w:type="auto"/>
        <w:jc w:val="center"/>
        <w:tblLook w:val="04A0" w:firstRow="1" w:lastRow="0" w:firstColumn="1" w:lastColumn="0" w:noHBand="0" w:noVBand="1"/>
      </w:tblPr>
      <w:tblGrid>
        <w:gridCol w:w="9340"/>
      </w:tblGrid>
      <w:tr w:rsidR="00547617" w:rsidRPr="007F13D6" w14:paraId="6D754B49" w14:textId="77777777" w:rsidTr="00335D11">
        <w:trPr>
          <w:jc w:val="center"/>
        </w:trPr>
        <w:tc>
          <w:tcPr>
            <w:tcW w:w="964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40" w:type="dxa"/>
              <w:bottom w:w="110" w:type="dxa"/>
              <w:right w:w="140" w:type="dxa"/>
            </w:tcMar>
          </w:tcPr>
          <w:p w14:paraId="598F1E4D" w14:textId="77777777" w:rsidR="00547617" w:rsidRPr="007F13D6" w:rsidRDefault="005D09E7" w:rsidP="00CE7AFC">
            <w:pPr>
              <w:spacing w:before="120" w:after="120" w:line="240" w:lineRule="auto"/>
              <w:rPr>
                <w:rFonts w:ascii="Arial" w:hAnsi="Arial" w:cs="Arial"/>
              </w:rPr>
            </w:pPr>
            <w:r w:rsidRPr="007F13D6">
              <w:rPr>
                <w:rFonts w:ascii="Arial" w:hAnsi="Arial" w:cs="Arial"/>
                <w:b/>
                <w:color w:val="1F4E78"/>
              </w:rPr>
              <w:t>Note</w:t>
            </w:r>
          </w:p>
          <w:p w14:paraId="628A4491" w14:textId="77777777" w:rsidR="00547617" w:rsidRPr="007F13D6" w:rsidRDefault="005D09E7" w:rsidP="00CE7AFC">
            <w:pPr>
              <w:spacing w:before="120" w:after="120" w:line="240" w:lineRule="auto"/>
              <w:rPr>
                <w:rFonts w:ascii="Arial" w:hAnsi="Arial" w:cs="Arial"/>
              </w:rPr>
            </w:pPr>
            <w:r w:rsidRPr="007F13D6">
              <w:rPr>
                <w:rFonts w:ascii="Arial" w:hAnsi="Arial" w:cs="Arial"/>
                <w:color w:val="000000"/>
                <w:sz w:val="19"/>
              </w:rPr>
              <w:t>BASSE contributes approximately $1.4 million to the recreated current total and $2.0 million to the proposed comparable total, a net increase of about $561,000. It is included because the analysis reflects the SY 2025–26 model scope, but BASSE will not operate in SY 2026–27</w:t>
            </w:r>
            <w:r w:rsidR="00547617" w:rsidRPr="007F13D6">
              <w:rPr>
                <w:rFonts w:ascii="Arial" w:hAnsi="Arial" w:cs="Arial"/>
                <w:color w:val="000000"/>
                <w:sz w:val="19"/>
              </w:rPr>
              <w:t>.</w:t>
            </w:r>
          </w:p>
        </w:tc>
      </w:tr>
    </w:tbl>
    <w:p w14:paraId="1432BDB4" w14:textId="4E94C78B" w:rsidR="00726538" w:rsidRPr="007F13D6" w:rsidRDefault="00954852" w:rsidP="00CE7AFC">
      <w:pPr>
        <w:pStyle w:val="Heading1"/>
        <w:spacing w:before="120" w:after="120" w:line="240" w:lineRule="auto"/>
        <w:rPr>
          <w:rFonts w:ascii="Arial" w:hAnsi="Arial" w:cs="Arial"/>
        </w:rPr>
      </w:pPr>
      <w:bookmarkStart w:id="22" w:name="_Toc237512557"/>
      <w:r w:rsidRPr="007F13D6">
        <w:rPr>
          <w:rFonts w:ascii="Arial" w:hAnsi="Arial" w:cs="Arial"/>
        </w:rPr>
        <w:lastRenderedPageBreak/>
        <w:t>4. How Do Opportunity and Operational Funding Work?</w:t>
      </w:r>
      <w:bookmarkEnd w:id="22"/>
    </w:p>
    <w:p w14:paraId="79A464D9" w14:textId="77777777" w:rsidR="00726538" w:rsidRPr="007F13D6" w:rsidRDefault="00EE299D" w:rsidP="00CE7AFC">
      <w:pPr>
        <w:pStyle w:val="BodyText"/>
        <w:keepLines/>
        <w:spacing w:before="120" w:line="240" w:lineRule="auto"/>
        <w:rPr>
          <w:rFonts w:ascii="Arial" w:hAnsi="Arial" w:cs="Arial"/>
        </w:rPr>
      </w:pPr>
      <w:r w:rsidRPr="007F13D6">
        <w:rPr>
          <w:rFonts w:ascii="Arial" w:hAnsi="Arial" w:cs="Arial"/>
        </w:rPr>
        <w:t xml:space="preserve">The proposed model adds two funding streams that are not tied to staffing positions: Opportunity Funding and Operational Funding. Each distributes a fixed statewide pool using weighted student counts. Eligible student counts are multiplied by category weights to create weighted units, and the statewide pool is divided by the total weighted units to calculate a statewide per-weighted-student rate. Each LEA’s allocation equals that rate multiplied by its weighted </w:t>
      </w:r>
      <w:r w:rsidR="00E5419C" w:rsidRPr="007F13D6">
        <w:rPr>
          <w:rFonts w:ascii="Arial" w:hAnsi="Arial" w:cs="Arial"/>
        </w:rPr>
        <w:t>units.</w:t>
      </w:r>
    </w:p>
    <w:p w14:paraId="32BDDD75" w14:textId="77777777" w:rsidR="00726538" w:rsidRPr="007F13D6" w:rsidRDefault="00954852" w:rsidP="00CE7AFC">
      <w:pPr>
        <w:pStyle w:val="Heading2"/>
        <w:spacing w:before="120" w:after="120" w:line="240" w:lineRule="auto"/>
        <w:rPr>
          <w:rFonts w:ascii="Arial" w:hAnsi="Arial" w:cs="Arial"/>
        </w:rPr>
      </w:pPr>
      <w:bookmarkStart w:id="23" w:name="_Toc237512558"/>
      <w:r w:rsidRPr="007F13D6">
        <w:rPr>
          <w:rFonts w:ascii="Arial" w:hAnsi="Arial" w:cs="Arial"/>
        </w:rPr>
        <w:t>4.1 Opportunity Funding</w:t>
      </w:r>
      <w:bookmarkEnd w:id="23"/>
    </w:p>
    <w:p w14:paraId="38E59876" w14:textId="77777777" w:rsidR="00726538" w:rsidRPr="007F13D6" w:rsidRDefault="00E5419C" w:rsidP="00CE7AFC">
      <w:pPr>
        <w:pStyle w:val="BodyText"/>
        <w:keepLines/>
        <w:spacing w:before="120" w:line="240" w:lineRule="auto"/>
        <w:rPr>
          <w:rFonts w:ascii="Arial" w:hAnsi="Arial" w:cs="Arial"/>
        </w:rPr>
      </w:pPr>
      <w:r w:rsidRPr="007F13D6">
        <w:rPr>
          <w:rFonts w:ascii="Arial" w:hAnsi="Arial" w:cs="Arial"/>
        </w:rPr>
        <w:t>Opportunity Funding is distributed using low-income and active multilingual learner counts, weighted according to their respective formula weights. Within the 43-LEA primary scope, these counts produce 32,939.5</w:t>
      </w:r>
      <w:r w:rsidR="008C7FEB" w:rsidRPr="007F13D6">
        <w:rPr>
          <w:rFonts w:ascii="Arial" w:hAnsi="Arial" w:cs="Arial"/>
        </w:rPr>
        <w:t>4</w:t>
      </w:r>
      <w:r w:rsidRPr="007F13D6">
        <w:rPr>
          <w:rFonts w:ascii="Arial" w:hAnsi="Arial" w:cs="Arial"/>
        </w:rPr>
        <w:t xml:space="preserve"> weighted units. Dividing the fixed $163.0 million pool by those units yields a rate of approximately $4,948.46 per weighted unit</w:t>
      </w:r>
      <w:r w:rsidR="00954852" w:rsidRPr="007F13D6">
        <w:rPr>
          <w:rFonts w:ascii="Arial" w:hAnsi="Arial" w:cs="Arial"/>
        </w:rPr>
        <w:t>.</w:t>
      </w:r>
    </w:p>
    <w:p w14:paraId="5B16C13B" w14:textId="77777777" w:rsidR="00726538" w:rsidRPr="007F13D6" w:rsidRDefault="00954852" w:rsidP="00CE7AFC">
      <w:pPr>
        <w:pStyle w:val="Heading2"/>
        <w:spacing w:before="120" w:after="120" w:line="240" w:lineRule="auto"/>
        <w:rPr>
          <w:rFonts w:ascii="Arial" w:hAnsi="Arial" w:cs="Arial"/>
        </w:rPr>
      </w:pPr>
      <w:bookmarkStart w:id="24" w:name="_Toc237512559"/>
      <w:r w:rsidRPr="007F13D6">
        <w:rPr>
          <w:rFonts w:ascii="Arial" w:hAnsi="Arial" w:cs="Arial"/>
        </w:rPr>
        <w:t>4.2 Operational Funding</w:t>
      </w:r>
      <w:bookmarkEnd w:id="24"/>
    </w:p>
    <w:p w14:paraId="12FFD086" w14:textId="77777777" w:rsidR="00726538" w:rsidRPr="007F13D6" w:rsidRDefault="004A6447" w:rsidP="00CE7AFC">
      <w:pPr>
        <w:pStyle w:val="BodyText"/>
        <w:keepLines/>
        <w:spacing w:before="120" w:line="240" w:lineRule="auto"/>
        <w:rPr>
          <w:rFonts w:ascii="Arial" w:hAnsi="Arial" w:cs="Arial"/>
        </w:rPr>
      </w:pPr>
      <w:r w:rsidRPr="007F13D6">
        <w:rPr>
          <w:rFonts w:ascii="Arial" w:hAnsi="Arial" w:cs="Arial"/>
        </w:rPr>
        <w:t>Operational Funding is distributed using total enrollment and counts of low-income students, active multilingual learners, Basic special education students, Intensive special education students, Complex special education students, and vocational students, each weighted according to the formula. Within the 43-LEA primary scope, these counts produce 85,860.95 weighted units. Dividing the fixed $279.0268 million statewide pool by those units yields a rate of approximately $3,249.75 per weighted unit</w:t>
      </w:r>
      <w:r w:rsidR="00954852" w:rsidRPr="007F13D6">
        <w:rPr>
          <w:rFonts w:ascii="Arial" w:hAnsi="Arial" w:cs="Arial"/>
        </w:rPr>
        <w:t>.</w:t>
      </w:r>
    </w:p>
    <w:p w14:paraId="7AEF6138" w14:textId="77777777"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Exhibit 9. Proposed weighted funding inputs, weights, and statewide amounts</w:t>
      </w:r>
    </w:p>
    <w:tbl>
      <w:tblPr>
        <w:tblW w:w="9287" w:type="dxa"/>
        <w:jc w:val="center"/>
        <w:tblLayout w:type="fixed"/>
        <w:tblLook w:val="04A0" w:firstRow="1" w:lastRow="0" w:firstColumn="1" w:lastColumn="0" w:noHBand="0" w:noVBand="1"/>
      </w:tblPr>
      <w:tblGrid>
        <w:gridCol w:w="1655"/>
        <w:gridCol w:w="3168"/>
        <w:gridCol w:w="1440"/>
        <w:gridCol w:w="1224"/>
        <w:gridCol w:w="1800"/>
      </w:tblGrid>
      <w:tr w:rsidR="00726538" w:rsidRPr="007F13D6" w14:paraId="050ACE37" w14:textId="77777777" w:rsidTr="007047D3">
        <w:trPr>
          <w:cantSplit/>
          <w:tblHeader/>
          <w:jc w:val="center"/>
        </w:trPr>
        <w:tc>
          <w:tcPr>
            <w:tcW w:w="1655" w:type="dxa"/>
            <w:tcBorders>
              <w:bottom w:val="single" w:sz="8" w:space="0" w:color="FFFFFF"/>
            </w:tcBorders>
            <w:shd w:val="clear" w:color="auto" w:fill="1F4E78"/>
            <w:tcMar>
              <w:top w:w="70" w:type="dxa"/>
              <w:left w:w="80" w:type="dxa"/>
              <w:bottom w:w="70" w:type="dxa"/>
              <w:right w:w="80" w:type="dxa"/>
            </w:tcMar>
            <w:vAlign w:val="center"/>
          </w:tcPr>
          <w:p w14:paraId="4C71988E" w14:textId="77777777" w:rsidR="00726538" w:rsidRPr="007F13D6" w:rsidRDefault="00954852" w:rsidP="007407E1">
            <w:pPr>
              <w:spacing w:after="0" w:line="240" w:lineRule="auto"/>
              <w:jc w:val="center"/>
              <w:rPr>
                <w:rFonts w:ascii="Arial" w:hAnsi="Arial" w:cs="Arial"/>
              </w:rPr>
            </w:pPr>
            <w:r w:rsidRPr="007F13D6">
              <w:rPr>
                <w:rFonts w:ascii="Arial" w:hAnsi="Arial" w:cs="Arial"/>
                <w:b/>
                <w:color w:val="FFFFFF"/>
                <w:sz w:val="16"/>
              </w:rPr>
              <w:t>Funding stream</w:t>
            </w:r>
          </w:p>
        </w:tc>
        <w:tc>
          <w:tcPr>
            <w:tcW w:w="3168" w:type="dxa"/>
            <w:tcBorders>
              <w:bottom w:val="single" w:sz="8" w:space="0" w:color="FFFFFF"/>
            </w:tcBorders>
            <w:shd w:val="clear" w:color="auto" w:fill="1F4E78"/>
            <w:tcMar>
              <w:top w:w="70" w:type="dxa"/>
              <w:left w:w="80" w:type="dxa"/>
              <w:bottom w:w="70" w:type="dxa"/>
              <w:right w:w="80" w:type="dxa"/>
            </w:tcMar>
            <w:vAlign w:val="center"/>
          </w:tcPr>
          <w:p w14:paraId="3CF65920" w14:textId="77777777" w:rsidR="00726538" w:rsidRPr="007F13D6" w:rsidRDefault="00954852" w:rsidP="007407E1">
            <w:pPr>
              <w:spacing w:after="0" w:line="240" w:lineRule="auto"/>
              <w:jc w:val="center"/>
              <w:rPr>
                <w:rFonts w:ascii="Arial" w:hAnsi="Arial" w:cs="Arial"/>
              </w:rPr>
            </w:pPr>
            <w:r w:rsidRPr="007F13D6">
              <w:rPr>
                <w:rFonts w:ascii="Arial" w:hAnsi="Arial" w:cs="Arial"/>
                <w:b/>
                <w:color w:val="FFFFFF"/>
                <w:sz w:val="16"/>
              </w:rPr>
              <w:t>Input</w:t>
            </w:r>
          </w:p>
        </w:tc>
        <w:tc>
          <w:tcPr>
            <w:tcW w:w="1440" w:type="dxa"/>
            <w:tcBorders>
              <w:bottom w:val="single" w:sz="8" w:space="0" w:color="FFFFFF"/>
            </w:tcBorders>
            <w:shd w:val="clear" w:color="auto" w:fill="1F4E78"/>
            <w:tcMar>
              <w:top w:w="70" w:type="dxa"/>
              <w:left w:w="80" w:type="dxa"/>
              <w:bottom w:w="70" w:type="dxa"/>
              <w:right w:w="80" w:type="dxa"/>
            </w:tcMar>
            <w:vAlign w:val="center"/>
          </w:tcPr>
          <w:p w14:paraId="51C5FCC9" w14:textId="77777777" w:rsidR="00726538" w:rsidRPr="007F13D6" w:rsidRDefault="00954852" w:rsidP="007407E1">
            <w:pPr>
              <w:spacing w:after="0" w:line="240" w:lineRule="auto"/>
              <w:jc w:val="center"/>
              <w:rPr>
                <w:rFonts w:ascii="Arial" w:hAnsi="Arial" w:cs="Arial"/>
              </w:rPr>
            </w:pPr>
            <w:r w:rsidRPr="007F13D6">
              <w:rPr>
                <w:rFonts w:ascii="Arial" w:hAnsi="Arial" w:cs="Arial"/>
                <w:b/>
                <w:color w:val="FFFFFF"/>
                <w:sz w:val="16"/>
              </w:rPr>
              <w:t>Raw count</w:t>
            </w:r>
          </w:p>
        </w:tc>
        <w:tc>
          <w:tcPr>
            <w:tcW w:w="1224" w:type="dxa"/>
            <w:tcBorders>
              <w:bottom w:val="single" w:sz="8" w:space="0" w:color="FFFFFF"/>
            </w:tcBorders>
            <w:shd w:val="clear" w:color="auto" w:fill="1F4E78"/>
            <w:tcMar>
              <w:top w:w="70" w:type="dxa"/>
              <w:left w:w="80" w:type="dxa"/>
              <w:bottom w:w="70" w:type="dxa"/>
              <w:right w:w="80" w:type="dxa"/>
            </w:tcMar>
            <w:vAlign w:val="center"/>
          </w:tcPr>
          <w:p w14:paraId="337F94E5" w14:textId="77777777" w:rsidR="00726538" w:rsidRPr="007F13D6" w:rsidRDefault="00954852" w:rsidP="007407E1">
            <w:pPr>
              <w:spacing w:after="0" w:line="240" w:lineRule="auto"/>
              <w:jc w:val="center"/>
              <w:rPr>
                <w:rFonts w:ascii="Arial" w:hAnsi="Arial" w:cs="Arial"/>
              </w:rPr>
            </w:pPr>
            <w:r w:rsidRPr="007F13D6">
              <w:rPr>
                <w:rFonts w:ascii="Arial" w:hAnsi="Arial" w:cs="Arial"/>
                <w:b/>
                <w:color w:val="FFFFFF"/>
                <w:sz w:val="16"/>
              </w:rPr>
              <w:t>Weight</w:t>
            </w:r>
          </w:p>
        </w:tc>
        <w:tc>
          <w:tcPr>
            <w:tcW w:w="1800" w:type="dxa"/>
            <w:tcBorders>
              <w:bottom w:val="single" w:sz="8" w:space="0" w:color="FFFFFF"/>
            </w:tcBorders>
            <w:shd w:val="clear" w:color="auto" w:fill="1F4E78"/>
            <w:tcMar>
              <w:top w:w="70" w:type="dxa"/>
              <w:left w:w="80" w:type="dxa"/>
              <w:bottom w:w="70" w:type="dxa"/>
              <w:right w:w="80" w:type="dxa"/>
            </w:tcMar>
            <w:vAlign w:val="center"/>
          </w:tcPr>
          <w:p w14:paraId="407FE1EB" w14:textId="77777777" w:rsidR="00726538" w:rsidRPr="007F13D6" w:rsidRDefault="00954852" w:rsidP="007407E1">
            <w:pPr>
              <w:spacing w:after="0" w:line="240" w:lineRule="auto"/>
              <w:jc w:val="center"/>
              <w:rPr>
                <w:rFonts w:ascii="Arial" w:hAnsi="Arial" w:cs="Arial"/>
              </w:rPr>
            </w:pPr>
            <w:r w:rsidRPr="007F13D6">
              <w:rPr>
                <w:rFonts w:ascii="Arial" w:hAnsi="Arial" w:cs="Arial"/>
                <w:b/>
                <w:color w:val="FFFFFF"/>
                <w:sz w:val="16"/>
              </w:rPr>
              <w:t>Weighted count</w:t>
            </w:r>
          </w:p>
        </w:tc>
      </w:tr>
      <w:tr w:rsidR="00726538" w:rsidRPr="007F13D6" w14:paraId="1B7B0B86" w14:textId="77777777" w:rsidTr="007047D3">
        <w:trPr>
          <w:cantSplit/>
          <w:jc w:val="center"/>
        </w:trPr>
        <w:tc>
          <w:tcPr>
            <w:tcW w:w="1655" w:type="dxa"/>
            <w:tcBorders>
              <w:bottom w:val="single" w:sz="4" w:space="0" w:color="B7B7B7"/>
            </w:tcBorders>
            <w:tcMar>
              <w:top w:w="70" w:type="dxa"/>
              <w:left w:w="80" w:type="dxa"/>
              <w:bottom w:w="70" w:type="dxa"/>
              <w:right w:w="80" w:type="dxa"/>
            </w:tcMar>
            <w:vAlign w:val="center"/>
          </w:tcPr>
          <w:p w14:paraId="0A95BF4B"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Opportunity</w:t>
            </w:r>
          </w:p>
        </w:tc>
        <w:tc>
          <w:tcPr>
            <w:tcW w:w="3168" w:type="dxa"/>
            <w:tcBorders>
              <w:bottom w:val="single" w:sz="4" w:space="0" w:color="B7B7B7"/>
            </w:tcBorders>
            <w:tcMar>
              <w:top w:w="70" w:type="dxa"/>
              <w:left w:w="80" w:type="dxa"/>
              <w:bottom w:w="70" w:type="dxa"/>
              <w:right w:w="80" w:type="dxa"/>
            </w:tcMar>
            <w:vAlign w:val="center"/>
          </w:tcPr>
          <w:p w14:paraId="2DD85346"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Low income</w:t>
            </w:r>
          </w:p>
        </w:tc>
        <w:tc>
          <w:tcPr>
            <w:tcW w:w="1440" w:type="dxa"/>
            <w:tcBorders>
              <w:bottom w:val="single" w:sz="4" w:space="0" w:color="B7B7B7"/>
            </w:tcBorders>
            <w:tcMar>
              <w:top w:w="70" w:type="dxa"/>
              <w:left w:w="80" w:type="dxa"/>
              <w:bottom w:w="70" w:type="dxa"/>
              <w:right w:w="80" w:type="dxa"/>
            </w:tcMar>
            <w:vAlign w:val="center"/>
          </w:tcPr>
          <w:p w14:paraId="5EFF72A7"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36,713</w:t>
            </w:r>
          </w:p>
        </w:tc>
        <w:tc>
          <w:tcPr>
            <w:tcW w:w="1224" w:type="dxa"/>
            <w:tcBorders>
              <w:bottom w:val="single" w:sz="4" w:space="0" w:color="B7B7B7"/>
            </w:tcBorders>
            <w:tcMar>
              <w:top w:w="70" w:type="dxa"/>
              <w:left w:w="80" w:type="dxa"/>
              <w:bottom w:w="70" w:type="dxa"/>
              <w:right w:w="80" w:type="dxa"/>
            </w:tcMar>
            <w:vAlign w:val="center"/>
          </w:tcPr>
          <w:p w14:paraId="08DE62CA"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0.675</w:t>
            </w:r>
          </w:p>
        </w:tc>
        <w:tc>
          <w:tcPr>
            <w:tcW w:w="1800" w:type="dxa"/>
            <w:tcBorders>
              <w:bottom w:val="single" w:sz="4" w:space="0" w:color="B7B7B7"/>
            </w:tcBorders>
            <w:tcMar>
              <w:top w:w="70" w:type="dxa"/>
              <w:left w:w="80" w:type="dxa"/>
              <w:bottom w:w="70" w:type="dxa"/>
              <w:right w:w="80" w:type="dxa"/>
            </w:tcMar>
            <w:vAlign w:val="center"/>
          </w:tcPr>
          <w:p w14:paraId="568084FF"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24,781.275</w:t>
            </w:r>
          </w:p>
        </w:tc>
      </w:tr>
      <w:tr w:rsidR="00726538" w:rsidRPr="007F13D6" w14:paraId="6806FA75" w14:textId="77777777" w:rsidTr="007047D3">
        <w:trPr>
          <w:cantSplit/>
          <w:jc w:val="center"/>
        </w:trPr>
        <w:tc>
          <w:tcPr>
            <w:tcW w:w="1655" w:type="dxa"/>
            <w:tcBorders>
              <w:bottom w:val="single" w:sz="4" w:space="0" w:color="B7B7B7"/>
            </w:tcBorders>
            <w:shd w:val="clear" w:color="auto" w:fill="EAF3F8"/>
            <w:tcMar>
              <w:top w:w="70" w:type="dxa"/>
              <w:left w:w="80" w:type="dxa"/>
              <w:bottom w:w="70" w:type="dxa"/>
              <w:right w:w="80" w:type="dxa"/>
            </w:tcMar>
            <w:vAlign w:val="center"/>
          </w:tcPr>
          <w:p w14:paraId="5A75C1D6"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Opportunity</w:t>
            </w:r>
          </w:p>
        </w:tc>
        <w:tc>
          <w:tcPr>
            <w:tcW w:w="3168" w:type="dxa"/>
            <w:tcBorders>
              <w:bottom w:val="single" w:sz="4" w:space="0" w:color="B7B7B7"/>
            </w:tcBorders>
            <w:shd w:val="clear" w:color="auto" w:fill="EAF3F8"/>
            <w:tcMar>
              <w:top w:w="70" w:type="dxa"/>
              <w:left w:w="80" w:type="dxa"/>
              <w:bottom w:w="70" w:type="dxa"/>
              <w:right w:w="80" w:type="dxa"/>
            </w:tcMar>
            <w:vAlign w:val="center"/>
          </w:tcPr>
          <w:p w14:paraId="729A0462"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Active multilingual learner</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19A7150C"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17,358</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39DF2123"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0.47</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400702E6"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8,158.260</w:t>
            </w:r>
          </w:p>
        </w:tc>
      </w:tr>
      <w:tr w:rsidR="00726538" w:rsidRPr="007F13D6" w14:paraId="5038E267" w14:textId="77777777" w:rsidTr="007047D3">
        <w:trPr>
          <w:cantSplit/>
          <w:jc w:val="center"/>
        </w:trPr>
        <w:tc>
          <w:tcPr>
            <w:tcW w:w="1655" w:type="dxa"/>
            <w:tcBorders>
              <w:bottom w:val="single" w:sz="4" w:space="0" w:color="B7B7B7"/>
            </w:tcBorders>
            <w:tcMar>
              <w:top w:w="70" w:type="dxa"/>
              <w:left w:w="80" w:type="dxa"/>
              <w:bottom w:w="70" w:type="dxa"/>
              <w:right w:w="80" w:type="dxa"/>
            </w:tcMar>
            <w:vAlign w:val="center"/>
          </w:tcPr>
          <w:p w14:paraId="6EC35097"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Operational</w:t>
            </w:r>
          </w:p>
        </w:tc>
        <w:tc>
          <w:tcPr>
            <w:tcW w:w="3168" w:type="dxa"/>
            <w:tcBorders>
              <w:bottom w:val="single" w:sz="4" w:space="0" w:color="B7B7B7"/>
            </w:tcBorders>
            <w:tcMar>
              <w:top w:w="70" w:type="dxa"/>
              <w:left w:w="80" w:type="dxa"/>
              <w:bottom w:w="70" w:type="dxa"/>
              <w:right w:w="80" w:type="dxa"/>
            </w:tcMar>
            <w:vAlign w:val="center"/>
          </w:tcPr>
          <w:p w14:paraId="55F794E2"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Total enrollment</w:t>
            </w:r>
          </w:p>
        </w:tc>
        <w:tc>
          <w:tcPr>
            <w:tcW w:w="1440" w:type="dxa"/>
            <w:tcBorders>
              <w:bottom w:val="single" w:sz="4" w:space="0" w:color="B7B7B7"/>
            </w:tcBorders>
            <w:tcMar>
              <w:top w:w="70" w:type="dxa"/>
              <w:left w:w="80" w:type="dxa"/>
              <w:bottom w:w="70" w:type="dxa"/>
              <w:right w:w="80" w:type="dxa"/>
            </w:tcMar>
            <w:vAlign w:val="center"/>
          </w:tcPr>
          <w:p w14:paraId="16178ED3"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140,829</w:t>
            </w:r>
          </w:p>
        </w:tc>
        <w:tc>
          <w:tcPr>
            <w:tcW w:w="1224" w:type="dxa"/>
            <w:tcBorders>
              <w:bottom w:val="single" w:sz="4" w:space="0" w:color="B7B7B7"/>
            </w:tcBorders>
            <w:tcMar>
              <w:top w:w="70" w:type="dxa"/>
              <w:left w:w="80" w:type="dxa"/>
              <w:bottom w:w="70" w:type="dxa"/>
              <w:right w:w="80" w:type="dxa"/>
            </w:tcMar>
            <w:vAlign w:val="center"/>
          </w:tcPr>
          <w:p w14:paraId="20CEFDA2"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0.20</w:t>
            </w:r>
          </w:p>
        </w:tc>
        <w:tc>
          <w:tcPr>
            <w:tcW w:w="1800" w:type="dxa"/>
            <w:tcBorders>
              <w:bottom w:val="single" w:sz="4" w:space="0" w:color="B7B7B7"/>
            </w:tcBorders>
            <w:tcMar>
              <w:top w:w="70" w:type="dxa"/>
              <w:left w:w="80" w:type="dxa"/>
              <w:bottom w:w="70" w:type="dxa"/>
              <w:right w:w="80" w:type="dxa"/>
            </w:tcMar>
            <w:vAlign w:val="center"/>
          </w:tcPr>
          <w:p w14:paraId="3FE5068B"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28,165.800</w:t>
            </w:r>
          </w:p>
        </w:tc>
      </w:tr>
      <w:tr w:rsidR="00726538" w:rsidRPr="007F13D6" w14:paraId="26A5449F" w14:textId="77777777" w:rsidTr="007047D3">
        <w:trPr>
          <w:cantSplit/>
          <w:jc w:val="center"/>
        </w:trPr>
        <w:tc>
          <w:tcPr>
            <w:tcW w:w="1655" w:type="dxa"/>
            <w:tcBorders>
              <w:bottom w:val="single" w:sz="4" w:space="0" w:color="B7B7B7"/>
            </w:tcBorders>
            <w:shd w:val="clear" w:color="auto" w:fill="EAF3F8"/>
            <w:tcMar>
              <w:top w:w="70" w:type="dxa"/>
              <w:left w:w="80" w:type="dxa"/>
              <w:bottom w:w="70" w:type="dxa"/>
              <w:right w:w="80" w:type="dxa"/>
            </w:tcMar>
            <w:vAlign w:val="center"/>
          </w:tcPr>
          <w:p w14:paraId="3152767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Operational</w:t>
            </w:r>
          </w:p>
        </w:tc>
        <w:tc>
          <w:tcPr>
            <w:tcW w:w="3168" w:type="dxa"/>
            <w:tcBorders>
              <w:bottom w:val="single" w:sz="4" w:space="0" w:color="B7B7B7"/>
            </w:tcBorders>
            <w:shd w:val="clear" w:color="auto" w:fill="EAF3F8"/>
            <w:tcMar>
              <w:top w:w="70" w:type="dxa"/>
              <w:left w:w="80" w:type="dxa"/>
              <w:bottom w:w="70" w:type="dxa"/>
              <w:right w:w="80" w:type="dxa"/>
            </w:tcMar>
            <w:vAlign w:val="center"/>
          </w:tcPr>
          <w:p w14:paraId="43968B8B"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Low income</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017419B5"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36,713</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5E0AEFCC"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0.675</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649E440B"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24,781.275</w:t>
            </w:r>
          </w:p>
        </w:tc>
      </w:tr>
      <w:tr w:rsidR="00726538" w:rsidRPr="007F13D6" w14:paraId="54691ABE" w14:textId="77777777" w:rsidTr="007047D3">
        <w:trPr>
          <w:cantSplit/>
          <w:jc w:val="center"/>
        </w:trPr>
        <w:tc>
          <w:tcPr>
            <w:tcW w:w="1655" w:type="dxa"/>
            <w:tcBorders>
              <w:bottom w:val="single" w:sz="4" w:space="0" w:color="B7B7B7"/>
            </w:tcBorders>
            <w:tcMar>
              <w:top w:w="70" w:type="dxa"/>
              <w:left w:w="80" w:type="dxa"/>
              <w:bottom w:w="70" w:type="dxa"/>
              <w:right w:w="80" w:type="dxa"/>
            </w:tcMar>
            <w:vAlign w:val="center"/>
          </w:tcPr>
          <w:p w14:paraId="2D464D72"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Operational</w:t>
            </w:r>
          </w:p>
        </w:tc>
        <w:tc>
          <w:tcPr>
            <w:tcW w:w="3168" w:type="dxa"/>
            <w:tcBorders>
              <w:bottom w:val="single" w:sz="4" w:space="0" w:color="B7B7B7"/>
            </w:tcBorders>
            <w:tcMar>
              <w:top w:w="70" w:type="dxa"/>
              <w:left w:w="80" w:type="dxa"/>
              <w:bottom w:w="70" w:type="dxa"/>
              <w:right w:w="80" w:type="dxa"/>
            </w:tcMar>
            <w:vAlign w:val="center"/>
          </w:tcPr>
          <w:p w14:paraId="7D15E567"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Active multilingual learner</w:t>
            </w:r>
          </w:p>
        </w:tc>
        <w:tc>
          <w:tcPr>
            <w:tcW w:w="1440" w:type="dxa"/>
            <w:tcBorders>
              <w:bottom w:val="single" w:sz="4" w:space="0" w:color="B7B7B7"/>
            </w:tcBorders>
            <w:tcMar>
              <w:top w:w="70" w:type="dxa"/>
              <w:left w:w="80" w:type="dxa"/>
              <w:bottom w:w="70" w:type="dxa"/>
              <w:right w:w="80" w:type="dxa"/>
            </w:tcMar>
            <w:vAlign w:val="center"/>
          </w:tcPr>
          <w:p w14:paraId="4C0E9C33"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17,358</w:t>
            </w:r>
          </w:p>
        </w:tc>
        <w:tc>
          <w:tcPr>
            <w:tcW w:w="1224" w:type="dxa"/>
            <w:tcBorders>
              <w:bottom w:val="single" w:sz="4" w:space="0" w:color="B7B7B7"/>
            </w:tcBorders>
            <w:tcMar>
              <w:top w:w="70" w:type="dxa"/>
              <w:left w:w="80" w:type="dxa"/>
              <w:bottom w:w="70" w:type="dxa"/>
              <w:right w:w="80" w:type="dxa"/>
            </w:tcMar>
            <w:vAlign w:val="center"/>
          </w:tcPr>
          <w:p w14:paraId="678B2D10"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0.47</w:t>
            </w:r>
          </w:p>
        </w:tc>
        <w:tc>
          <w:tcPr>
            <w:tcW w:w="1800" w:type="dxa"/>
            <w:tcBorders>
              <w:bottom w:val="single" w:sz="4" w:space="0" w:color="B7B7B7"/>
            </w:tcBorders>
            <w:tcMar>
              <w:top w:w="70" w:type="dxa"/>
              <w:left w:w="80" w:type="dxa"/>
              <w:bottom w:w="70" w:type="dxa"/>
              <w:right w:w="80" w:type="dxa"/>
            </w:tcMar>
            <w:vAlign w:val="center"/>
          </w:tcPr>
          <w:p w14:paraId="614CA52A"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8,158.260</w:t>
            </w:r>
          </w:p>
        </w:tc>
      </w:tr>
      <w:tr w:rsidR="00726538" w:rsidRPr="007F13D6" w14:paraId="020E0A44" w14:textId="77777777" w:rsidTr="007047D3">
        <w:trPr>
          <w:cantSplit/>
          <w:jc w:val="center"/>
        </w:trPr>
        <w:tc>
          <w:tcPr>
            <w:tcW w:w="1655" w:type="dxa"/>
            <w:tcBorders>
              <w:bottom w:val="single" w:sz="4" w:space="0" w:color="B7B7B7"/>
            </w:tcBorders>
            <w:shd w:val="clear" w:color="auto" w:fill="EAF3F8"/>
            <w:tcMar>
              <w:top w:w="70" w:type="dxa"/>
              <w:left w:w="80" w:type="dxa"/>
              <w:bottom w:w="70" w:type="dxa"/>
              <w:right w:w="80" w:type="dxa"/>
            </w:tcMar>
            <w:vAlign w:val="center"/>
          </w:tcPr>
          <w:p w14:paraId="5F33C6BC"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Operational</w:t>
            </w:r>
          </w:p>
        </w:tc>
        <w:tc>
          <w:tcPr>
            <w:tcW w:w="3168" w:type="dxa"/>
            <w:tcBorders>
              <w:bottom w:val="single" w:sz="4" w:space="0" w:color="B7B7B7"/>
            </w:tcBorders>
            <w:shd w:val="clear" w:color="auto" w:fill="EAF3F8"/>
            <w:tcMar>
              <w:top w:w="70" w:type="dxa"/>
              <w:left w:w="80" w:type="dxa"/>
              <w:bottom w:w="70" w:type="dxa"/>
              <w:right w:w="80" w:type="dxa"/>
            </w:tcMar>
            <w:vAlign w:val="center"/>
          </w:tcPr>
          <w:p w14:paraId="605C00B9"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Basic special education</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44949EA9"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13,893</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149790FD"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0.48</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15A1FA5A"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6,668.640</w:t>
            </w:r>
          </w:p>
        </w:tc>
      </w:tr>
      <w:tr w:rsidR="00726538" w:rsidRPr="007F13D6" w14:paraId="53163D79" w14:textId="77777777" w:rsidTr="007047D3">
        <w:trPr>
          <w:cantSplit/>
          <w:jc w:val="center"/>
        </w:trPr>
        <w:tc>
          <w:tcPr>
            <w:tcW w:w="1655" w:type="dxa"/>
            <w:tcBorders>
              <w:bottom w:val="single" w:sz="4" w:space="0" w:color="B7B7B7"/>
            </w:tcBorders>
            <w:tcMar>
              <w:top w:w="70" w:type="dxa"/>
              <w:left w:w="80" w:type="dxa"/>
              <w:bottom w:w="70" w:type="dxa"/>
              <w:right w:w="80" w:type="dxa"/>
            </w:tcMar>
            <w:vAlign w:val="center"/>
          </w:tcPr>
          <w:p w14:paraId="6FAC95B0"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Operational</w:t>
            </w:r>
          </w:p>
        </w:tc>
        <w:tc>
          <w:tcPr>
            <w:tcW w:w="3168" w:type="dxa"/>
            <w:tcBorders>
              <w:bottom w:val="single" w:sz="4" w:space="0" w:color="B7B7B7"/>
            </w:tcBorders>
            <w:tcMar>
              <w:top w:w="70" w:type="dxa"/>
              <w:left w:w="80" w:type="dxa"/>
              <w:bottom w:w="70" w:type="dxa"/>
              <w:right w:w="80" w:type="dxa"/>
            </w:tcMar>
            <w:vAlign w:val="center"/>
          </w:tcPr>
          <w:p w14:paraId="4AF7699D"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Intensive special education</w:t>
            </w:r>
          </w:p>
        </w:tc>
        <w:tc>
          <w:tcPr>
            <w:tcW w:w="1440" w:type="dxa"/>
            <w:tcBorders>
              <w:bottom w:val="single" w:sz="4" w:space="0" w:color="B7B7B7"/>
            </w:tcBorders>
            <w:tcMar>
              <w:top w:w="70" w:type="dxa"/>
              <w:left w:w="80" w:type="dxa"/>
              <w:bottom w:w="70" w:type="dxa"/>
              <w:right w:w="80" w:type="dxa"/>
            </w:tcMar>
            <w:vAlign w:val="center"/>
          </w:tcPr>
          <w:p w14:paraId="109B935D"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6,915</w:t>
            </w:r>
          </w:p>
        </w:tc>
        <w:tc>
          <w:tcPr>
            <w:tcW w:w="1224" w:type="dxa"/>
            <w:tcBorders>
              <w:bottom w:val="single" w:sz="4" w:space="0" w:color="B7B7B7"/>
            </w:tcBorders>
            <w:tcMar>
              <w:top w:w="70" w:type="dxa"/>
              <w:left w:w="80" w:type="dxa"/>
              <w:bottom w:w="70" w:type="dxa"/>
              <w:right w:w="80" w:type="dxa"/>
            </w:tcMar>
            <w:vAlign w:val="center"/>
          </w:tcPr>
          <w:p w14:paraId="3B711CC5"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0.67</w:t>
            </w:r>
          </w:p>
        </w:tc>
        <w:tc>
          <w:tcPr>
            <w:tcW w:w="1800" w:type="dxa"/>
            <w:tcBorders>
              <w:bottom w:val="single" w:sz="4" w:space="0" w:color="B7B7B7"/>
            </w:tcBorders>
            <w:tcMar>
              <w:top w:w="70" w:type="dxa"/>
              <w:left w:w="80" w:type="dxa"/>
              <w:bottom w:w="70" w:type="dxa"/>
              <w:right w:w="80" w:type="dxa"/>
            </w:tcMar>
            <w:vAlign w:val="center"/>
          </w:tcPr>
          <w:p w14:paraId="7D697E11"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4,633.050</w:t>
            </w:r>
          </w:p>
        </w:tc>
      </w:tr>
      <w:tr w:rsidR="00726538" w:rsidRPr="007F13D6" w14:paraId="60B7789F" w14:textId="77777777" w:rsidTr="007047D3">
        <w:trPr>
          <w:cantSplit/>
          <w:jc w:val="center"/>
        </w:trPr>
        <w:tc>
          <w:tcPr>
            <w:tcW w:w="1655" w:type="dxa"/>
            <w:tcBorders>
              <w:bottom w:val="single" w:sz="4" w:space="0" w:color="B7B7B7"/>
            </w:tcBorders>
            <w:shd w:val="clear" w:color="auto" w:fill="EAF3F8"/>
            <w:tcMar>
              <w:top w:w="70" w:type="dxa"/>
              <w:left w:w="80" w:type="dxa"/>
              <w:bottom w:w="70" w:type="dxa"/>
              <w:right w:w="80" w:type="dxa"/>
            </w:tcMar>
            <w:vAlign w:val="center"/>
          </w:tcPr>
          <w:p w14:paraId="174128FF"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Operational</w:t>
            </w:r>
          </w:p>
        </w:tc>
        <w:tc>
          <w:tcPr>
            <w:tcW w:w="3168" w:type="dxa"/>
            <w:tcBorders>
              <w:bottom w:val="single" w:sz="4" w:space="0" w:color="B7B7B7"/>
            </w:tcBorders>
            <w:shd w:val="clear" w:color="auto" w:fill="EAF3F8"/>
            <w:tcMar>
              <w:top w:w="70" w:type="dxa"/>
              <w:left w:w="80" w:type="dxa"/>
              <w:bottom w:w="70" w:type="dxa"/>
              <w:right w:w="80" w:type="dxa"/>
            </w:tcMar>
            <w:vAlign w:val="center"/>
          </w:tcPr>
          <w:p w14:paraId="39CE708A"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Complex special education</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3FC036EC"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6,368</w:t>
            </w:r>
          </w:p>
        </w:tc>
        <w:tc>
          <w:tcPr>
            <w:tcW w:w="1224" w:type="dxa"/>
            <w:tcBorders>
              <w:bottom w:val="single" w:sz="4" w:space="0" w:color="B7B7B7"/>
            </w:tcBorders>
            <w:shd w:val="clear" w:color="auto" w:fill="EAF3F8"/>
            <w:tcMar>
              <w:top w:w="70" w:type="dxa"/>
              <w:left w:w="80" w:type="dxa"/>
              <w:bottom w:w="70" w:type="dxa"/>
              <w:right w:w="80" w:type="dxa"/>
            </w:tcMar>
            <w:vAlign w:val="center"/>
          </w:tcPr>
          <w:p w14:paraId="4C07DEF0"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1.54</w:t>
            </w:r>
          </w:p>
        </w:tc>
        <w:tc>
          <w:tcPr>
            <w:tcW w:w="1800" w:type="dxa"/>
            <w:tcBorders>
              <w:bottom w:val="single" w:sz="4" w:space="0" w:color="B7B7B7"/>
            </w:tcBorders>
            <w:shd w:val="clear" w:color="auto" w:fill="EAF3F8"/>
            <w:tcMar>
              <w:top w:w="70" w:type="dxa"/>
              <w:left w:w="80" w:type="dxa"/>
              <w:bottom w:w="70" w:type="dxa"/>
              <w:right w:w="80" w:type="dxa"/>
            </w:tcMar>
            <w:vAlign w:val="center"/>
          </w:tcPr>
          <w:p w14:paraId="650089E8"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9,806.720</w:t>
            </w:r>
          </w:p>
        </w:tc>
      </w:tr>
      <w:tr w:rsidR="00726538" w:rsidRPr="007F13D6" w14:paraId="4DA3529A" w14:textId="77777777" w:rsidTr="007047D3">
        <w:trPr>
          <w:cantSplit/>
          <w:jc w:val="center"/>
        </w:trPr>
        <w:tc>
          <w:tcPr>
            <w:tcW w:w="1655" w:type="dxa"/>
            <w:tcBorders>
              <w:bottom w:val="single" w:sz="4" w:space="0" w:color="B7B7B7"/>
            </w:tcBorders>
            <w:tcMar>
              <w:top w:w="70" w:type="dxa"/>
              <w:left w:w="80" w:type="dxa"/>
              <w:bottom w:w="70" w:type="dxa"/>
              <w:right w:w="80" w:type="dxa"/>
            </w:tcMar>
            <w:vAlign w:val="center"/>
          </w:tcPr>
          <w:p w14:paraId="799B68D0"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Operational</w:t>
            </w:r>
          </w:p>
        </w:tc>
        <w:tc>
          <w:tcPr>
            <w:tcW w:w="3168" w:type="dxa"/>
            <w:tcBorders>
              <w:bottom w:val="single" w:sz="4" w:space="0" w:color="B7B7B7"/>
            </w:tcBorders>
            <w:tcMar>
              <w:top w:w="70" w:type="dxa"/>
              <w:left w:w="80" w:type="dxa"/>
              <w:bottom w:w="70" w:type="dxa"/>
              <w:right w:w="80" w:type="dxa"/>
            </w:tcMar>
            <w:vAlign w:val="center"/>
          </w:tcPr>
          <w:p w14:paraId="5A10F9D5" w14:textId="77777777" w:rsidR="00726538" w:rsidRPr="007F13D6" w:rsidRDefault="00954852" w:rsidP="007407E1">
            <w:pPr>
              <w:spacing w:after="0" w:line="240" w:lineRule="auto"/>
              <w:jc w:val="center"/>
              <w:rPr>
                <w:rFonts w:ascii="Arial" w:hAnsi="Arial" w:cs="Arial"/>
                <w:b/>
                <w:bCs/>
              </w:rPr>
            </w:pPr>
            <w:r w:rsidRPr="007F13D6">
              <w:rPr>
                <w:rFonts w:ascii="Arial" w:hAnsi="Arial" w:cs="Arial"/>
                <w:b/>
                <w:bCs/>
                <w:color w:val="000000"/>
                <w:sz w:val="16"/>
              </w:rPr>
              <w:t>Vocational enrollment</w:t>
            </w:r>
            <w:r w:rsidR="008D4812" w:rsidRPr="007F13D6">
              <w:rPr>
                <w:rFonts w:ascii="Arial" w:hAnsi="Arial" w:cs="Arial"/>
                <w:b/>
                <w:bCs/>
                <w:color w:val="000000"/>
                <w:sz w:val="16"/>
              </w:rPr>
              <w:t>*</w:t>
            </w:r>
          </w:p>
        </w:tc>
        <w:tc>
          <w:tcPr>
            <w:tcW w:w="1440" w:type="dxa"/>
            <w:tcBorders>
              <w:bottom w:val="single" w:sz="4" w:space="0" w:color="B7B7B7"/>
            </w:tcBorders>
            <w:tcMar>
              <w:top w:w="70" w:type="dxa"/>
              <w:left w:w="80" w:type="dxa"/>
              <w:bottom w:w="70" w:type="dxa"/>
              <w:right w:w="80" w:type="dxa"/>
            </w:tcMar>
            <w:vAlign w:val="center"/>
          </w:tcPr>
          <w:p w14:paraId="584D4D66"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18,236</w:t>
            </w:r>
          </w:p>
        </w:tc>
        <w:tc>
          <w:tcPr>
            <w:tcW w:w="1224" w:type="dxa"/>
            <w:tcBorders>
              <w:bottom w:val="single" w:sz="4" w:space="0" w:color="B7B7B7"/>
            </w:tcBorders>
            <w:tcMar>
              <w:top w:w="70" w:type="dxa"/>
              <w:left w:w="80" w:type="dxa"/>
              <w:bottom w:w="70" w:type="dxa"/>
              <w:right w:w="80" w:type="dxa"/>
            </w:tcMar>
            <w:vAlign w:val="center"/>
          </w:tcPr>
          <w:p w14:paraId="289F26E9"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0.20</w:t>
            </w:r>
          </w:p>
        </w:tc>
        <w:tc>
          <w:tcPr>
            <w:tcW w:w="1800" w:type="dxa"/>
            <w:tcBorders>
              <w:bottom w:val="single" w:sz="4" w:space="0" w:color="B7B7B7"/>
            </w:tcBorders>
            <w:tcMar>
              <w:top w:w="70" w:type="dxa"/>
              <w:left w:w="80" w:type="dxa"/>
              <w:bottom w:w="70" w:type="dxa"/>
              <w:right w:w="80" w:type="dxa"/>
            </w:tcMar>
            <w:vAlign w:val="center"/>
          </w:tcPr>
          <w:p w14:paraId="7CA47ED9" w14:textId="77777777" w:rsidR="00726538" w:rsidRPr="007F13D6" w:rsidRDefault="00954852" w:rsidP="007407E1">
            <w:pPr>
              <w:spacing w:after="0" w:line="240" w:lineRule="auto"/>
              <w:jc w:val="center"/>
              <w:rPr>
                <w:rFonts w:ascii="Arial" w:hAnsi="Arial" w:cs="Arial"/>
              </w:rPr>
            </w:pPr>
            <w:r w:rsidRPr="007F13D6">
              <w:rPr>
                <w:rFonts w:ascii="Arial" w:hAnsi="Arial" w:cs="Arial"/>
                <w:color w:val="000000"/>
                <w:sz w:val="16"/>
              </w:rPr>
              <w:t>3,647.200</w:t>
            </w:r>
          </w:p>
        </w:tc>
      </w:tr>
    </w:tbl>
    <w:p w14:paraId="0DA4BCE2" w14:textId="77777777" w:rsidR="00726538" w:rsidRPr="007F13D6" w:rsidRDefault="00954852" w:rsidP="00CE7AFC">
      <w:pPr>
        <w:spacing w:before="120" w:after="120" w:line="240" w:lineRule="auto"/>
        <w:rPr>
          <w:rFonts w:ascii="Arial" w:hAnsi="Arial" w:cs="Arial"/>
          <w:i/>
          <w:color w:val="666666"/>
          <w:sz w:val="16"/>
        </w:rPr>
      </w:pPr>
      <w:r w:rsidRPr="007F13D6">
        <w:rPr>
          <w:rFonts w:ascii="Arial" w:hAnsi="Arial" w:cs="Arial"/>
          <w:i/>
          <w:color w:val="666666"/>
          <w:sz w:val="16"/>
        </w:rPr>
        <w:t>Source: 08_proposed_weighted_component_summary.csv; 08_proposed_weighted_rate_summary.csv.</w:t>
      </w:r>
    </w:p>
    <w:p w14:paraId="03EEE2E7" w14:textId="77777777" w:rsidR="006C6394" w:rsidRPr="007F13D6" w:rsidRDefault="008D4812" w:rsidP="00CE7AFC">
      <w:pPr>
        <w:spacing w:before="120" w:after="120" w:line="240" w:lineRule="auto"/>
        <w:rPr>
          <w:rFonts w:ascii="Arial" w:hAnsi="Arial" w:cs="Arial"/>
        </w:rPr>
      </w:pPr>
      <w:r w:rsidRPr="007F13D6">
        <w:rPr>
          <w:rFonts w:ascii="Arial" w:hAnsi="Arial" w:cs="Arial"/>
          <w:b/>
          <w:bCs/>
        </w:rPr>
        <w:t>*</w:t>
      </w:r>
      <w:r w:rsidR="006C6394" w:rsidRPr="007F13D6">
        <w:rPr>
          <w:rFonts w:ascii="Arial" w:hAnsi="Arial" w:cs="Arial"/>
          <w:b/>
          <w:bCs/>
        </w:rPr>
        <w:t>Vocational enrollment.</w:t>
      </w:r>
      <w:r w:rsidR="006C6394" w:rsidRPr="007F13D6">
        <w:rPr>
          <w:rFonts w:ascii="Arial" w:hAnsi="Arial" w:cs="Arial"/>
        </w:rPr>
        <w:t xml:space="preserve"> Vocational student enrollment is the one weighted student input that was not independently validated. Available documentation did not provide sufficiently specific business rules or a clear operational definition of which students should be included, and the underlying source of the count could not be clearly identified. The IV&amp;V therefore retained the count reported in the PEFC workbook to preserve a consistent analytical foundation for the proposed-model reproduction and workbook comparison. The resulting vocational weighted count should be interpreted with additional caution until the applicable inclusion rules and source-system logic are confirmed.</w:t>
      </w:r>
    </w:p>
    <w:p w14:paraId="7E835F40" w14:textId="77777777" w:rsidR="00726538" w:rsidRPr="007F13D6" w:rsidRDefault="00954852" w:rsidP="00CE7AFC">
      <w:pPr>
        <w:pStyle w:val="Heading2"/>
        <w:spacing w:before="120" w:after="120" w:line="240" w:lineRule="auto"/>
        <w:rPr>
          <w:rFonts w:ascii="Arial" w:hAnsi="Arial" w:cs="Arial"/>
        </w:rPr>
      </w:pPr>
      <w:bookmarkStart w:id="25" w:name="_Toc237512560"/>
      <w:r w:rsidRPr="007F13D6">
        <w:rPr>
          <w:rFonts w:ascii="Arial" w:hAnsi="Arial" w:cs="Arial"/>
        </w:rPr>
        <w:t>4.3 Fixed pools and recalculated rates</w:t>
      </w:r>
      <w:bookmarkEnd w:id="25"/>
    </w:p>
    <w:p w14:paraId="10EA2851" w14:textId="77777777" w:rsidR="00726538" w:rsidRPr="007F13D6" w:rsidRDefault="00B54F3E" w:rsidP="00CE7AFC">
      <w:pPr>
        <w:pStyle w:val="BodyText"/>
        <w:keepLines/>
        <w:spacing w:before="120" w:line="240" w:lineRule="auto"/>
        <w:rPr>
          <w:rFonts w:ascii="Arial" w:hAnsi="Arial" w:cs="Arial"/>
        </w:rPr>
      </w:pPr>
      <w:r w:rsidRPr="007F13D6">
        <w:rPr>
          <w:rFonts w:ascii="Arial" w:hAnsi="Arial" w:cs="Arial"/>
        </w:rPr>
        <w:t>The PEFC calculator provides the statewide pool amounts for Opportunity Funding and Operational Funding. Following implementation guidance, the IV&amp;V treats these amounts as fixed statewide pools rather than fixed per-student rates. The per-weighted-unit rates are therefore recalculated whenever the eligible weighted counts or reporting scope changes. This treatment reflects externally provided implementation guidance, not an assumption introduced solely for the IV&amp;V analysis</w:t>
      </w:r>
      <w:r w:rsidR="00954852" w:rsidRPr="007F13D6">
        <w:rPr>
          <w:rFonts w:ascii="Arial" w:hAnsi="Arial" w:cs="Arial"/>
        </w:rPr>
        <w:t>.</w:t>
      </w:r>
    </w:p>
    <w:tbl>
      <w:tblPr>
        <w:tblW w:w="0" w:type="auto"/>
        <w:jc w:val="center"/>
        <w:tblLook w:val="04A0" w:firstRow="1" w:lastRow="0" w:firstColumn="1" w:lastColumn="0" w:noHBand="0" w:noVBand="1"/>
      </w:tblPr>
      <w:tblGrid>
        <w:gridCol w:w="9340"/>
      </w:tblGrid>
      <w:tr w:rsidR="00726538" w:rsidRPr="007F13D6" w14:paraId="52D44DAB" w14:textId="77777777">
        <w:trPr>
          <w:jc w:val="center"/>
        </w:trPr>
        <w:tc>
          <w:tcPr>
            <w:tcW w:w="10166" w:type="dxa"/>
            <w:tcBorders>
              <w:top w:val="single" w:sz="8" w:space="0" w:color="2F75B5"/>
              <w:left w:val="single" w:sz="8" w:space="0" w:color="2F75B5"/>
              <w:bottom w:val="single" w:sz="8" w:space="0" w:color="2F75B5"/>
              <w:right w:val="single" w:sz="8" w:space="0" w:color="2F75B5"/>
            </w:tcBorders>
            <w:shd w:val="clear" w:color="auto" w:fill="EAF3F8"/>
            <w:tcMar>
              <w:top w:w="110" w:type="dxa"/>
              <w:left w:w="140" w:type="dxa"/>
              <w:bottom w:w="110" w:type="dxa"/>
              <w:right w:w="140" w:type="dxa"/>
            </w:tcMar>
          </w:tcPr>
          <w:p w14:paraId="02196DE4" w14:textId="77777777" w:rsidR="00726538" w:rsidRPr="007F13D6" w:rsidRDefault="00954852" w:rsidP="00CE7AFC">
            <w:pPr>
              <w:spacing w:before="120" w:after="120" w:line="240" w:lineRule="auto"/>
              <w:rPr>
                <w:rFonts w:ascii="Arial" w:hAnsi="Arial" w:cs="Arial"/>
              </w:rPr>
            </w:pPr>
            <w:r w:rsidRPr="007F13D6">
              <w:rPr>
                <w:rFonts w:ascii="Arial" w:hAnsi="Arial" w:cs="Arial"/>
                <w:b/>
                <w:color w:val="1F4E78"/>
              </w:rPr>
              <w:lastRenderedPageBreak/>
              <w:t>Rate calculation</w:t>
            </w:r>
          </w:p>
          <w:p w14:paraId="24997BBA" w14:textId="77777777" w:rsidR="00116781" w:rsidRPr="007F13D6" w:rsidRDefault="00116781" w:rsidP="00CE7AFC">
            <w:pPr>
              <w:pStyle w:val="ListParagraph"/>
              <w:numPr>
                <w:ilvl w:val="0"/>
                <w:numId w:val="16"/>
              </w:numPr>
              <w:spacing w:before="120" w:after="120" w:line="240" w:lineRule="auto"/>
              <w:contextualSpacing w:val="0"/>
              <w:rPr>
                <w:rFonts w:ascii="Arial" w:hAnsi="Arial" w:cs="Arial"/>
                <w:color w:val="000000"/>
                <w:sz w:val="19"/>
              </w:rPr>
            </w:pPr>
            <w:r w:rsidRPr="007F13D6">
              <w:rPr>
                <w:rFonts w:ascii="Arial" w:hAnsi="Arial" w:cs="Arial"/>
                <w:color w:val="000000"/>
                <w:sz w:val="19"/>
              </w:rPr>
              <w:t>Opportunity rate: $163,000,000 ÷ 32,939.535 weighted units = $4,948.460869 per weighted unit</w:t>
            </w:r>
          </w:p>
          <w:p w14:paraId="2F2C5562" w14:textId="77777777" w:rsidR="00726538" w:rsidRPr="007F13D6" w:rsidRDefault="00116781" w:rsidP="00CE7AFC">
            <w:pPr>
              <w:pStyle w:val="ListParagraph"/>
              <w:numPr>
                <w:ilvl w:val="0"/>
                <w:numId w:val="16"/>
              </w:numPr>
              <w:spacing w:before="120" w:after="120" w:line="240" w:lineRule="auto"/>
              <w:contextualSpacing w:val="0"/>
              <w:rPr>
                <w:rFonts w:ascii="Arial" w:hAnsi="Arial" w:cs="Arial"/>
              </w:rPr>
            </w:pPr>
            <w:r w:rsidRPr="007F13D6">
              <w:rPr>
                <w:rFonts w:ascii="Arial" w:hAnsi="Arial" w:cs="Arial"/>
                <w:color w:val="000000"/>
                <w:sz w:val="19"/>
              </w:rPr>
              <w:t>Operational rate: $279,026,800 ÷ 85,860.945 weighted units = $3,249.752259 per weighted unit</w:t>
            </w:r>
          </w:p>
        </w:tc>
      </w:tr>
    </w:tbl>
    <w:p w14:paraId="35B47462" w14:textId="77777777" w:rsidR="00726538" w:rsidRPr="007F13D6" w:rsidRDefault="00954852" w:rsidP="00CE7AFC">
      <w:pPr>
        <w:pStyle w:val="Heading2"/>
        <w:spacing w:before="120" w:after="120" w:line="240" w:lineRule="auto"/>
        <w:rPr>
          <w:rFonts w:ascii="Arial" w:hAnsi="Arial" w:cs="Arial"/>
        </w:rPr>
      </w:pPr>
      <w:bookmarkStart w:id="26" w:name="_Toc237512561"/>
      <w:r w:rsidRPr="007F13D6">
        <w:rPr>
          <w:rFonts w:ascii="Arial" w:hAnsi="Arial" w:cs="Arial"/>
        </w:rPr>
        <w:t>4.4 Proposed allocation and current comparison status</w:t>
      </w:r>
      <w:bookmarkEnd w:id="26"/>
    </w:p>
    <w:p w14:paraId="66E1B694" w14:textId="77777777"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Exhibit 10. Distribution of the proposed weighted funding pools</w:t>
      </w:r>
    </w:p>
    <w:tbl>
      <w:tblPr>
        <w:tblW w:w="9792" w:type="dxa"/>
        <w:jc w:val="center"/>
        <w:tblLayout w:type="fixed"/>
        <w:tblLook w:val="04A0" w:firstRow="1" w:lastRow="0" w:firstColumn="1" w:lastColumn="0" w:noHBand="0" w:noVBand="1"/>
      </w:tblPr>
      <w:tblGrid>
        <w:gridCol w:w="1728"/>
        <w:gridCol w:w="1440"/>
        <w:gridCol w:w="2016"/>
        <w:gridCol w:w="2016"/>
        <w:gridCol w:w="2592"/>
      </w:tblGrid>
      <w:tr w:rsidR="00DB66DA" w:rsidRPr="007F13D6" w14:paraId="67B36B11" w14:textId="77777777" w:rsidTr="007047D3">
        <w:trPr>
          <w:cantSplit/>
          <w:tblHeader/>
          <w:jc w:val="center"/>
        </w:trPr>
        <w:tc>
          <w:tcPr>
            <w:tcW w:w="1728" w:type="dxa"/>
            <w:tcBorders>
              <w:bottom w:val="single" w:sz="8" w:space="0" w:color="FFFFFF"/>
            </w:tcBorders>
            <w:shd w:val="clear" w:color="auto" w:fill="1F4E78"/>
            <w:tcMar>
              <w:top w:w="70" w:type="dxa"/>
              <w:left w:w="80" w:type="dxa"/>
              <w:bottom w:w="70" w:type="dxa"/>
              <w:right w:w="80" w:type="dxa"/>
            </w:tcMar>
            <w:vAlign w:val="center"/>
          </w:tcPr>
          <w:p w14:paraId="7C2649F1" w14:textId="77777777" w:rsidR="00DB66DA" w:rsidRPr="007F13D6" w:rsidRDefault="00DB66DA"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Funding stream</w:t>
            </w:r>
          </w:p>
        </w:tc>
        <w:tc>
          <w:tcPr>
            <w:tcW w:w="1440" w:type="dxa"/>
            <w:tcBorders>
              <w:bottom w:val="single" w:sz="8" w:space="0" w:color="FFFFFF"/>
            </w:tcBorders>
            <w:shd w:val="clear" w:color="auto" w:fill="1F4E78"/>
            <w:tcMar>
              <w:top w:w="70" w:type="dxa"/>
              <w:left w:w="80" w:type="dxa"/>
              <w:bottom w:w="70" w:type="dxa"/>
              <w:right w:w="80" w:type="dxa"/>
            </w:tcMar>
            <w:vAlign w:val="center"/>
          </w:tcPr>
          <w:p w14:paraId="63EF9E41" w14:textId="77777777" w:rsidR="00DB66DA" w:rsidRPr="007F13D6" w:rsidRDefault="00DB66DA"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Statewide pool</w:t>
            </w:r>
          </w:p>
        </w:tc>
        <w:tc>
          <w:tcPr>
            <w:tcW w:w="2016" w:type="dxa"/>
            <w:tcBorders>
              <w:bottom w:val="single" w:sz="8" w:space="0" w:color="FFFFFF"/>
            </w:tcBorders>
            <w:shd w:val="clear" w:color="auto" w:fill="1F4E78"/>
            <w:tcMar>
              <w:top w:w="70" w:type="dxa"/>
              <w:left w:w="80" w:type="dxa"/>
              <w:bottom w:w="70" w:type="dxa"/>
              <w:right w:w="80" w:type="dxa"/>
            </w:tcMar>
            <w:vAlign w:val="center"/>
          </w:tcPr>
          <w:p w14:paraId="7A971F9E" w14:textId="77777777" w:rsidR="00DB66DA" w:rsidRPr="007F13D6" w:rsidRDefault="00DB66DA"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District allocation</w:t>
            </w:r>
          </w:p>
        </w:tc>
        <w:tc>
          <w:tcPr>
            <w:tcW w:w="2016" w:type="dxa"/>
            <w:tcBorders>
              <w:bottom w:val="single" w:sz="8" w:space="0" w:color="FFFFFF"/>
            </w:tcBorders>
            <w:shd w:val="clear" w:color="auto" w:fill="1F4E78"/>
            <w:tcMar>
              <w:top w:w="70" w:type="dxa"/>
              <w:left w:w="80" w:type="dxa"/>
              <w:bottom w:w="70" w:type="dxa"/>
              <w:right w:w="80" w:type="dxa"/>
            </w:tcMar>
            <w:vAlign w:val="center"/>
          </w:tcPr>
          <w:p w14:paraId="12A4E1D8" w14:textId="77777777" w:rsidR="00DB66DA" w:rsidRPr="007F13D6" w:rsidRDefault="00DB66DA"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Charter allocation</w:t>
            </w:r>
          </w:p>
        </w:tc>
        <w:tc>
          <w:tcPr>
            <w:tcW w:w="2592" w:type="dxa"/>
            <w:tcBorders>
              <w:bottom w:val="single" w:sz="8" w:space="0" w:color="FFFFFF"/>
            </w:tcBorders>
            <w:shd w:val="clear" w:color="auto" w:fill="1F4E78"/>
            <w:tcMar>
              <w:top w:w="70" w:type="dxa"/>
              <w:left w:w="80" w:type="dxa"/>
              <w:bottom w:w="70" w:type="dxa"/>
              <w:right w:w="80" w:type="dxa"/>
            </w:tcMar>
            <w:vAlign w:val="center"/>
          </w:tcPr>
          <w:p w14:paraId="5A78CF3E" w14:textId="77777777" w:rsidR="00DB66DA" w:rsidRPr="007F13D6" w:rsidRDefault="00DB66DA" w:rsidP="007407E1">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Current comparison</w:t>
            </w:r>
          </w:p>
        </w:tc>
      </w:tr>
      <w:tr w:rsidR="00DB66DA" w:rsidRPr="007F13D6" w14:paraId="633AF2D7" w14:textId="77777777" w:rsidTr="007047D3">
        <w:trPr>
          <w:cantSplit/>
          <w:jc w:val="center"/>
        </w:trPr>
        <w:tc>
          <w:tcPr>
            <w:tcW w:w="1728" w:type="dxa"/>
            <w:tcBorders>
              <w:bottom w:val="single" w:sz="4" w:space="0" w:color="B7B7B7"/>
            </w:tcBorders>
            <w:tcMar>
              <w:top w:w="70" w:type="dxa"/>
              <w:left w:w="80" w:type="dxa"/>
              <w:bottom w:w="70" w:type="dxa"/>
              <w:right w:w="80" w:type="dxa"/>
            </w:tcMar>
            <w:vAlign w:val="center"/>
          </w:tcPr>
          <w:p w14:paraId="691F5A71" w14:textId="77777777" w:rsidR="00DB66DA" w:rsidRPr="007F13D6" w:rsidRDefault="00DB66DA" w:rsidP="007407E1">
            <w:pPr>
              <w:spacing w:after="0" w:line="240" w:lineRule="auto"/>
              <w:jc w:val="center"/>
              <w:rPr>
                <w:rFonts w:ascii="Arial" w:hAnsi="Arial" w:cs="Arial"/>
                <w:sz w:val="17"/>
                <w:szCs w:val="17"/>
              </w:rPr>
            </w:pPr>
            <w:r w:rsidRPr="007F13D6">
              <w:rPr>
                <w:rFonts w:ascii="Arial" w:hAnsi="Arial" w:cs="Arial"/>
                <w:color w:val="000000"/>
                <w:sz w:val="17"/>
                <w:szCs w:val="17"/>
              </w:rPr>
              <w:t>Opportunity Funding</w:t>
            </w:r>
          </w:p>
        </w:tc>
        <w:tc>
          <w:tcPr>
            <w:tcW w:w="1440" w:type="dxa"/>
            <w:tcBorders>
              <w:bottom w:val="single" w:sz="4" w:space="0" w:color="B7B7B7"/>
            </w:tcBorders>
            <w:tcMar>
              <w:top w:w="70" w:type="dxa"/>
              <w:left w:w="80" w:type="dxa"/>
              <w:bottom w:w="70" w:type="dxa"/>
              <w:right w:w="80" w:type="dxa"/>
            </w:tcMar>
            <w:vAlign w:val="center"/>
          </w:tcPr>
          <w:p w14:paraId="72DD9723" w14:textId="77777777" w:rsidR="00DB66DA" w:rsidRPr="007F13D6" w:rsidRDefault="00DB66DA" w:rsidP="007407E1">
            <w:pPr>
              <w:spacing w:after="0" w:line="240" w:lineRule="auto"/>
              <w:jc w:val="center"/>
              <w:rPr>
                <w:rFonts w:ascii="Arial" w:hAnsi="Arial" w:cs="Arial"/>
                <w:sz w:val="17"/>
                <w:szCs w:val="17"/>
              </w:rPr>
            </w:pPr>
            <w:r w:rsidRPr="007F13D6">
              <w:rPr>
                <w:rFonts w:ascii="Arial" w:hAnsi="Arial" w:cs="Arial"/>
                <w:color w:val="000000"/>
                <w:sz w:val="17"/>
                <w:szCs w:val="17"/>
              </w:rPr>
              <w:t>$163.0M</w:t>
            </w:r>
          </w:p>
        </w:tc>
        <w:tc>
          <w:tcPr>
            <w:tcW w:w="2016" w:type="dxa"/>
            <w:tcBorders>
              <w:bottom w:val="single" w:sz="4" w:space="0" w:color="B7B7B7"/>
            </w:tcBorders>
            <w:tcMar>
              <w:top w:w="70" w:type="dxa"/>
              <w:left w:w="80" w:type="dxa"/>
              <w:bottom w:w="70" w:type="dxa"/>
              <w:right w:w="80" w:type="dxa"/>
            </w:tcMar>
            <w:vAlign w:val="center"/>
          </w:tcPr>
          <w:p w14:paraId="39FBFDBF" w14:textId="77777777" w:rsidR="00DB66DA" w:rsidRPr="007F13D6" w:rsidRDefault="00DB66DA" w:rsidP="007407E1">
            <w:pPr>
              <w:spacing w:after="0" w:line="240" w:lineRule="auto"/>
              <w:jc w:val="center"/>
              <w:rPr>
                <w:rFonts w:ascii="Arial" w:hAnsi="Arial" w:cs="Arial"/>
                <w:sz w:val="17"/>
                <w:szCs w:val="17"/>
              </w:rPr>
            </w:pPr>
            <w:r w:rsidRPr="007F13D6">
              <w:rPr>
                <w:rFonts w:ascii="Arial" w:hAnsi="Arial" w:cs="Arial"/>
                <w:color w:val="000000"/>
                <w:sz w:val="17"/>
                <w:szCs w:val="17"/>
              </w:rPr>
              <w:t>$143.7M (88.2%)</w:t>
            </w:r>
          </w:p>
        </w:tc>
        <w:tc>
          <w:tcPr>
            <w:tcW w:w="2016" w:type="dxa"/>
            <w:tcBorders>
              <w:bottom w:val="single" w:sz="4" w:space="0" w:color="B7B7B7"/>
            </w:tcBorders>
            <w:tcMar>
              <w:top w:w="70" w:type="dxa"/>
              <w:left w:w="80" w:type="dxa"/>
              <w:bottom w:w="70" w:type="dxa"/>
              <w:right w:w="80" w:type="dxa"/>
            </w:tcMar>
            <w:vAlign w:val="center"/>
          </w:tcPr>
          <w:p w14:paraId="13424EBF" w14:textId="77777777" w:rsidR="00DB66DA" w:rsidRPr="007F13D6" w:rsidRDefault="00DB66DA" w:rsidP="007407E1">
            <w:pPr>
              <w:spacing w:after="0" w:line="240" w:lineRule="auto"/>
              <w:jc w:val="center"/>
              <w:rPr>
                <w:rFonts w:ascii="Arial" w:hAnsi="Arial" w:cs="Arial"/>
                <w:sz w:val="17"/>
                <w:szCs w:val="17"/>
              </w:rPr>
            </w:pPr>
            <w:r w:rsidRPr="007F13D6">
              <w:rPr>
                <w:rFonts w:ascii="Arial" w:hAnsi="Arial" w:cs="Arial"/>
                <w:color w:val="000000"/>
                <w:sz w:val="17"/>
                <w:szCs w:val="17"/>
              </w:rPr>
              <w:t>$19.3M (11.8%)</w:t>
            </w:r>
          </w:p>
        </w:tc>
        <w:tc>
          <w:tcPr>
            <w:tcW w:w="2592" w:type="dxa"/>
            <w:tcBorders>
              <w:bottom w:val="single" w:sz="4" w:space="0" w:color="B7B7B7"/>
            </w:tcBorders>
            <w:tcMar>
              <w:top w:w="70" w:type="dxa"/>
              <w:left w:w="80" w:type="dxa"/>
              <w:bottom w:w="70" w:type="dxa"/>
              <w:right w:w="80" w:type="dxa"/>
            </w:tcMar>
            <w:vAlign w:val="center"/>
          </w:tcPr>
          <w:p w14:paraId="71D3BE5D" w14:textId="3AF6EDD9" w:rsidR="00DB66DA" w:rsidRPr="007F13D6" w:rsidRDefault="00EA1931" w:rsidP="007407E1">
            <w:pPr>
              <w:spacing w:after="0" w:line="240" w:lineRule="auto"/>
              <w:jc w:val="center"/>
              <w:rPr>
                <w:rFonts w:ascii="Arial" w:hAnsi="Arial" w:cs="Arial"/>
                <w:sz w:val="17"/>
                <w:szCs w:val="17"/>
              </w:rPr>
            </w:pPr>
            <w:r w:rsidRPr="007F13D6">
              <w:rPr>
                <w:rFonts w:ascii="Arial" w:hAnsi="Arial" w:cs="Arial"/>
                <w:color w:val="000000"/>
                <w:sz w:val="17"/>
                <w:szCs w:val="17"/>
              </w:rPr>
              <w:t>Current analogue not yet defined/confirmed</w:t>
            </w:r>
          </w:p>
        </w:tc>
      </w:tr>
      <w:tr w:rsidR="00DB66DA" w:rsidRPr="007F13D6" w14:paraId="43E25A5F" w14:textId="77777777" w:rsidTr="007047D3">
        <w:trPr>
          <w:cantSplit/>
          <w:jc w:val="center"/>
        </w:trPr>
        <w:tc>
          <w:tcPr>
            <w:tcW w:w="1728" w:type="dxa"/>
            <w:tcBorders>
              <w:bottom w:val="single" w:sz="4" w:space="0" w:color="B7B7B7"/>
            </w:tcBorders>
            <w:shd w:val="clear" w:color="auto" w:fill="EAF3F8"/>
            <w:tcMar>
              <w:top w:w="70" w:type="dxa"/>
              <w:left w:w="80" w:type="dxa"/>
              <w:bottom w:w="70" w:type="dxa"/>
              <w:right w:w="80" w:type="dxa"/>
            </w:tcMar>
            <w:vAlign w:val="center"/>
          </w:tcPr>
          <w:p w14:paraId="67830216" w14:textId="77777777" w:rsidR="00DB66DA" w:rsidRPr="007F13D6" w:rsidRDefault="00DB66DA" w:rsidP="007407E1">
            <w:pPr>
              <w:spacing w:after="0" w:line="240" w:lineRule="auto"/>
              <w:jc w:val="center"/>
              <w:rPr>
                <w:rFonts w:ascii="Arial" w:hAnsi="Arial" w:cs="Arial"/>
                <w:sz w:val="17"/>
                <w:szCs w:val="17"/>
              </w:rPr>
            </w:pPr>
            <w:r w:rsidRPr="007F13D6">
              <w:rPr>
                <w:rFonts w:ascii="Arial" w:hAnsi="Arial" w:cs="Arial"/>
                <w:color w:val="000000"/>
                <w:sz w:val="17"/>
                <w:szCs w:val="17"/>
              </w:rPr>
              <w:t>Operational Funding</w:t>
            </w:r>
          </w:p>
        </w:tc>
        <w:tc>
          <w:tcPr>
            <w:tcW w:w="1440" w:type="dxa"/>
            <w:tcBorders>
              <w:bottom w:val="single" w:sz="4" w:space="0" w:color="B7B7B7"/>
            </w:tcBorders>
            <w:shd w:val="clear" w:color="auto" w:fill="EAF3F8"/>
            <w:tcMar>
              <w:top w:w="70" w:type="dxa"/>
              <w:left w:w="80" w:type="dxa"/>
              <w:bottom w:w="70" w:type="dxa"/>
              <w:right w:w="80" w:type="dxa"/>
            </w:tcMar>
            <w:vAlign w:val="center"/>
          </w:tcPr>
          <w:p w14:paraId="27F3F9FC" w14:textId="77777777" w:rsidR="00DB66DA" w:rsidRPr="007F13D6" w:rsidRDefault="00DB66DA" w:rsidP="007407E1">
            <w:pPr>
              <w:spacing w:after="0" w:line="240" w:lineRule="auto"/>
              <w:jc w:val="center"/>
              <w:rPr>
                <w:rFonts w:ascii="Arial" w:hAnsi="Arial" w:cs="Arial"/>
                <w:sz w:val="17"/>
                <w:szCs w:val="17"/>
              </w:rPr>
            </w:pPr>
            <w:r w:rsidRPr="007F13D6">
              <w:rPr>
                <w:rFonts w:ascii="Arial" w:hAnsi="Arial" w:cs="Arial"/>
                <w:color w:val="000000"/>
                <w:sz w:val="17"/>
                <w:szCs w:val="17"/>
              </w:rPr>
              <w:t>$279.0268M</w:t>
            </w:r>
          </w:p>
        </w:tc>
        <w:tc>
          <w:tcPr>
            <w:tcW w:w="2016" w:type="dxa"/>
            <w:tcBorders>
              <w:bottom w:val="single" w:sz="4" w:space="0" w:color="B7B7B7"/>
            </w:tcBorders>
            <w:shd w:val="clear" w:color="auto" w:fill="EAF3F8"/>
            <w:tcMar>
              <w:top w:w="70" w:type="dxa"/>
              <w:left w:w="80" w:type="dxa"/>
              <w:bottom w:w="70" w:type="dxa"/>
              <w:right w:w="80" w:type="dxa"/>
            </w:tcMar>
            <w:vAlign w:val="center"/>
          </w:tcPr>
          <w:p w14:paraId="55C9F2EA" w14:textId="77777777" w:rsidR="00DB66DA" w:rsidRPr="007F13D6" w:rsidRDefault="00DB66DA" w:rsidP="007407E1">
            <w:pPr>
              <w:spacing w:after="0" w:line="240" w:lineRule="auto"/>
              <w:jc w:val="center"/>
              <w:rPr>
                <w:rFonts w:ascii="Arial" w:hAnsi="Arial" w:cs="Arial"/>
                <w:sz w:val="17"/>
                <w:szCs w:val="17"/>
              </w:rPr>
            </w:pPr>
            <w:r w:rsidRPr="007F13D6">
              <w:rPr>
                <w:rFonts w:ascii="Arial" w:hAnsi="Arial" w:cs="Arial"/>
                <w:color w:val="000000"/>
                <w:sz w:val="17"/>
                <w:szCs w:val="17"/>
              </w:rPr>
              <w:t>$248.3M (89.0%)</w:t>
            </w:r>
          </w:p>
        </w:tc>
        <w:tc>
          <w:tcPr>
            <w:tcW w:w="2016" w:type="dxa"/>
            <w:tcBorders>
              <w:bottom w:val="single" w:sz="4" w:space="0" w:color="B7B7B7"/>
            </w:tcBorders>
            <w:shd w:val="clear" w:color="auto" w:fill="EAF3F8"/>
            <w:tcMar>
              <w:top w:w="70" w:type="dxa"/>
              <w:left w:w="80" w:type="dxa"/>
              <w:bottom w:w="70" w:type="dxa"/>
              <w:right w:w="80" w:type="dxa"/>
            </w:tcMar>
            <w:vAlign w:val="center"/>
          </w:tcPr>
          <w:p w14:paraId="3F78E7F4" w14:textId="77777777" w:rsidR="00DB66DA" w:rsidRPr="007F13D6" w:rsidRDefault="00DB66DA" w:rsidP="007407E1">
            <w:pPr>
              <w:spacing w:after="0" w:line="240" w:lineRule="auto"/>
              <w:jc w:val="center"/>
              <w:rPr>
                <w:rFonts w:ascii="Arial" w:hAnsi="Arial" w:cs="Arial"/>
                <w:sz w:val="17"/>
                <w:szCs w:val="17"/>
              </w:rPr>
            </w:pPr>
            <w:r w:rsidRPr="007F13D6">
              <w:rPr>
                <w:rFonts w:ascii="Arial" w:hAnsi="Arial" w:cs="Arial"/>
                <w:color w:val="000000"/>
                <w:sz w:val="17"/>
                <w:szCs w:val="17"/>
              </w:rPr>
              <w:t>$30.8M (11.0%)</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1C675987" w14:textId="7AA2A5D4" w:rsidR="00DB66DA" w:rsidRPr="007F13D6" w:rsidRDefault="00EA1931" w:rsidP="007407E1">
            <w:pPr>
              <w:spacing w:after="0" w:line="240" w:lineRule="auto"/>
              <w:jc w:val="center"/>
              <w:rPr>
                <w:rFonts w:ascii="Arial" w:hAnsi="Arial" w:cs="Arial"/>
                <w:sz w:val="17"/>
                <w:szCs w:val="17"/>
              </w:rPr>
            </w:pPr>
            <w:r w:rsidRPr="007F13D6">
              <w:rPr>
                <w:rFonts w:ascii="Arial" w:hAnsi="Arial" w:cs="Arial"/>
                <w:color w:val="000000"/>
                <w:sz w:val="17"/>
                <w:szCs w:val="17"/>
              </w:rPr>
              <w:t>Current analogue not yet defined/confirmed</w:t>
            </w:r>
          </w:p>
        </w:tc>
      </w:tr>
    </w:tbl>
    <w:p w14:paraId="5DB1CF8B" w14:textId="77777777" w:rsidR="00726538" w:rsidRPr="007F13D6" w:rsidRDefault="002F4227" w:rsidP="00CE7AFC">
      <w:pPr>
        <w:spacing w:before="120" w:after="120" w:line="240" w:lineRule="auto"/>
        <w:rPr>
          <w:rFonts w:ascii="Arial" w:hAnsi="Arial" w:cs="Arial"/>
        </w:rPr>
      </w:pPr>
      <w:r w:rsidRPr="007F13D6">
        <w:rPr>
          <w:rFonts w:ascii="Arial" w:hAnsi="Arial" w:cs="Arial"/>
          <w:i/>
          <w:color w:val="666666"/>
          <w:sz w:val="16"/>
        </w:rPr>
        <w:t>Source: IV&amp;V pipeline output, 11_opportunity_operational_lea_comparison.csv. Primary scope includes BASSE and excludes DAFB</w:t>
      </w:r>
      <w:r w:rsidR="00954852" w:rsidRPr="007F13D6">
        <w:rPr>
          <w:rFonts w:ascii="Arial" w:hAnsi="Arial" w:cs="Arial"/>
          <w:i/>
          <w:color w:val="666666"/>
          <w:sz w:val="16"/>
        </w:rPr>
        <w:t>.</w:t>
      </w:r>
    </w:p>
    <w:p w14:paraId="0973E9F5" w14:textId="0A4CBE2C" w:rsidR="00726538" w:rsidRPr="007F13D6" w:rsidRDefault="001267CB" w:rsidP="00CE7AFC">
      <w:pPr>
        <w:pStyle w:val="BodyText"/>
        <w:keepLines/>
        <w:spacing w:before="120" w:line="240" w:lineRule="auto"/>
        <w:rPr>
          <w:rFonts w:ascii="Arial" w:hAnsi="Arial" w:cs="Arial"/>
        </w:rPr>
      </w:pPr>
      <w:r w:rsidRPr="007F13D6">
        <w:rPr>
          <w:rFonts w:ascii="Arial" w:hAnsi="Arial" w:cs="Arial"/>
        </w:rPr>
        <w:t>The proposed allocations can be calculated and analyzed by LEA and sector. A current-versus-proposed difference cannot yet be estimated because an authoritative mapping of existing funding streams to the proposed Opportunity and Operational Funding categories has not yet been established. Missing current amounts remain blank and are not treated as zero</w:t>
      </w:r>
      <w:r w:rsidR="00954852" w:rsidRPr="007F13D6">
        <w:rPr>
          <w:rFonts w:ascii="Arial" w:hAnsi="Arial" w:cs="Arial"/>
        </w:rPr>
        <w:t>.</w:t>
      </w:r>
    </w:p>
    <w:tbl>
      <w:tblPr>
        <w:tblW w:w="0" w:type="auto"/>
        <w:jc w:val="center"/>
        <w:tblLook w:val="04A0" w:firstRow="1" w:lastRow="0" w:firstColumn="1" w:lastColumn="0" w:noHBand="0" w:noVBand="1"/>
      </w:tblPr>
      <w:tblGrid>
        <w:gridCol w:w="9340"/>
      </w:tblGrid>
      <w:tr w:rsidR="00726538" w:rsidRPr="007F13D6" w14:paraId="4AA5D999" w14:textId="77777777" w:rsidTr="000D1E74">
        <w:trPr>
          <w:jc w:val="center"/>
        </w:trPr>
        <w:tc>
          <w:tcPr>
            <w:tcW w:w="9640" w:type="dxa"/>
            <w:tcBorders>
              <w:top w:val="single" w:sz="8" w:space="0" w:color="D6A84B"/>
              <w:left w:val="single" w:sz="8" w:space="0" w:color="D6A84B"/>
              <w:bottom w:val="single" w:sz="8" w:space="0" w:color="D6A84B"/>
              <w:right w:val="single" w:sz="8" w:space="0" w:color="D6A84B"/>
            </w:tcBorders>
            <w:shd w:val="clear" w:color="auto" w:fill="FFF4CE"/>
            <w:tcMar>
              <w:top w:w="110" w:type="dxa"/>
              <w:left w:w="140" w:type="dxa"/>
              <w:bottom w:w="110" w:type="dxa"/>
              <w:right w:w="140" w:type="dxa"/>
            </w:tcMar>
          </w:tcPr>
          <w:p w14:paraId="3EE3030B" w14:textId="77777777" w:rsidR="00726538" w:rsidRPr="007F13D6" w:rsidRDefault="00954852" w:rsidP="00CE7AFC">
            <w:pPr>
              <w:spacing w:before="120" w:after="120" w:line="240" w:lineRule="auto"/>
              <w:rPr>
                <w:rFonts w:ascii="Arial" w:hAnsi="Arial" w:cs="Arial"/>
              </w:rPr>
            </w:pPr>
            <w:r w:rsidRPr="007F13D6">
              <w:rPr>
                <w:rFonts w:ascii="Arial" w:hAnsi="Arial" w:cs="Arial"/>
                <w:b/>
                <w:color w:val="1F4E78"/>
              </w:rPr>
              <w:t>Interpretation guardrail</w:t>
            </w:r>
          </w:p>
          <w:p w14:paraId="25F888D3" w14:textId="77777777" w:rsidR="00726538" w:rsidRPr="007F13D6" w:rsidRDefault="00B6560F" w:rsidP="00CE7AFC">
            <w:pPr>
              <w:spacing w:before="120" w:after="120" w:line="240" w:lineRule="auto"/>
              <w:rPr>
                <w:rFonts w:ascii="Arial" w:hAnsi="Arial" w:cs="Arial"/>
              </w:rPr>
            </w:pPr>
            <w:r w:rsidRPr="007F13D6">
              <w:rPr>
                <w:rFonts w:ascii="Arial" w:hAnsi="Arial" w:cs="Arial"/>
                <w:color w:val="000000"/>
                <w:sz w:val="19"/>
              </w:rPr>
              <w:t>The combined $442.0268 million proposed allocation should not be described as entirely new spending. Estimating the net fiscal change requires a crosswalk identifying which current programs or appropriations would continue, change, be consolidated, or be replaced under the proposed model</w:t>
            </w:r>
            <w:r w:rsidR="00954852" w:rsidRPr="007F13D6">
              <w:rPr>
                <w:rFonts w:ascii="Arial" w:hAnsi="Arial" w:cs="Arial"/>
                <w:color w:val="000000"/>
                <w:sz w:val="19"/>
              </w:rPr>
              <w:t>.</w:t>
            </w:r>
          </w:p>
        </w:tc>
      </w:tr>
    </w:tbl>
    <w:p w14:paraId="57999F58" w14:textId="77777777" w:rsidR="000D1E74" w:rsidRPr="007F13D6" w:rsidRDefault="000D1E74" w:rsidP="00CE7AFC">
      <w:pPr>
        <w:pStyle w:val="Heading2"/>
        <w:spacing w:before="120" w:after="120" w:line="240" w:lineRule="auto"/>
        <w:rPr>
          <w:rFonts w:ascii="Arial" w:hAnsi="Arial" w:cs="Arial"/>
        </w:rPr>
      </w:pPr>
      <w:bookmarkStart w:id="27" w:name="_Toc237512562"/>
      <w:r w:rsidRPr="007F13D6">
        <w:rPr>
          <w:rFonts w:ascii="Arial" w:hAnsi="Arial" w:cs="Arial"/>
        </w:rPr>
        <w:t>4.5 LEA-level composition of proposed weighted funding</w:t>
      </w:r>
      <w:bookmarkEnd w:id="27"/>
    </w:p>
    <w:p w14:paraId="3B82C7DD" w14:textId="77777777" w:rsidR="001A0926" w:rsidRPr="007F13D6" w:rsidRDefault="001A0926" w:rsidP="00CE7AFC">
      <w:pPr>
        <w:spacing w:before="120" w:after="120" w:line="240" w:lineRule="auto"/>
        <w:rPr>
          <w:rFonts w:ascii="Arial" w:hAnsi="Arial" w:cs="Arial"/>
        </w:rPr>
      </w:pPr>
      <w:r w:rsidRPr="007F13D6">
        <w:rPr>
          <w:rFonts w:ascii="Arial" w:hAnsi="Arial" w:cs="Arial"/>
        </w:rPr>
        <w:t>Proposed weighted funding varies according to each LEA’s eligible student counts and the weights assigned to each formula component. Across the combined Opportunity and Operational Funding pools, districts receive approximately $392.0 million, or 88.7%, while charters receive approximately $50.1 million, or 11.3%. Exhibit 11 shows how each formula component is divided between districts and charters, while Figures 3 and 4 show how those allocations are distributed across individual LEAs within each sector.</w:t>
      </w:r>
    </w:p>
    <w:p w14:paraId="58AD4642" w14:textId="463EDEBA" w:rsidR="00AE203B" w:rsidRPr="007F13D6" w:rsidRDefault="001A0926" w:rsidP="00CE7AFC">
      <w:pPr>
        <w:spacing w:before="120" w:after="120" w:line="240" w:lineRule="auto"/>
        <w:rPr>
          <w:rFonts w:ascii="Arial" w:hAnsi="Arial" w:cs="Arial"/>
        </w:rPr>
      </w:pPr>
      <w:r w:rsidRPr="007F13D6">
        <w:rPr>
          <w:rFonts w:ascii="Arial" w:hAnsi="Arial" w:cs="Arial"/>
        </w:rPr>
        <w:t>Across the 43-LEA primary scope, the two low-income components together account for approximately $203.2 million, or 46.0% of the combined weighted funding pools. Operational total enrollment contributes $91.5 million; the two active multilingual learner components contribute $66.9 million; the three Operational special education components contribute $68.6 million; and vocational enrollment contributes $11.9 million. Median combined allocations are $16.3 million among districts and $1.6 million among charters, reflecting differences in enrollment scale and weighted student composition</w:t>
      </w:r>
      <w:r w:rsidR="00015432" w:rsidRPr="007F13D6">
        <w:rPr>
          <w:rFonts w:ascii="Arial" w:hAnsi="Arial" w:cs="Arial"/>
        </w:rPr>
        <w:t>.</w:t>
      </w:r>
    </w:p>
    <w:p w14:paraId="0A6D4658" w14:textId="77777777" w:rsidR="00015432" w:rsidRPr="007F13D6" w:rsidRDefault="00015432" w:rsidP="00CE7AFC">
      <w:pPr>
        <w:spacing w:before="120" w:after="120" w:line="240" w:lineRule="auto"/>
        <w:rPr>
          <w:rFonts w:ascii="Arial" w:hAnsi="Arial" w:cs="Arial"/>
          <w:b/>
        </w:rPr>
      </w:pPr>
      <w:r w:rsidRPr="007F13D6">
        <w:rPr>
          <w:rFonts w:ascii="Arial" w:hAnsi="Arial" w:cs="Arial"/>
          <w:b/>
          <w:color w:val="1F4E78"/>
          <w:sz w:val="18"/>
        </w:rPr>
        <w:t>Exhibit 11. Proposed Opportunity and Operational Funding by sector and formula component</w:t>
      </w:r>
    </w:p>
    <w:tbl>
      <w:tblPr>
        <w:tblW w:w="9468" w:type="dxa"/>
        <w:jc w:val="center"/>
        <w:tblLayout w:type="fixed"/>
        <w:tblLook w:val="04A0" w:firstRow="1" w:lastRow="0" w:firstColumn="1" w:lastColumn="0" w:noHBand="0" w:noVBand="1"/>
      </w:tblPr>
      <w:tblGrid>
        <w:gridCol w:w="1728"/>
        <w:gridCol w:w="3000"/>
        <w:gridCol w:w="1580"/>
        <w:gridCol w:w="1580"/>
        <w:gridCol w:w="1580"/>
      </w:tblGrid>
      <w:tr w:rsidR="00015432" w:rsidRPr="007F13D6" w14:paraId="665CD655" w14:textId="77777777" w:rsidTr="007047D3">
        <w:trPr>
          <w:cantSplit/>
          <w:trHeight w:val="20"/>
          <w:tblHeader/>
          <w:jc w:val="center"/>
        </w:trPr>
        <w:tc>
          <w:tcPr>
            <w:tcW w:w="1728" w:type="dxa"/>
            <w:tcBorders>
              <w:bottom w:val="single" w:sz="8" w:space="0" w:color="FFFFFF"/>
            </w:tcBorders>
            <w:shd w:val="clear" w:color="auto" w:fill="1F4E78"/>
            <w:tcMar>
              <w:top w:w="70" w:type="dxa"/>
              <w:left w:w="80" w:type="dxa"/>
              <w:bottom w:w="70" w:type="dxa"/>
              <w:right w:w="80" w:type="dxa"/>
            </w:tcMar>
            <w:vAlign w:val="center"/>
          </w:tcPr>
          <w:p w14:paraId="1D3054D2" w14:textId="77777777" w:rsidR="00015432" w:rsidRPr="007F13D6" w:rsidRDefault="00015432" w:rsidP="007407E1">
            <w:pPr>
              <w:spacing w:after="0" w:line="240" w:lineRule="auto"/>
              <w:jc w:val="center"/>
              <w:rPr>
                <w:rFonts w:ascii="Arial" w:hAnsi="Arial" w:cs="Arial"/>
                <w:color w:val="FFFFFF" w:themeColor="background1"/>
                <w:sz w:val="17"/>
                <w:szCs w:val="17"/>
              </w:rPr>
            </w:pPr>
            <w:r w:rsidRPr="007F13D6">
              <w:rPr>
                <w:rFonts w:ascii="Arial" w:hAnsi="Arial" w:cs="Arial"/>
                <w:b/>
                <w:color w:val="FFFFFF" w:themeColor="background1"/>
                <w:sz w:val="17"/>
                <w:szCs w:val="17"/>
              </w:rPr>
              <w:t>Funding stream</w:t>
            </w:r>
          </w:p>
        </w:tc>
        <w:tc>
          <w:tcPr>
            <w:tcW w:w="3000" w:type="dxa"/>
            <w:tcBorders>
              <w:bottom w:val="single" w:sz="8" w:space="0" w:color="FFFFFF"/>
            </w:tcBorders>
            <w:shd w:val="clear" w:color="auto" w:fill="1F4E78"/>
            <w:tcMar>
              <w:top w:w="70" w:type="dxa"/>
              <w:left w:w="80" w:type="dxa"/>
              <w:bottom w:w="70" w:type="dxa"/>
              <w:right w:w="80" w:type="dxa"/>
            </w:tcMar>
            <w:vAlign w:val="center"/>
          </w:tcPr>
          <w:p w14:paraId="6232AE44" w14:textId="77777777" w:rsidR="00015432" w:rsidRPr="007F13D6" w:rsidRDefault="00015432" w:rsidP="007407E1">
            <w:pPr>
              <w:spacing w:after="0" w:line="240" w:lineRule="auto"/>
              <w:jc w:val="center"/>
              <w:rPr>
                <w:rFonts w:ascii="Arial" w:hAnsi="Arial" w:cs="Arial"/>
                <w:color w:val="FFFFFF" w:themeColor="background1"/>
                <w:sz w:val="17"/>
                <w:szCs w:val="17"/>
              </w:rPr>
            </w:pPr>
            <w:r w:rsidRPr="007F13D6">
              <w:rPr>
                <w:rFonts w:ascii="Arial" w:hAnsi="Arial" w:cs="Arial"/>
                <w:b/>
                <w:color w:val="FFFFFF" w:themeColor="background1"/>
                <w:sz w:val="17"/>
                <w:szCs w:val="17"/>
              </w:rPr>
              <w:t>Formula component</w:t>
            </w:r>
          </w:p>
        </w:tc>
        <w:tc>
          <w:tcPr>
            <w:tcW w:w="1580" w:type="dxa"/>
            <w:tcBorders>
              <w:bottom w:val="single" w:sz="8" w:space="0" w:color="FFFFFF"/>
            </w:tcBorders>
            <w:shd w:val="clear" w:color="auto" w:fill="1F4E78"/>
            <w:tcMar>
              <w:top w:w="70" w:type="dxa"/>
              <w:left w:w="80" w:type="dxa"/>
              <w:bottom w:w="70" w:type="dxa"/>
              <w:right w:w="80" w:type="dxa"/>
            </w:tcMar>
            <w:vAlign w:val="center"/>
          </w:tcPr>
          <w:p w14:paraId="4D544676" w14:textId="77777777" w:rsidR="00015432" w:rsidRPr="007F13D6" w:rsidRDefault="00015432" w:rsidP="007407E1">
            <w:pPr>
              <w:spacing w:after="0" w:line="240" w:lineRule="auto"/>
              <w:jc w:val="center"/>
              <w:rPr>
                <w:rFonts w:ascii="Arial" w:hAnsi="Arial" w:cs="Arial"/>
                <w:color w:val="FFFFFF" w:themeColor="background1"/>
                <w:sz w:val="17"/>
                <w:szCs w:val="17"/>
              </w:rPr>
            </w:pPr>
            <w:r w:rsidRPr="007F13D6">
              <w:rPr>
                <w:rFonts w:ascii="Arial" w:hAnsi="Arial" w:cs="Arial"/>
                <w:b/>
                <w:color w:val="FFFFFF" w:themeColor="background1"/>
                <w:sz w:val="17"/>
                <w:szCs w:val="17"/>
              </w:rPr>
              <w:t>District allocation</w:t>
            </w:r>
          </w:p>
        </w:tc>
        <w:tc>
          <w:tcPr>
            <w:tcW w:w="1580" w:type="dxa"/>
            <w:tcBorders>
              <w:bottom w:val="single" w:sz="8" w:space="0" w:color="FFFFFF"/>
            </w:tcBorders>
            <w:shd w:val="clear" w:color="auto" w:fill="1F4E78"/>
            <w:tcMar>
              <w:top w:w="70" w:type="dxa"/>
              <w:left w:w="80" w:type="dxa"/>
              <w:bottom w:w="70" w:type="dxa"/>
              <w:right w:w="80" w:type="dxa"/>
            </w:tcMar>
            <w:vAlign w:val="center"/>
          </w:tcPr>
          <w:p w14:paraId="351FFBF4" w14:textId="77777777" w:rsidR="00015432" w:rsidRPr="007F13D6" w:rsidRDefault="00015432" w:rsidP="007407E1">
            <w:pPr>
              <w:spacing w:after="0" w:line="240" w:lineRule="auto"/>
              <w:jc w:val="center"/>
              <w:rPr>
                <w:rFonts w:ascii="Arial" w:hAnsi="Arial" w:cs="Arial"/>
                <w:color w:val="FFFFFF" w:themeColor="background1"/>
                <w:sz w:val="17"/>
                <w:szCs w:val="17"/>
              </w:rPr>
            </w:pPr>
            <w:r w:rsidRPr="007F13D6">
              <w:rPr>
                <w:rFonts w:ascii="Arial" w:hAnsi="Arial" w:cs="Arial"/>
                <w:b/>
                <w:color w:val="FFFFFF" w:themeColor="background1"/>
                <w:sz w:val="17"/>
                <w:szCs w:val="17"/>
              </w:rPr>
              <w:t>Charter allocation</w:t>
            </w:r>
          </w:p>
        </w:tc>
        <w:tc>
          <w:tcPr>
            <w:tcW w:w="1580" w:type="dxa"/>
            <w:tcBorders>
              <w:bottom w:val="single" w:sz="8" w:space="0" w:color="FFFFFF"/>
            </w:tcBorders>
            <w:shd w:val="clear" w:color="auto" w:fill="1F4E78"/>
            <w:tcMar>
              <w:top w:w="70" w:type="dxa"/>
              <w:left w:w="80" w:type="dxa"/>
              <w:bottom w:w="70" w:type="dxa"/>
              <w:right w:w="80" w:type="dxa"/>
            </w:tcMar>
            <w:vAlign w:val="center"/>
          </w:tcPr>
          <w:p w14:paraId="27118660" w14:textId="77777777" w:rsidR="00015432" w:rsidRPr="007F13D6" w:rsidRDefault="00015432" w:rsidP="007407E1">
            <w:pPr>
              <w:spacing w:after="0" w:line="240" w:lineRule="auto"/>
              <w:jc w:val="center"/>
              <w:rPr>
                <w:rFonts w:ascii="Arial" w:hAnsi="Arial" w:cs="Arial"/>
                <w:color w:val="FFFFFF" w:themeColor="background1"/>
                <w:sz w:val="17"/>
                <w:szCs w:val="17"/>
              </w:rPr>
            </w:pPr>
            <w:r w:rsidRPr="007F13D6">
              <w:rPr>
                <w:rFonts w:ascii="Arial" w:hAnsi="Arial" w:cs="Arial"/>
                <w:b/>
                <w:color w:val="FFFFFF" w:themeColor="background1"/>
                <w:sz w:val="17"/>
                <w:szCs w:val="17"/>
              </w:rPr>
              <w:t>Statewide total</w:t>
            </w:r>
          </w:p>
        </w:tc>
      </w:tr>
      <w:tr w:rsidR="00015432" w:rsidRPr="007F13D6" w14:paraId="28A459FA" w14:textId="77777777" w:rsidTr="007047D3">
        <w:trPr>
          <w:cantSplit/>
          <w:trHeight w:val="20"/>
          <w:jc w:val="center"/>
        </w:trPr>
        <w:tc>
          <w:tcPr>
            <w:tcW w:w="1728" w:type="dxa"/>
            <w:tcBorders>
              <w:bottom w:val="single" w:sz="4" w:space="0" w:color="B7B7B7"/>
            </w:tcBorders>
            <w:tcMar>
              <w:top w:w="70" w:type="dxa"/>
              <w:left w:w="80" w:type="dxa"/>
              <w:bottom w:w="70" w:type="dxa"/>
              <w:right w:w="80" w:type="dxa"/>
            </w:tcMar>
            <w:vAlign w:val="center"/>
          </w:tcPr>
          <w:p w14:paraId="12976355"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Opportunity</w:t>
            </w:r>
          </w:p>
        </w:tc>
        <w:tc>
          <w:tcPr>
            <w:tcW w:w="3000" w:type="dxa"/>
            <w:tcBorders>
              <w:bottom w:val="single" w:sz="4" w:space="0" w:color="B7B7B7"/>
            </w:tcBorders>
            <w:tcMar>
              <w:top w:w="70" w:type="dxa"/>
              <w:left w:w="80" w:type="dxa"/>
              <w:bottom w:w="70" w:type="dxa"/>
              <w:right w:w="80" w:type="dxa"/>
            </w:tcMar>
            <w:vAlign w:val="center"/>
          </w:tcPr>
          <w:p w14:paraId="54CA6F4C"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Low income</w:t>
            </w:r>
          </w:p>
        </w:tc>
        <w:tc>
          <w:tcPr>
            <w:tcW w:w="1580" w:type="dxa"/>
            <w:tcBorders>
              <w:bottom w:val="single" w:sz="4" w:space="0" w:color="B7B7B7"/>
            </w:tcBorders>
            <w:tcMar>
              <w:top w:w="70" w:type="dxa"/>
              <w:left w:w="80" w:type="dxa"/>
              <w:bottom w:w="70" w:type="dxa"/>
              <w:right w:w="80" w:type="dxa"/>
            </w:tcMar>
            <w:vAlign w:val="center"/>
          </w:tcPr>
          <w:p w14:paraId="751C9205"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$107.4M</w:t>
            </w:r>
          </w:p>
        </w:tc>
        <w:tc>
          <w:tcPr>
            <w:tcW w:w="1580" w:type="dxa"/>
            <w:tcBorders>
              <w:bottom w:val="single" w:sz="4" w:space="0" w:color="B7B7B7"/>
            </w:tcBorders>
            <w:tcMar>
              <w:top w:w="70" w:type="dxa"/>
              <w:left w:w="80" w:type="dxa"/>
              <w:bottom w:w="70" w:type="dxa"/>
              <w:right w:w="80" w:type="dxa"/>
            </w:tcMar>
            <w:vAlign w:val="center"/>
          </w:tcPr>
          <w:p w14:paraId="641ABABB"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$15.2M</w:t>
            </w:r>
          </w:p>
        </w:tc>
        <w:tc>
          <w:tcPr>
            <w:tcW w:w="1580" w:type="dxa"/>
            <w:tcBorders>
              <w:bottom w:val="single" w:sz="4" w:space="0" w:color="B7B7B7"/>
            </w:tcBorders>
            <w:tcMar>
              <w:top w:w="70" w:type="dxa"/>
              <w:left w:w="80" w:type="dxa"/>
              <w:bottom w:w="70" w:type="dxa"/>
              <w:right w:w="80" w:type="dxa"/>
            </w:tcMar>
            <w:vAlign w:val="center"/>
          </w:tcPr>
          <w:p w14:paraId="707A8DF1"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$122.6M</w:t>
            </w:r>
          </w:p>
        </w:tc>
      </w:tr>
      <w:tr w:rsidR="00015432" w:rsidRPr="007F13D6" w14:paraId="45EA1D8C" w14:textId="77777777" w:rsidTr="007047D3">
        <w:trPr>
          <w:cantSplit/>
          <w:trHeight w:val="20"/>
          <w:jc w:val="center"/>
        </w:trPr>
        <w:tc>
          <w:tcPr>
            <w:tcW w:w="1728" w:type="dxa"/>
            <w:tcBorders>
              <w:bottom w:val="single" w:sz="4" w:space="0" w:color="auto"/>
            </w:tcBorders>
            <w:shd w:val="clear" w:color="auto" w:fill="EAF3F8"/>
            <w:tcMar>
              <w:top w:w="70" w:type="dxa"/>
              <w:left w:w="80" w:type="dxa"/>
              <w:bottom w:w="70" w:type="dxa"/>
              <w:right w:w="80" w:type="dxa"/>
            </w:tcMar>
            <w:vAlign w:val="center"/>
          </w:tcPr>
          <w:p w14:paraId="441C9660"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Opportunity</w:t>
            </w:r>
          </w:p>
        </w:tc>
        <w:tc>
          <w:tcPr>
            <w:tcW w:w="3000" w:type="dxa"/>
            <w:tcBorders>
              <w:bottom w:val="single" w:sz="4" w:space="0" w:color="auto"/>
            </w:tcBorders>
            <w:shd w:val="clear" w:color="auto" w:fill="EAF3F8"/>
            <w:tcMar>
              <w:top w:w="70" w:type="dxa"/>
              <w:left w:w="80" w:type="dxa"/>
              <w:bottom w:w="70" w:type="dxa"/>
              <w:right w:w="80" w:type="dxa"/>
            </w:tcMar>
            <w:vAlign w:val="center"/>
          </w:tcPr>
          <w:p w14:paraId="17C1B074"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Active multilingual learner</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7C9B01DE"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$36.3M</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61A39689"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$4.1M</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5BD2ED65"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$40.4M</w:t>
            </w:r>
          </w:p>
        </w:tc>
      </w:tr>
      <w:tr w:rsidR="00015432" w:rsidRPr="007F13D6" w14:paraId="3281F30E" w14:textId="77777777" w:rsidTr="007047D3">
        <w:trPr>
          <w:cantSplit/>
          <w:trHeight w:val="20"/>
          <w:jc w:val="center"/>
        </w:trPr>
        <w:tc>
          <w:tcPr>
            <w:tcW w:w="1728" w:type="dxa"/>
            <w:tcBorders>
              <w:top w:val="single" w:sz="4" w:space="0" w:color="auto"/>
              <w:bottom w:val="single" w:sz="4" w:space="0" w:color="auto"/>
            </w:tcBorders>
            <w:tcMar>
              <w:top w:w="70" w:type="dxa"/>
              <w:left w:w="80" w:type="dxa"/>
              <w:bottom w:w="70" w:type="dxa"/>
              <w:right w:w="80" w:type="dxa"/>
            </w:tcMar>
            <w:vAlign w:val="center"/>
          </w:tcPr>
          <w:p w14:paraId="417C663E"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Opportunity total</w:t>
            </w:r>
          </w:p>
        </w:tc>
        <w:tc>
          <w:tcPr>
            <w:tcW w:w="3000" w:type="dxa"/>
            <w:tcBorders>
              <w:top w:val="single" w:sz="4" w:space="0" w:color="auto"/>
              <w:bottom w:val="single" w:sz="4" w:space="0" w:color="auto"/>
            </w:tcBorders>
            <w:tcMar>
              <w:top w:w="70" w:type="dxa"/>
              <w:left w:w="80" w:type="dxa"/>
              <w:bottom w:w="70" w:type="dxa"/>
              <w:right w:w="80" w:type="dxa"/>
            </w:tcMar>
            <w:vAlign w:val="center"/>
          </w:tcPr>
          <w:p w14:paraId="5C6B1EF4" w14:textId="77777777" w:rsidR="00015432" w:rsidRPr="007F13D6" w:rsidRDefault="00015432" w:rsidP="007407E1">
            <w:pPr>
              <w:spacing w:after="0" w:line="240" w:lineRule="auto"/>
              <w:jc w:val="center"/>
              <w:rPr>
                <w:rFonts w:ascii="Arial" w:hAnsi="Arial" w:cs="Arial"/>
                <w:sz w:val="17"/>
                <w:szCs w:val="17"/>
              </w:rPr>
            </w:pPr>
          </w:p>
        </w:tc>
        <w:tc>
          <w:tcPr>
            <w:tcW w:w="1580" w:type="dxa"/>
            <w:tcBorders>
              <w:top w:val="single" w:sz="4" w:space="0" w:color="auto"/>
              <w:bottom w:val="single" w:sz="4" w:space="0" w:color="auto"/>
            </w:tcBorders>
            <w:tcMar>
              <w:top w:w="70" w:type="dxa"/>
              <w:left w:w="80" w:type="dxa"/>
              <w:bottom w:w="70" w:type="dxa"/>
              <w:right w:w="80" w:type="dxa"/>
            </w:tcMar>
            <w:vAlign w:val="center"/>
          </w:tcPr>
          <w:p w14:paraId="148F6CF5"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$143.7M</w:t>
            </w:r>
          </w:p>
        </w:tc>
        <w:tc>
          <w:tcPr>
            <w:tcW w:w="1580" w:type="dxa"/>
            <w:tcBorders>
              <w:top w:val="single" w:sz="4" w:space="0" w:color="auto"/>
              <w:bottom w:val="single" w:sz="4" w:space="0" w:color="auto"/>
            </w:tcBorders>
            <w:tcMar>
              <w:top w:w="70" w:type="dxa"/>
              <w:left w:w="80" w:type="dxa"/>
              <w:bottom w:w="70" w:type="dxa"/>
              <w:right w:w="80" w:type="dxa"/>
            </w:tcMar>
            <w:vAlign w:val="center"/>
          </w:tcPr>
          <w:p w14:paraId="5D539F36"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$19.3M</w:t>
            </w:r>
          </w:p>
        </w:tc>
        <w:tc>
          <w:tcPr>
            <w:tcW w:w="1580" w:type="dxa"/>
            <w:tcBorders>
              <w:top w:val="single" w:sz="4" w:space="0" w:color="auto"/>
              <w:bottom w:val="single" w:sz="4" w:space="0" w:color="auto"/>
            </w:tcBorders>
            <w:tcMar>
              <w:top w:w="70" w:type="dxa"/>
              <w:left w:w="80" w:type="dxa"/>
              <w:bottom w:w="70" w:type="dxa"/>
              <w:right w:w="80" w:type="dxa"/>
            </w:tcMar>
            <w:vAlign w:val="center"/>
          </w:tcPr>
          <w:p w14:paraId="6C0FBAE6"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$163.0M</w:t>
            </w:r>
          </w:p>
        </w:tc>
      </w:tr>
      <w:tr w:rsidR="00015432" w:rsidRPr="007F13D6" w14:paraId="3EAE2D64" w14:textId="77777777" w:rsidTr="007047D3">
        <w:trPr>
          <w:cantSplit/>
          <w:trHeight w:val="20"/>
          <w:jc w:val="center"/>
        </w:trPr>
        <w:tc>
          <w:tcPr>
            <w:tcW w:w="1728"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3E563056"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Operational</w:t>
            </w:r>
          </w:p>
        </w:tc>
        <w:tc>
          <w:tcPr>
            <w:tcW w:w="300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0B891B54"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Total enrollment</w:t>
            </w:r>
          </w:p>
        </w:tc>
        <w:tc>
          <w:tcPr>
            <w:tcW w:w="158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25EA0EF4"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$79.2M</w:t>
            </w:r>
          </w:p>
        </w:tc>
        <w:tc>
          <w:tcPr>
            <w:tcW w:w="158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1F4C6B47"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$12.4M</w:t>
            </w:r>
          </w:p>
        </w:tc>
        <w:tc>
          <w:tcPr>
            <w:tcW w:w="1580" w:type="dxa"/>
            <w:tcBorders>
              <w:top w:val="single" w:sz="4" w:space="0" w:color="auto"/>
              <w:bottom w:val="single" w:sz="4" w:space="0" w:color="B7B7B7"/>
            </w:tcBorders>
            <w:shd w:val="clear" w:color="auto" w:fill="EAF3F8"/>
            <w:tcMar>
              <w:top w:w="70" w:type="dxa"/>
              <w:left w:w="80" w:type="dxa"/>
              <w:bottom w:w="70" w:type="dxa"/>
              <w:right w:w="80" w:type="dxa"/>
            </w:tcMar>
            <w:vAlign w:val="center"/>
          </w:tcPr>
          <w:p w14:paraId="51BC44F4"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$91.5M</w:t>
            </w:r>
          </w:p>
        </w:tc>
      </w:tr>
      <w:tr w:rsidR="00015432" w:rsidRPr="007F13D6" w14:paraId="38E6BAE3" w14:textId="77777777" w:rsidTr="007047D3">
        <w:trPr>
          <w:cantSplit/>
          <w:trHeight w:val="20"/>
          <w:jc w:val="center"/>
        </w:trPr>
        <w:tc>
          <w:tcPr>
            <w:tcW w:w="1728" w:type="dxa"/>
            <w:tcBorders>
              <w:bottom w:val="single" w:sz="4" w:space="0" w:color="B7B7B7"/>
            </w:tcBorders>
            <w:tcMar>
              <w:top w:w="70" w:type="dxa"/>
              <w:left w:w="80" w:type="dxa"/>
              <w:bottom w:w="70" w:type="dxa"/>
              <w:right w:w="80" w:type="dxa"/>
            </w:tcMar>
            <w:vAlign w:val="center"/>
          </w:tcPr>
          <w:p w14:paraId="3B102C9F"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lastRenderedPageBreak/>
              <w:t>Operational</w:t>
            </w:r>
          </w:p>
        </w:tc>
        <w:tc>
          <w:tcPr>
            <w:tcW w:w="3000" w:type="dxa"/>
            <w:tcBorders>
              <w:bottom w:val="single" w:sz="4" w:space="0" w:color="B7B7B7"/>
            </w:tcBorders>
            <w:tcMar>
              <w:top w:w="70" w:type="dxa"/>
              <w:left w:w="80" w:type="dxa"/>
              <w:bottom w:w="70" w:type="dxa"/>
              <w:right w:w="80" w:type="dxa"/>
            </w:tcMar>
            <w:vAlign w:val="center"/>
          </w:tcPr>
          <w:p w14:paraId="768C9AB0"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Low income</w:t>
            </w:r>
          </w:p>
        </w:tc>
        <w:tc>
          <w:tcPr>
            <w:tcW w:w="1580" w:type="dxa"/>
            <w:tcBorders>
              <w:bottom w:val="single" w:sz="4" w:space="0" w:color="B7B7B7"/>
            </w:tcBorders>
            <w:tcMar>
              <w:top w:w="70" w:type="dxa"/>
              <w:left w:w="80" w:type="dxa"/>
              <w:bottom w:w="70" w:type="dxa"/>
              <w:right w:w="80" w:type="dxa"/>
            </w:tcMar>
            <w:vAlign w:val="center"/>
          </w:tcPr>
          <w:p w14:paraId="0B17445B"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$70.5M</w:t>
            </w:r>
          </w:p>
        </w:tc>
        <w:tc>
          <w:tcPr>
            <w:tcW w:w="1580" w:type="dxa"/>
            <w:tcBorders>
              <w:bottom w:val="single" w:sz="4" w:space="0" w:color="B7B7B7"/>
            </w:tcBorders>
            <w:tcMar>
              <w:top w:w="70" w:type="dxa"/>
              <w:left w:w="80" w:type="dxa"/>
              <w:bottom w:w="70" w:type="dxa"/>
              <w:right w:w="80" w:type="dxa"/>
            </w:tcMar>
            <w:vAlign w:val="center"/>
          </w:tcPr>
          <w:p w14:paraId="16A618A0"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$10.0M</w:t>
            </w:r>
          </w:p>
        </w:tc>
        <w:tc>
          <w:tcPr>
            <w:tcW w:w="1580" w:type="dxa"/>
            <w:tcBorders>
              <w:bottom w:val="single" w:sz="4" w:space="0" w:color="B7B7B7"/>
            </w:tcBorders>
            <w:tcMar>
              <w:top w:w="70" w:type="dxa"/>
              <w:left w:w="80" w:type="dxa"/>
              <w:bottom w:w="70" w:type="dxa"/>
              <w:right w:w="80" w:type="dxa"/>
            </w:tcMar>
            <w:vAlign w:val="center"/>
          </w:tcPr>
          <w:p w14:paraId="7D0B6320"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$80.5M</w:t>
            </w:r>
          </w:p>
        </w:tc>
      </w:tr>
      <w:tr w:rsidR="00015432" w:rsidRPr="007F13D6" w14:paraId="329B017C" w14:textId="77777777" w:rsidTr="007047D3">
        <w:trPr>
          <w:cantSplit/>
          <w:trHeight w:val="20"/>
          <w:jc w:val="center"/>
        </w:trPr>
        <w:tc>
          <w:tcPr>
            <w:tcW w:w="1728" w:type="dxa"/>
            <w:tcBorders>
              <w:bottom w:val="single" w:sz="4" w:space="0" w:color="B7B7B7"/>
            </w:tcBorders>
            <w:shd w:val="clear" w:color="auto" w:fill="EAF3F8"/>
            <w:tcMar>
              <w:top w:w="70" w:type="dxa"/>
              <w:left w:w="80" w:type="dxa"/>
              <w:bottom w:w="70" w:type="dxa"/>
              <w:right w:w="80" w:type="dxa"/>
            </w:tcMar>
            <w:vAlign w:val="center"/>
          </w:tcPr>
          <w:p w14:paraId="069C5E7A"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Operational</w:t>
            </w:r>
          </w:p>
        </w:tc>
        <w:tc>
          <w:tcPr>
            <w:tcW w:w="3000" w:type="dxa"/>
            <w:tcBorders>
              <w:bottom w:val="single" w:sz="4" w:space="0" w:color="B7B7B7"/>
            </w:tcBorders>
            <w:shd w:val="clear" w:color="auto" w:fill="EAF3F8"/>
            <w:tcMar>
              <w:top w:w="70" w:type="dxa"/>
              <w:left w:w="80" w:type="dxa"/>
              <w:bottom w:w="70" w:type="dxa"/>
              <w:right w:w="80" w:type="dxa"/>
            </w:tcMar>
            <w:vAlign w:val="center"/>
          </w:tcPr>
          <w:p w14:paraId="37E110CA"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Active multilingual learner</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504DDE23"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$23.8M</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564FCCDD"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$2.7M</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4E73268E"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$26.5M</w:t>
            </w:r>
          </w:p>
        </w:tc>
      </w:tr>
      <w:tr w:rsidR="00015432" w:rsidRPr="007F13D6" w14:paraId="24453F43" w14:textId="77777777" w:rsidTr="007047D3">
        <w:trPr>
          <w:cantSplit/>
          <w:trHeight w:val="20"/>
          <w:jc w:val="center"/>
        </w:trPr>
        <w:tc>
          <w:tcPr>
            <w:tcW w:w="1728" w:type="dxa"/>
            <w:tcBorders>
              <w:bottom w:val="single" w:sz="4" w:space="0" w:color="B7B7B7"/>
            </w:tcBorders>
            <w:tcMar>
              <w:top w:w="70" w:type="dxa"/>
              <w:left w:w="80" w:type="dxa"/>
              <w:bottom w:w="70" w:type="dxa"/>
              <w:right w:w="80" w:type="dxa"/>
            </w:tcMar>
            <w:vAlign w:val="center"/>
          </w:tcPr>
          <w:p w14:paraId="7F94BB19"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Operational</w:t>
            </w:r>
          </w:p>
        </w:tc>
        <w:tc>
          <w:tcPr>
            <w:tcW w:w="3000" w:type="dxa"/>
            <w:tcBorders>
              <w:bottom w:val="single" w:sz="4" w:space="0" w:color="B7B7B7"/>
            </w:tcBorders>
            <w:tcMar>
              <w:top w:w="70" w:type="dxa"/>
              <w:left w:w="80" w:type="dxa"/>
              <w:bottom w:w="70" w:type="dxa"/>
              <w:right w:w="80" w:type="dxa"/>
            </w:tcMar>
            <w:vAlign w:val="center"/>
          </w:tcPr>
          <w:p w14:paraId="07DAB21C"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Basic special education</w:t>
            </w:r>
          </w:p>
        </w:tc>
        <w:tc>
          <w:tcPr>
            <w:tcW w:w="1580" w:type="dxa"/>
            <w:tcBorders>
              <w:bottom w:val="single" w:sz="4" w:space="0" w:color="B7B7B7"/>
            </w:tcBorders>
            <w:tcMar>
              <w:top w:w="70" w:type="dxa"/>
              <w:left w:w="80" w:type="dxa"/>
              <w:bottom w:w="70" w:type="dxa"/>
              <w:right w:w="80" w:type="dxa"/>
            </w:tcMar>
            <w:vAlign w:val="center"/>
          </w:tcPr>
          <w:p w14:paraId="6BEF91BE"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$19.1M</w:t>
            </w:r>
          </w:p>
        </w:tc>
        <w:tc>
          <w:tcPr>
            <w:tcW w:w="1580" w:type="dxa"/>
            <w:tcBorders>
              <w:bottom w:val="single" w:sz="4" w:space="0" w:color="B7B7B7"/>
            </w:tcBorders>
            <w:tcMar>
              <w:top w:w="70" w:type="dxa"/>
              <w:left w:w="80" w:type="dxa"/>
              <w:bottom w:w="70" w:type="dxa"/>
              <w:right w:w="80" w:type="dxa"/>
            </w:tcMar>
            <w:vAlign w:val="center"/>
          </w:tcPr>
          <w:p w14:paraId="60B7215B"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$2.6M</w:t>
            </w:r>
          </w:p>
        </w:tc>
        <w:tc>
          <w:tcPr>
            <w:tcW w:w="1580" w:type="dxa"/>
            <w:tcBorders>
              <w:bottom w:val="single" w:sz="4" w:space="0" w:color="B7B7B7"/>
            </w:tcBorders>
            <w:tcMar>
              <w:top w:w="70" w:type="dxa"/>
              <w:left w:w="80" w:type="dxa"/>
              <w:bottom w:w="70" w:type="dxa"/>
              <w:right w:w="80" w:type="dxa"/>
            </w:tcMar>
            <w:vAlign w:val="center"/>
          </w:tcPr>
          <w:p w14:paraId="6C87794C"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$21.7M</w:t>
            </w:r>
          </w:p>
        </w:tc>
      </w:tr>
      <w:tr w:rsidR="00015432" w:rsidRPr="007F13D6" w14:paraId="7F40AF97" w14:textId="77777777" w:rsidTr="007047D3">
        <w:trPr>
          <w:cantSplit/>
          <w:trHeight w:val="20"/>
          <w:jc w:val="center"/>
        </w:trPr>
        <w:tc>
          <w:tcPr>
            <w:tcW w:w="1728" w:type="dxa"/>
            <w:tcBorders>
              <w:bottom w:val="single" w:sz="4" w:space="0" w:color="B7B7B7"/>
            </w:tcBorders>
            <w:shd w:val="clear" w:color="auto" w:fill="EAF3F8"/>
            <w:tcMar>
              <w:top w:w="70" w:type="dxa"/>
              <w:left w:w="80" w:type="dxa"/>
              <w:bottom w:w="70" w:type="dxa"/>
              <w:right w:w="80" w:type="dxa"/>
            </w:tcMar>
            <w:vAlign w:val="center"/>
          </w:tcPr>
          <w:p w14:paraId="0F98C17D"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Operational</w:t>
            </w:r>
          </w:p>
        </w:tc>
        <w:tc>
          <w:tcPr>
            <w:tcW w:w="3000" w:type="dxa"/>
            <w:tcBorders>
              <w:bottom w:val="single" w:sz="4" w:space="0" w:color="B7B7B7"/>
            </w:tcBorders>
            <w:shd w:val="clear" w:color="auto" w:fill="EAF3F8"/>
            <w:tcMar>
              <w:top w:w="70" w:type="dxa"/>
              <w:left w:w="80" w:type="dxa"/>
              <w:bottom w:w="70" w:type="dxa"/>
              <w:right w:w="80" w:type="dxa"/>
            </w:tcMar>
            <w:vAlign w:val="center"/>
          </w:tcPr>
          <w:p w14:paraId="72438B35"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Intensive special education</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2440764D"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$13.7M</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5807402A"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$1.4M</w:t>
            </w:r>
          </w:p>
        </w:tc>
        <w:tc>
          <w:tcPr>
            <w:tcW w:w="1580" w:type="dxa"/>
            <w:tcBorders>
              <w:bottom w:val="single" w:sz="4" w:space="0" w:color="B7B7B7"/>
            </w:tcBorders>
            <w:shd w:val="clear" w:color="auto" w:fill="EAF3F8"/>
            <w:tcMar>
              <w:top w:w="70" w:type="dxa"/>
              <w:left w:w="80" w:type="dxa"/>
              <w:bottom w:w="70" w:type="dxa"/>
              <w:right w:w="80" w:type="dxa"/>
            </w:tcMar>
            <w:vAlign w:val="center"/>
          </w:tcPr>
          <w:p w14:paraId="29355D15"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$15.1M</w:t>
            </w:r>
          </w:p>
        </w:tc>
      </w:tr>
      <w:tr w:rsidR="00015432" w:rsidRPr="007F13D6" w14:paraId="624B6884" w14:textId="77777777" w:rsidTr="007047D3">
        <w:trPr>
          <w:cantSplit/>
          <w:trHeight w:val="20"/>
          <w:jc w:val="center"/>
        </w:trPr>
        <w:tc>
          <w:tcPr>
            <w:tcW w:w="1728" w:type="dxa"/>
            <w:tcBorders>
              <w:bottom w:val="single" w:sz="4" w:space="0" w:color="B7B7B7"/>
            </w:tcBorders>
            <w:tcMar>
              <w:top w:w="70" w:type="dxa"/>
              <w:left w:w="80" w:type="dxa"/>
              <w:bottom w:w="70" w:type="dxa"/>
              <w:right w:w="80" w:type="dxa"/>
            </w:tcMar>
            <w:vAlign w:val="center"/>
          </w:tcPr>
          <w:p w14:paraId="6F9D2033"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Operational</w:t>
            </w:r>
          </w:p>
        </w:tc>
        <w:tc>
          <w:tcPr>
            <w:tcW w:w="3000" w:type="dxa"/>
            <w:tcBorders>
              <w:bottom w:val="single" w:sz="4" w:space="0" w:color="B7B7B7"/>
            </w:tcBorders>
            <w:tcMar>
              <w:top w:w="70" w:type="dxa"/>
              <w:left w:w="80" w:type="dxa"/>
              <w:bottom w:w="70" w:type="dxa"/>
              <w:right w:w="80" w:type="dxa"/>
            </w:tcMar>
            <w:vAlign w:val="center"/>
          </w:tcPr>
          <w:p w14:paraId="79E9378A"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Complex special education</w:t>
            </w:r>
          </w:p>
        </w:tc>
        <w:tc>
          <w:tcPr>
            <w:tcW w:w="1580" w:type="dxa"/>
            <w:tcBorders>
              <w:bottom w:val="single" w:sz="4" w:space="0" w:color="B7B7B7"/>
            </w:tcBorders>
            <w:tcMar>
              <w:top w:w="70" w:type="dxa"/>
              <w:left w:w="80" w:type="dxa"/>
              <w:bottom w:w="70" w:type="dxa"/>
              <w:right w:w="80" w:type="dxa"/>
            </w:tcMar>
            <w:vAlign w:val="center"/>
          </w:tcPr>
          <w:p w14:paraId="0304A272"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$30.6M</w:t>
            </w:r>
          </w:p>
        </w:tc>
        <w:tc>
          <w:tcPr>
            <w:tcW w:w="1580" w:type="dxa"/>
            <w:tcBorders>
              <w:bottom w:val="single" w:sz="4" w:space="0" w:color="B7B7B7"/>
            </w:tcBorders>
            <w:tcMar>
              <w:top w:w="70" w:type="dxa"/>
              <w:left w:w="80" w:type="dxa"/>
              <w:bottom w:w="70" w:type="dxa"/>
              <w:right w:w="80" w:type="dxa"/>
            </w:tcMar>
            <w:vAlign w:val="center"/>
          </w:tcPr>
          <w:p w14:paraId="63D8A5E3"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$1.3M</w:t>
            </w:r>
          </w:p>
        </w:tc>
        <w:tc>
          <w:tcPr>
            <w:tcW w:w="1580" w:type="dxa"/>
            <w:tcBorders>
              <w:bottom w:val="single" w:sz="4" w:space="0" w:color="B7B7B7"/>
            </w:tcBorders>
            <w:tcMar>
              <w:top w:w="70" w:type="dxa"/>
              <w:left w:w="80" w:type="dxa"/>
              <w:bottom w:w="70" w:type="dxa"/>
              <w:right w:w="80" w:type="dxa"/>
            </w:tcMar>
            <w:vAlign w:val="center"/>
          </w:tcPr>
          <w:p w14:paraId="0960D155"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$31.9M</w:t>
            </w:r>
          </w:p>
        </w:tc>
      </w:tr>
      <w:tr w:rsidR="00015432" w:rsidRPr="007F13D6" w14:paraId="66D4E9BA" w14:textId="77777777" w:rsidTr="007047D3">
        <w:trPr>
          <w:cantSplit/>
          <w:trHeight w:val="20"/>
          <w:jc w:val="center"/>
        </w:trPr>
        <w:tc>
          <w:tcPr>
            <w:tcW w:w="1728" w:type="dxa"/>
            <w:tcBorders>
              <w:bottom w:val="single" w:sz="4" w:space="0" w:color="auto"/>
            </w:tcBorders>
            <w:shd w:val="clear" w:color="auto" w:fill="EAF3F8"/>
            <w:tcMar>
              <w:top w:w="70" w:type="dxa"/>
              <w:left w:w="80" w:type="dxa"/>
              <w:bottom w:w="70" w:type="dxa"/>
              <w:right w:w="80" w:type="dxa"/>
            </w:tcMar>
            <w:vAlign w:val="center"/>
          </w:tcPr>
          <w:p w14:paraId="01F58A77"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Operational</w:t>
            </w:r>
          </w:p>
        </w:tc>
        <w:tc>
          <w:tcPr>
            <w:tcW w:w="3000" w:type="dxa"/>
            <w:tcBorders>
              <w:bottom w:val="single" w:sz="4" w:space="0" w:color="auto"/>
            </w:tcBorders>
            <w:shd w:val="clear" w:color="auto" w:fill="EAF3F8"/>
            <w:tcMar>
              <w:top w:w="70" w:type="dxa"/>
              <w:left w:w="80" w:type="dxa"/>
              <w:bottom w:w="70" w:type="dxa"/>
              <w:right w:w="80" w:type="dxa"/>
            </w:tcMar>
            <w:vAlign w:val="center"/>
          </w:tcPr>
          <w:p w14:paraId="43CDAA08"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Vocational enrollment</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4400D498"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$11.4M</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6EE893F9"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$0.5M</w:t>
            </w:r>
          </w:p>
        </w:tc>
        <w:tc>
          <w:tcPr>
            <w:tcW w:w="1580" w:type="dxa"/>
            <w:tcBorders>
              <w:bottom w:val="single" w:sz="4" w:space="0" w:color="auto"/>
            </w:tcBorders>
            <w:shd w:val="clear" w:color="auto" w:fill="EAF3F8"/>
            <w:tcMar>
              <w:top w:w="70" w:type="dxa"/>
              <w:left w:w="80" w:type="dxa"/>
              <w:bottom w:w="70" w:type="dxa"/>
              <w:right w:w="80" w:type="dxa"/>
            </w:tcMar>
            <w:vAlign w:val="center"/>
          </w:tcPr>
          <w:p w14:paraId="6B819F9B"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sz w:val="17"/>
                <w:szCs w:val="17"/>
              </w:rPr>
              <w:t>$11.9M</w:t>
            </w:r>
          </w:p>
        </w:tc>
      </w:tr>
      <w:tr w:rsidR="00015432" w:rsidRPr="007F13D6" w14:paraId="38A9542B" w14:textId="77777777" w:rsidTr="007047D3">
        <w:trPr>
          <w:cantSplit/>
          <w:trHeight w:val="20"/>
          <w:jc w:val="center"/>
        </w:trPr>
        <w:tc>
          <w:tcPr>
            <w:tcW w:w="1728" w:type="dxa"/>
            <w:tcBorders>
              <w:top w:val="single" w:sz="4" w:space="0" w:color="auto"/>
              <w:bottom w:val="single" w:sz="4" w:space="0" w:color="auto"/>
            </w:tcBorders>
            <w:tcMar>
              <w:top w:w="70" w:type="dxa"/>
              <w:left w:w="80" w:type="dxa"/>
              <w:bottom w:w="70" w:type="dxa"/>
              <w:right w:w="80" w:type="dxa"/>
            </w:tcMar>
            <w:vAlign w:val="center"/>
          </w:tcPr>
          <w:p w14:paraId="11177E7B"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Operational total</w:t>
            </w:r>
          </w:p>
        </w:tc>
        <w:tc>
          <w:tcPr>
            <w:tcW w:w="3000" w:type="dxa"/>
            <w:tcBorders>
              <w:top w:val="single" w:sz="4" w:space="0" w:color="auto"/>
              <w:bottom w:val="single" w:sz="4" w:space="0" w:color="auto"/>
            </w:tcBorders>
            <w:tcMar>
              <w:top w:w="70" w:type="dxa"/>
              <w:left w:w="80" w:type="dxa"/>
              <w:bottom w:w="70" w:type="dxa"/>
              <w:right w:w="80" w:type="dxa"/>
            </w:tcMar>
            <w:vAlign w:val="center"/>
          </w:tcPr>
          <w:p w14:paraId="4D5BFC77" w14:textId="77777777" w:rsidR="00015432" w:rsidRPr="007F13D6" w:rsidRDefault="00015432" w:rsidP="007407E1">
            <w:pPr>
              <w:spacing w:after="0" w:line="240" w:lineRule="auto"/>
              <w:jc w:val="center"/>
              <w:rPr>
                <w:rFonts w:ascii="Arial" w:hAnsi="Arial" w:cs="Arial"/>
                <w:sz w:val="17"/>
                <w:szCs w:val="17"/>
              </w:rPr>
            </w:pPr>
          </w:p>
        </w:tc>
        <w:tc>
          <w:tcPr>
            <w:tcW w:w="1580" w:type="dxa"/>
            <w:tcBorders>
              <w:top w:val="single" w:sz="4" w:space="0" w:color="auto"/>
              <w:bottom w:val="single" w:sz="4" w:space="0" w:color="auto"/>
            </w:tcBorders>
            <w:tcMar>
              <w:top w:w="70" w:type="dxa"/>
              <w:left w:w="80" w:type="dxa"/>
              <w:bottom w:w="70" w:type="dxa"/>
              <w:right w:w="80" w:type="dxa"/>
            </w:tcMar>
            <w:vAlign w:val="center"/>
          </w:tcPr>
          <w:p w14:paraId="5CF13B85"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$248.3M</w:t>
            </w:r>
          </w:p>
        </w:tc>
        <w:tc>
          <w:tcPr>
            <w:tcW w:w="1580" w:type="dxa"/>
            <w:tcBorders>
              <w:top w:val="single" w:sz="4" w:space="0" w:color="auto"/>
              <w:bottom w:val="single" w:sz="4" w:space="0" w:color="auto"/>
            </w:tcBorders>
            <w:tcMar>
              <w:top w:w="70" w:type="dxa"/>
              <w:left w:w="80" w:type="dxa"/>
              <w:bottom w:w="70" w:type="dxa"/>
              <w:right w:w="80" w:type="dxa"/>
            </w:tcMar>
            <w:vAlign w:val="center"/>
          </w:tcPr>
          <w:p w14:paraId="2D853270"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$30.8M</w:t>
            </w:r>
          </w:p>
        </w:tc>
        <w:tc>
          <w:tcPr>
            <w:tcW w:w="1580" w:type="dxa"/>
            <w:tcBorders>
              <w:top w:val="single" w:sz="4" w:space="0" w:color="auto"/>
              <w:bottom w:val="single" w:sz="4" w:space="0" w:color="auto"/>
            </w:tcBorders>
            <w:tcMar>
              <w:top w:w="70" w:type="dxa"/>
              <w:left w:w="80" w:type="dxa"/>
              <w:bottom w:w="70" w:type="dxa"/>
              <w:right w:w="80" w:type="dxa"/>
            </w:tcMar>
            <w:vAlign w:val="center"/>
          </w:tcPr>
          <w:p w14:paraId="69ECB359"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$279.0268M</w:t>
            </w:r>
          </w:p>
        </w:tc>
      </w:tr>
      <w:tr w:rsidR="00015432" w:rsidRPr="007F13D6" w14:paraId="69AE1135" w14:textId="77777777" w:rsidTr="007047D3">
        <w:trPr>
          <w:cantSplit/>
          <w:trHeight w:val="20"/>
          <w:jc w:val="center"/>
        </w:trPr>
        <w:tc>
          <w:tcPr>
            <w:tcW w:w="1728" w:type="dxa"/>
            <w:tcBorders>
              <w:top w:val="single" w:sz="4" w:space="0" w:color="auto"/>
              <w:left w:val="single" w:sz="4" w:space="0" w:color="auto"/>
              <w:bottom w:val="single" w:sz="4" w:space="0" w:color="auto"/>
            </w:tcBorders>
            <w:shd w:val="clear" w:color="auto" w:fill="EAF3F8"/>
            <w:tcMar>
              <w:top w:w="70" w:type="dxa"/>
              <w:left w:w="80" w:type="dxa"/>
              <w:bottom w:w="70" w:type="dxa"/>
              <w:right w:w="80" w:type="dxa"/>
            </w:tcMar>
            <w:vAlign w:val="center"/>
          </w:tcPr>
          <w:p w14:paraId="530ED29B"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Combined total</w:t>
            </w:r>
          </w:p>
        </w:tc>
        <w:tc>
          <w:tcPr>
            <w:tcW w:w="3000" w:type="dxa"/>
            <w:tcBorders>
              <w:top w:val="single" w:sz="4" w:space="0" w:color="auto"/>
              <w:bottom w:val="single" w:sz="4" w:space="0" w:color="auto"/>
            </w:tcBorders>
            <w:shd w:val="clear" w:color="auto" w:fill="EAF3F8"/>
            <w:tcMar>
              <w:top w:w="70" w:type="dxa"/>
              <w:left w:w="80" w:type="dxa"/>
              <w:bottom w:w="70" w:type="dxa"/>
              <w:right w:w="80" w:type="dxa"/>
            </w:tcMar>
            <w:vAlign w:val="center"/>
          </w:tcPr>
          <w:p w14:paraId="7AB26E1B" w14:textId="77777777" w:rsidR="00015432" w:rsidRPr="007F13D6" w:rsidRDefault="00015432" w:rsidP="007407E1">
            <w:pPr>
              <w:spacing w:after="0" w:line="240" w:lineRule="auto"/>
              <w:jc w:val="center"/>
              <w:rPr>
                <w:rFonts w:ascii="Arial" w:hAnsi="Arial" w:cs="Arial"/>
                <w:sz w:val="17"/>
                <w:szCs w:val="17"/>
              </w:rPr>
            </w:pPr>
          </w:p>
        </w:tc>
        <w:tc>
          <w:tcPr>
            <w:tcW w:w="1580" w:type="dxa"/>
            <w:tcBorders>
              <w:top w:val="single" w:sz="4" w:space="0" w:color="auto"/>
              <w:bottom w:val="single" w:sz="4" w:space="0" w:color="auto"/>
            </w:tcBorders>
            <w:shd w:val="clear" w:color="auto" w:fill="EAF3F8"/>
            <w:tcMar>
              <w:top w:w="70" w:type="dxa"/>
              <w:left w:w="80" w:type="dxa"/>
              <w:bottom w:w="70" w:type="dxa"/>
              <w:right w:w="80" w:type="dxa"/>
            </w:tcMar>
            <w:vAlign w:val="center"/>
          </w:tcPr>
          <w:p w14:paraId="2A36EDEF"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$392.0M</w:t>
            </w:r>
          </w:p>
        </w:tc>
        <w:tc>
          <w:tcPr>
            <w:tcW w:w="1580" w:type="dxa"/>
            <w:tcBorders>
              <w:top w:val="single" w:sz="4" w:space="0" w:color="auto"/>
              <w:bottom w:val="single" w:sz="4" w:space="0" w:color="auto"/>
            </w:tcBorders>
            <w:shd w:val="clear" w:color="auto" w:fill="EAF3F8"/>
            <w:tcMar>
              <w:top w:w="70" w:type="dxa"/>
              <w:left w:w="80" w:type="dxa"/>
              <w:bottom w:w="70" w:type="dxa"/>
              <w:right w:w="80" w:type="dxa"/>
            </w:tcMar>
            <w:vAlign w:val="center"/>
          </w:tcPr>
          <w:p w14:paraId="1852A180"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$50.1M</w:t>
            </w:r>
          </w:p>
        </w:tc>
        <w:tc>
          <w:tcPr>
            <w:tcW w:w="1580" w:type="dxa"/>
            <w:tcBorders>
              <w:top w:val="single" w:sz="4" w:space="0" w:color="auto"/>
              <w:bottom w:val="single" w:sz="4" w:space="0" w:color="auto"/>
              <w:right w:val="single" w:sz="4" w:space="0" w:color="auto"/>
            </w:tcBorders>
            <w:shd w:val="clear" w:color="auto" w:fill="EAF3F8"/>
            <w:tcMar>
              <w:top w:w="70" w:type="dxa"/>
              <w:left w:w="80" w:type="dxa"/>
              <w:bottom w:w="70" w:type="dxa"/>
              <w:right w:w="80" w:type="dxa"/>
            </w:tcMar>
            <w:vAlign w:val="center"/>
          </w:tcPr>
          <w:p w14:paraId="350A5D67" w14:textId="77777777" w:rsidR="00015432" w:rsidRPr="007F13D6" w:rsidRDefault="00015432" w:rsidP="007407E1">
            <w:pPr>
              <w:spacing w:after="0" w:line="240" w:lineRule="auto"/>
              <w:jc w:val="center"/>
              <w:rPr>
                <w:rFonts w:ascii="Arial" w:hAnsi="Arial" w:cs="Arial"/>
                <w:sz w:val="17"/>
                <w:szCs w:val="17"/>
              </w:rPr>
            </w:pPr>
            <w:r w:rsidRPr="007F13D6">
              <w:rPr>
                <w:rFonts w:ascii="Arial" w:hAnsi="Arial" w:cs="Arial"/>
                <w:b/>
                <w:sz w:val="17"/>
                <w:szCs w:val="17"/>
              </w:rPr>
              <w:t>$442.0268M</w:t>
            </w:r>
          </w:p>
        </w:tc>
      </w:tr>
    </w:tbl>
    <w:p w14:paraId="55D70175" w14:textId="77777777" w:rsidR="005B7398" w:rsidRPr="007F13D6" w:rsidRDefault="005B7398" w:rsidP="00CE7AFC">
      <w:pPr>
        <w:spacing w:before="120" w:after="120" w:line="240" w:lineRule="auto"/>
        <w:rPr>
          <w:rFonts w:ascii="Arial" w:hAnsi="Arial" w:cs="Arial"/>
          <w:i/>
          <w:color w:val="666666"/>
          <w:sz w:val="16"/>
        </w:rPr>
      </w:pPr>
      <w:r w:rsidRPr="007F13D6">
        <w:rPr>
          <w:rFonts w:ascii="Arial" w:hAnsi="Arial" w:cs="Arial"/>
          <w:i/>
          <w:color w:val="666666"/>
          <w:sz w:val="16"/>
        </w:rPr>
        <w:t>Source: 08_proposed_model_funding_detail.csv; sector totals reconcile to</w:t>
      </w:r>
      <w:r w:rsidR="00AE203B" w:rsidRPr="007F13D6">
        <w:rPr>
          <w:rFonts w:ascii="Arial" w:hAnsi="Arial" w:cs="Arial"/>
          <w:i/>
          <w:color w:val="666666"/>
          <w:sz w:val="16"/>
        </w:rPr>
        <w:t xml:space="preserve"> </w:t>
      </w:r>
      <w:r w:rsidRPr="007F13D6">
        <w:rPr>
          <w:rFonts w:ascii="Arial" w:hAnsi="Arial" w:cs="Arial"/>
          <w:i/>
          <w:color w:val="666666"/>
          <w:sz w:val="16"/>
        </w:rPr>
        <w:t xml:space="preserve">11_opportunity_operational_lea_comparison.csv. </w:t>
      </w:r>
    </w:p>
    <w:p w14:paraId="345FD23A" w14:textId="77777777" w:rsidR="00235F47" w:rsidRPr="007F13D6" w:rsidRDefault="00235F47" w:rsidP="00CE7AFC">
      <w:pPr>
        <w:spacing w:before="120" w:after="120" w:line="240" w:lineRule="auto"/>
        <w:rPr>
          <w:rFonts w:ascii="Arial" w:hAnsi="Arial" w:cs="Arial"/>
          <w:b/>
          <w:color w:val="1F4E78"/>
          <w:sz w:val="18"/>
        </w:rPr>
      </w:pPr>
      <w:r w:rsidRPr="007F13D6">
        <w:rPr>
          <w:rFonts w:ascii="Arial" w:hAnsi="Arial" w:cs="Arial"/>
          <w:b/>
          <w:color w:val="1F4E78"/>
          <w:sz w:val="18"/>
        </w:rPr>
        <w:t>Figure 3. Composition of proposed weighted funding by district LEA</w:t>
      </w:r>
    </w:p>
    <w:p w14:paraId="5B10C40D" w14:textId="77777777" w:rsidR="000D1E74" w:rsidRPr="007F13D6" w:rsidRDefault="00A60837" w:rsidP="00CE7AFC">
      <w:pPr>
        <w:spacing w:before="120" w:after="120" w:line="240" w:lineRule="auto"/>
        <w:rPr>
          <w:rFonts w:ascii="Arial" w:hAnsi="Arial" w:cs="Arial"/>
        </w:rPr>
      </w:pPr>
      <w:r w:rsidRPr="007F13D6">
        <w:rPr>
          <w:rFonts w:ascii="Arial" w:hAnsi="Arial" w:cs="Arial"/>
          <w:noProof/>
        </w:rPr>
        <w:drawing>
          <wp:inline distT="0" distB="0" distL="0" distR="0" wp14:anchorId="7B9FF4AC" wp14:editId="78184492">
            <wp:extent cx="5943600" cy="4282440"/>
            <wp:effectExtent l="0" t="0" r="0" b="0"/>
            <wp:docPr id="88872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23594" name="Picture 888723594"/>
                    <pic:cNvPicPr/>
                  </pic:nvPicPr>
                  <pic:blipFill>
                    <a:blip r:embed="rId14"/>
                    <a:stretch>
                      <a:fillRect/>
                    </a:stretch>
                  </pic:blipFill>
                  <pic:spPr>
                    <a:xfrm>
                      <a:off x="0" y="0"/>
                      <a:ext cx="5943600" cy="4282440"/>
                    </a:xfrm>
                    <a:prstGeom prst="rect">
                      <a:avLst/>
                    </a:prstGeom>
                  </pic:spPr>
                </pic:pic>
              </a:graphicData>
            </a:graphic>
          </wp:inline>
        </w:drawing>
      </w:r>
    </w:p>
    <w:p w14:paraId="2D3DFD6B" w14:textId="77777777" w:rsidR="00050721" w:rsidRPr="007F13D6" w:rsidRDefault="00050721" w:rsidP="00CE7AFC">
      <w:pPr>
        <w:spacing w:before="120" w:after="120" w:line="240" w:lineRule="auto"/>
        <w:rPr>
          <w:rFonts w:ascii="Arial" w:hAnsi="Arial" w:cs="Arial"/>
        </w:rPr>
      </w:pPr>
      <w:r w:rsidRPr="007F13D6">
        <w:rPr>
          <w:rFonts w:ascii="Arial" w:hAnsi="Arial" w:cs="Arial"/>
          <w:i/>
          <w:color w:val="666666"/>
          <w:sz w:val="16"/>
        </w:rPr>
        <w:t xml:space="preserve">Source: IV&amp;V pipeline output, 08_proposed_model_funding_detail.csv. </w:t>
      </w:r>
      <w:r w:rsidR="00AE203B" w:rsidRPr="007F13D6">
        <w:rPr>
          <w:rFonts w:ascii="Arial" w:hAnsi="Arial" w:cs="Arial"/>
          <w:i/>
          <w:color w:val="666666"/>
          <w:sz w:val="16"/>
        </w:rPr>
        <w:t>Ordered</w:t>
      </w:r>
      <w:r w:rsidRPr="007F13D6">
        <w:rPr>
          <w:rFonts w:ascii="Arial" w:hAnsi="Arial" w:cs="Arial"/>
          <w:i/>
          <w:color w:val="666666"/>
          <w:sz w:val="16"/>
        </w:rPr>
        <w:t xml:space="preserve"> by combined Opportunity and Operational Funding.</w:t>
      </w:r>
    </w:p>
    <w:p w14:paraId="3E2FAB6B" w14:textId="77777777" w:rsidR="00C232BD" w:rsidRPr="007F13D6" w:rsidRDefault="00C232BD" w:rsidP="00CE7AFC">
      <w:pPr>
        <w:keepNext/>
        <w:spacing w:before="120" w:after="120" w:line="240" w:lineRule="auto"/>
        <w:rPr>
          <w:rFonts w:ascii="Arial" w:hAnsi="Arial" w:cs="Arial"/>
          <w:b/>
          <w:color w:val="1F4E78"/>
          <w:sz w:val="18"/>
        </w:rPr>
      </w:pPr>
      <w:r w:rsidRPr="007F13D6">
        <w:rPr>
          <w:rFonts w:ascii="Arial" w:hAnsi="Arial" w:cs="Arial"/>
          <w:b/>
          <w:color w:val="1F4E78"/>
          <w:sz w:val="18"/>
        </w:rPr>
        <w:lastRenderedPageBreak/>
        <w:t>Figure 4. Composition of proposed weighted funding by charter LEA</w:t>
      </w:r>
    </w:p>
    <w:p w14:paraId="45CFEE87" w14:textId="77777777" w:rsidR="003C19D9" w:rsidRPr="007F13D6" w:rsidRDefault="00A60837" w:rsidP="00CE7AFC">
      <w:pPr>
        <w:keepNext/>
        <w:spacing w:before="120" w:after="120" w:line="240" w:lineRule="auto"/>
        <w:rPr>
          <w:rFonts w:ascii="Arial" w:hAnsi="Arial" w:cs="Arial"/>
        </w:rPr>
      </w:pPr>
      <w:r w:rsidRPr="007F13D6">
        <w:rPr>
          <w:rFonts w:ascii="Arial" w:hAnsi="Arial" w:cs="Arial"/>
          <w:noProof/>
        </w:rPr>
        <w:drawing>
          <wp:inline distT="0" distB="0" distL="0" distR="0" wp14:anchorId="3580B229" wp14:editId="63F19CAA">
            <wp:extent cx="5943600" cy="4839335"/>
            <wp:effectExtent l="0" t="0" r="0" b="0"/>
            <wp:docPr id="1645588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88489" name="Picture 1645588489"/>
                    <pic:cNvPicPr/>
                  </pic:nvPicPr>
                  <pic:blipFill>
                    <a:blip r:embed="rId15"/>
                    <a:stretch>
                      <a:fillRect/>
                    </a:stretch>
                  </pic:blipFill>
                  <pic:spPr>
                    <a:xfrm>
                      <a:off x="0" y="0"/>
                      <a:ext cx="5943600" cy="4839335"/>
                    </a:xfrm>
                    <a:prstGeom prst="rect">
                      <a:avLst/>
                    </a:prstGeom>
                  </pic:spPr>
                </pic:pic>
              </a:graphicData>
            </a:graphic>
          </wp:inline>
        </w:drawing>
      </w:r>
    </w:p>
    <w:p w14:paraId="54FE95E5" w14:textId="77777777" w:rsidR="00DD245B" w:rsidRPr="007F13D6" w:rsidRDefault="00A266C4" w:rsidP="00CE7AFC">
      <w:pPr>
        <w:spacing w:before="120" w:after="120" w:line="240" w:lineRule="auto"/>
        <w:rPr>
          <w:rFonts w:ascii="Arial" w:hAnsi="Arial" w:cs="Arial"/>
          <w:i/>
          <w:color w:val="666666"/>
          <w:sz w:val="16"/>
        </w:rPr>
      </w:pPr>
      <w:r w:rsidRPr="007F13D6">
        <w:rPr>
          <w:rFonts w:ascii="Arial" w:hAnsi="Arial" w:cs="Arial"/>
          <w:i/>
          <w:color w:val="666666"/>
          <w:sz w:val="16"/>
        </w:rPr>
        <w:t>Source: IV&amp;V pipeline output, 08_proposed_model_funding_detail.csv. LEAs are ordered by combined Opportunity and Operational Funding. BASSE is included and DAFB is excluded.</w:t>
      </w:r>
    </w:p>
    <w:tbl>
      <w:tblPr>
        <w:tblW w:w="0" w:type="auto"/>
        <w:jc w:val="center"/>
        <w:tblLook w:val="04A0" w:firstRow="1" w:lastRow="0" w:firstColumn="1" w:lastColumn="0" w:noHBand="0" w:noVBand="1"/>
      </w:tblPr>
      <w:tblGrid>
        <w:gridCol w:w="9340"/>
      </w:tblGrid>
      <w:tr w:rsidR="00285824" w:rsidRPr="007F13D6" w14:paraId="50BE8FD2" w14:textId="77777777">
        <w:trPr>
          <w:jc w:val="center"/>
        </w:trPr>
        <w:tc>
          <w:tcPr>
            <w:tcW w:w="964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40" w:type="dxa"/>
              <w:bottom w:w="110" w:type="dxa"/>
              <w:right w:w="140" w:type="dxa"/>
            </w:tcMar>
          </w:tcPr>
          <w:p w14:paraId="45C95EC3" w14:textId="77777777" w:rsidR="00285824" w:rsidRPr="007F13D6" w:rsidRDefault="00285824" w:rsidP="00CE7AFC">
            <w:pPr>
              <w:spacing w:before="120" w:after="120" w:line="240" w:lineRule="auto"/>
              <w:rPr>
                <w:rFonts w:ascii="Arial" w:hAnsi="Arial" w:cs="Arial"/>
              </w:rPr>
            </w:pPr>
            <w:r w:rsidRPr="007F13D6">
              <w:rPr>
                <w:rFonts w:ascii="Arial" w:hAnsi="Arial" w:cs="Arial"/>
                <w:b/>
                <w:color w:val="1F4E78"/>
              </w:rPr>
              <w:t>Note</w:t>
            </w:r>
          </w:p>
          <w:p w14:paraId="5945403F" w14:textId="77777777" w:rsidR="00285824" w:rsidRPr="007F13D6" w:rsidRDefault="004844BF" w:rsidP="00CE7AFC">
            <w:pPr>
              <w:spacing w:before="120" w:after="120" w:line="240" w:lineRule="auto"/>
              <w:rPr>
                <w:rFonts w:ascii="Arial" w:hAnsi="Arial" w:cs="Arial"/>
              </w:rPr>
            </w:pPr>
            <w:r w:rsidRPr="007F13D6">
              <w:rPr>
                <w:rFonts w:ascii="Arial" w:hAnsi="Arial" w:cs="Arial"/>
                <w:color w:val="000000"/>
                <w:sz w:val="19"/>
              </w:rPr>
              <w:t>BASSE receives approximately $0.4 million in proposed Opportunity and Operational Funding, or 0.8% of charter allocations. It is included in the SY 2025–26 scope but will not operate in SY 2026–27, so this amount should not be interpreted as a future allocation. Excluding BASSE in a later year would redistribute the fixed statewide pools among the remaining eligible LEAs through recalculated weighted rates</w:t>
            </w:r>
            <w:r w:rsidR="00285824" w:rsidRPr="007F13D6">
              <w:rPr>
                <w:rFonts w:ascii="Arial" w:hAnsi="Arial" w:cs="Arial"/>
                <w:color w:val="000000"/>
                <w:sz w:val="19"/>
              </w:rPr>
              <w:t>.</w:t>
            </w:r>
          </w:p>
        </w:tc>
      </w:tr>
    </w:tbl>
    <w:p w14:paraId="39A04A73" w14:textId="77777777" w:rsidR="003D7865" w:rsidRPr="007F13D6" w:rsidRDefault="003D7865" w:rsidP="00CE7AFC">
      <w:pPr>
        <w:pStyle w:val="BodyText"/>
        <w:spacing w:before="120" w:line="240" w:lineRule="auto"/>
        <w:rPr>
          <w:rFonts w:ascii="Arial" w:hAnsi="Arial" w:cs="Arial"/>
        </w:rPr>
      </w:pPr>
      <w:r w:rsidRPr="007F13D6">
        <w:rPr>
          <w:rFonts w:ascii="Arial" w:hAnsi="Arial" w:cs="Arial"/>
        </w:rPr>
        <w:t>The charts show that allocation size generally tracks enrollment scale across the 43 LEAs (Spearman’s ρ = 0.93). Differences in weighted student composition, however, can move an LEA’s funding rank above or below what its enrollment size alone would suggest.</w:t>
      </w:r>
    </w:p>
    <w:p w14:paraId="5554EB7A" w14:textId="77777777" w:rsidR="00CE0D8F" w:rsidRPr="007F13D6" w:rsidRDefault="00CE0D8F" w:rsidP="00CE7AFC">
      <w:pPr>
        <w:pStyle w:val="BodyText"/>
        <w:spacing w:before="120" w:line="240" w:lineRule="auto"/>
        <w:rPr>
          <w:rFonts w:ascii="Arial" w:hAnsi="Arial" w:cs="Arial"/>
        </w:rPr>
      </w:pPr>
      <w:r w:rsidRPr="007F13D6">
        <w:rPr>
          <w:rFonts w:ascii="Arial" w:hAnsi="Arial" w:cs="Arial"/>
        </w:rPr>
        <w:t xml:space="preserve">Among districts, the relationship is especially strong (ρ = 0.94). Red Clay ranks first in enrollment and second in weighted funding, </w:t>
      </w:r>
      <w:r w:rsidR="00D46674" w:rsidRPr="007F13D6">
        <w:rPr>
          <w:rFonts w:ascii="Arial" w:hAnsi="Arial" w:cs="Arial"/>
        </w:rPr>
        <w:t>and</w:t>
      </w:r>
      <w:r w:rsidRPr="007F13D6">
        <w:rPr>
          <w:rFonts w:ascii="Arial" w:hAnsi="Arial" w:cs="Arial"/>
        </w:rPr>
        <w:t xml:space="preserve"> Christina ranks third in enrollment but first in funding. Appoquinimink is the clearest exception: it ranks second in enrollment but seventh in funding, indicating that its weighted student composition produces a smaller allocation than its enrollment rank alone would suggest. Conversely, Capital ranks ninth in enrollment but sixth in funding.</w:t>
      </w:r>
    </w:p>
    <w:p w14:paraId="35DA8F06" w14:textId="77777777" w:rsidR="00BE2B3F" w:rsidRPr="007F13D6" w:rsidRDefault="00CE0D8F" w:rsidP="00CE7AFC">
      <w:pPr>
        <w:pStyle w:val="BodyText"/>
        <w:spacing w:before="120" w:line="240" w:lineRule="auto"/>
        <w:rPr>
          <w:rFonts w:ascii="Arial" w:hAnsi="Arial" w:cs="Arial"/>
        </w:rPr>
      </w:pPr>
      <w:r w:rsidRPr="007F13D6">
        <w:rPr>
          <w:rFonts w:ascii="Arial" w:hAnsi="Arial" w:cs="Arial"/>
        </w:rPr>
        <w:t xml:space="preserve">Among charters, the relationship is </w:t>
      </w:r>
      <w:r w:rsidR="004844BF" w:rsidRPr="007F13D6">
        <w:rPr>
          <w:rFonts w:ascii="Arial" w:hAnsi="Arial" w:cs="Arial"/>
        </w:rPr>
        <w:t xml:space="preserve">also </w:t>
      </w:r>
      <w:r w:rsidRPr="007F13D6">
        <w:rPr>
          <w:rFonts w:ascii="Arial" w:hAnsi="Arial" w:cs="Arial"/>
        </w:rPr>
        <w:t xml:space="preserve">positive but less consistent (ρ = 0.69). Newark ranks first in enrollment and third in weighted funding, </w:t>
      </w:r>
      <w:r w:rsidR="00D46674" w:rsidRPr="007F13D6">
        <w:rPr>
          <w:rFonts w:ascii="Arial" w:hAnsi="Arial" w:cs="Arial"/>
        </w:rPr>
        <w:t>and</w:t>
      </w:r>
      <w:r w:rsidRPr="007F13D6">
        <w:rPr>
          <w:rFonts w:ascii="Arial" w:hAnsi="Arial" w:cs="Arial"/>
        </w:rPr>
        <w:t xml:space="preserve"> Odyssey and ASPIRA rank second and third in enrollment </w:t>
      </w:r>
      <w:r w:rsidRPr="007F13D6">
        <w:rPr>
          <w:rFonts w:ascii="Arial" w:hAnsi="Arial" w:cs="Arial"/>
        </w:rPr>
        <w:lastRenderedPageBreak/>
        <w:t>but first and second in funding. Charter School of Wilmington is the clearest exception: it ranks sixth in enrollment but 21st in funding. Conversely, Edison ranks 14th in enrollment but fifth in funding.</w:t>
      </w:r>
    </w:p>
    <w:tbl>
      <w:tblPr>
        <w:tblW w:w="9360" w:type="dxa"/>
        <w:jc w:val="center"/>
        <w:tblLayout w:type="fixed"/>
        <w:tblLook w:val="04A0" w:firstRow="1" w:lastRow="0" w:firstColumn="1" w:lastColumn="0" w:noHBand="0" w:noVBand="1"/>
      </w:tblPr>
      <w:tblGrid>
        <w:gridCol w:w="9360"/>
      </w:tblGrid>
      <w:tr w:rsidR="00BE2B3F" w:rsidRPr="007F13D6" w14:paraId="5B4ABEE9" w14:textId="77777777">
        <w:trPr>
          <w:jc w:val="center"/>
        </w:trPr>
        <w:tc>
          <w:tcPr>
            <w:tcW w:w="9360" w:type="dxa"/>
            <w:tcBorders>
              <w:top w:val="single" w:sz="8" w:space="0" w:color="D6A84B"/>
              <w:left w:val="single" w:sz="8" w:space="0" w:color="D6A84B"/>
              <w:bottom w:val="single" w:sz="8" w:space="0" w:color="D6A84B"/>
              <w:right w:val="single" w:sz="8" w:space="0" w:color="D6A84B"/>
            </w:tcBorders>
            <w:shd w:val="clear" w:color="auto" w:fill="FFF4CE"/>
            <w:tcMar>
              <w:top w:w="110" w:type="dxa"/>
              <w:left w:w="150" w:type="dxa"/>
              <w:bottom w:w="110" w:type="dxa"/>
              <w:right w:w="150" w:type="dxa"/>
            </w:tcMar>
          </w:tcPr>
          <w:p w14:paraId="1CAD9BA5" w14:textId="77777777" w:rsidR="00BE2B3F" w:rsidRPr="007F13D6" w:rsidRDefault="00BE2B3F" w:rsidP="00CE7AFC">
            <w:pPr>
              <w:spacing w:before="120" w:after="120" w:line="240" w:lineRule="auto"/>
              <w:rPr>
                <w:rFonts w:ascii="Arial" w:hAnsi="Arial" w:cs="Arial"/>
              </w:rPr>
            </w:pPr>
            <w:r w:rsidRPr="007F13D6">
              <w:rPr>
                <w:rFonts w:ascii="Arial" w:hAnsi="Arial" w:cs="Arial"/>
                <w:b/>
                <w:color w:val="1F4E78"/>
                <w:sz w:val="19"/>
              </w:rPr>
              <w:t>Interpretation guardrail</w:t>
            </w:r>
          </w:p>
          <w:p w14:paraId="4B38C0D6" w14:textId="77777777" w:rsidR="00BE2B3F" w:rsidRPr="007F13D6" w:rsidRDefault="00BE2B3F" w:rsidP="00CE7AFC">
            <w:pPr>
              <w:spacing w:before="120" w:after="120" w:line="240" w:lineRule="auto"/>
              <w:rPr>
                <w:rFonts w:ascii="Arial" w:hAnsi="Arial" w:cs="Arial"/>
              </w:rPr>
            </w:pPr>
            <w:r w:rsidRPr="007F13D6">
              <w:rPr>
                <w:rFonts w:ascii="Arial" w:hAnsi="Arial" w:cs="Arial"/>
                <w:sz w:val="18"/>
              </w:rPr>
              <w:t>The component counts are not mutually exclusive. A student may contribute to more than one weighted category, and low-income and active multilingual learner counts generate separate components within both Opportunity and Operational Funding. The chart segments therefore represent formula components, not distinct student groups or separate funding pools. These figures describe proposed allocations only. They do not show a current-versus-proposed change because no confirmed current analogues were identified in or provided to the IV&amp;V process.</w:t>
            </w:r>
          </w:p>
        </w:tc>
      </w:tr>
    </w:tbl>
    <w:p w14:paraId="3443FDA7" w14:textId="143E0B5D" w:rsidR="000942D5" w:rsidRPr="007F13D6" w:rsidRDefault="00500E31" w:rsidP="00CE7AFC">
      <w:pPr>
        <w:pStyle w:val="Heading2"/>
        <w:spacing w:before="120" w:after="120" w:line="240" w:lineRule="auto"/>
        <w:rPr>
          <w:rFonts w:ascii="Arial" w:hAnsi="Arial" w:cs="Arial"/>
        </w:rPr>
      </w:pPr>
      <w:bookmarkStart w:id="28" w:name="_Toc237512563"/>
      <w:r w:rsidRPr="007F13D6">
        <w:rPr>
          <w:rFonts w:ascii="Arial" w:hAnsi="Arial" w:cs="Arial"/>
        </w:rPr>
        <w:t xml:space="preserve">4.6 Current model </w:t>
      </w:r>
      <w:r w:rsidR="0098212F" w:rsidRPr="007F13D6">
        <w:rPr>
          <w:rFonts w:ascii="Arial" w:hAnsi="Arial" w:cs="Arial"/>
        </w:rPr>
        <w:t>O</w:t>
      </w:r>
      <w:r w:rsidRPr="007F13D6">
        <w:rPr>
          <w:rFonts w:ascii="Arial" w:hAnsi="Arial" w:cs="Arial"/>
        </w:rPr>
        <w:t xml:space="preserve">pportunity and </w:t>
      </w:r>
      <w:r w:rsidR="0098212F" w:rsidRPr="007F13D6">
        <w:rPr>
          <w:rFonts w:ascii="Arial" w:hAnsi="Arial" w:cs="Arial"/>
        </w:rPr>
        <w:t>O</w:t>
      </w:r>
      <w:r w:rsidRPr="007F13D6">
        <w:rPr>
          <w:rFonts w:ascii="Arial" w:hAnsi="Arial" w:cs="Arial"/>
        </w:rPr>
        <w:t xml:space="preserve">perational </w:t>
      </w:r>
      <w:r w:rsidR="0098212F" w:rsidRPr="007F13D6">
        <w:rPr>
          <w:rFonts w:ascii="Arial" w:hAnsi="Arial" w:cs="Arial"/>
        </w:rPr>
        <w:t>F</w:t>
      </w:r>
      <w:r w:rsidRPr="007F13D6">
        <w:rPr>
          <w:rFonts w:ascii="Arial" w:hAnsi="Arial" w:cs="Arial"/>
        </w:rPr>
        <w:t>unding analogues</w:t>
      </w:r>
      <w:bookmarkEnd w:id="28"/>
    </w:p>
    <w:p w14:paraId="7DD93F10" w14:textId="77777777" w:rsidR="00145DCF" w:rsidRPr="007F13D6" w:rsidRDefault="00145DCF" w:rsidP="00CE7AFC">
      <w:pPr>
        <w:spacing w:before="120" w:after="120" w:line="240" w:lineRule="auto"/>
        <w:rPr>
          <w:rFonts w:ascii="Arial" w:hAnsi="Arial" w:cs="Arial"/>
        </w:rPr>
      </w:pPr>
      <w:r w:rsidRPr="007F13D6">
        <w:rPr>
          <w:rFonts w:ascii="Arial" w:hAnsi="Arial" w:cs="Arial"/>
        </w:rPr>
        <w:t>A complete current-versus-proposed comparison of Opportunity and Operational Funding requires identifying which existing funding streams are intended to serve as their current-model analogues. The IV&amp;V requested this mapping, including any available LEA-level allocations, through written correspondence and subsequent in-person discussions with the DOE School Finance Office and other involved parties.</w:t>
      </w:r>
    </w:p>
    <w:p w14:paraId="6BBC9D2F" w14:textId="77777777" w:rsidR="00145DCF" w:rsidRPr="007F13D6" w:rsidRDefault="00145DCF" w:rsidP="00CE7AFC">
      <w:pPr>
        <w:spacing w:before="120" w:after="120" w:line="240" w:lineRule="auto"/>
        <w:rPr>
          <w:rFonts w:ascii="Arial" w:hAnsi="Arial" w:cs="Arial"/>
        </w:rPr>
      </w:pPr>
      <w:r w:rsidRPr="007F13D6">
        <w:rPr>
          <w:rFonts w:ascii="Arial" w:hAnsi="Arial" w:cs="Arial"/>
        </w:rPr>
        <w:t>DOE indicated that this crosswalk was not established when the proposed formula was developed and that DOE, OMB, and CGO are still determining how the existing 32 funding streams should map into the proposed funding structure. As of this analysis, that work remains in progress, and an authoritative mapping or LEA-level allocation has not yet been identified for use in the IV&amp;V.</w:t>
      </w:r>
    </w:p>
    <w:p w14:paraId="39F8CEAC" w14:textId="64132432" w:rsidR="00500E31" w:rsidRPr="007F13D6" w:rsidRDefault="00145DCF" w:rsidP="00CE7AFC">
      <w:pPr>
        <w:spacing w:before="120" w:after="120" w:line="240" w:lineRule="auto"/>
        <w:rPr>
          <w:rFonts w:ascii="Arial" w:hAnsi="Arial" w:cs="Arial"/>
        </w:rPr>
      </w:pPr>
      <w:r w:rsidRPr="007F13D6">
        <w:rPr>
          <w:rFonts w:ascii="Arial" w:hAnsi="Arial" w:cs="Arial"/>
        </w:rPr>
        <w:t>The IV&amp;V therefore does not construct its own analogue or treat unavailable current amounts as zero. Current-versus-proposed Opportunity and Operational Funding differences remain not yet estimable pending an authoritative crosswalk. The proposed $163.0 million Opportunity Funding and $279.0 million Operational Funding pools can be reproduced and analyzed independently, but they should not be interpreted as increases over current funding until the corresponding current funding sources are defined.</w:t>
      </w:r>
    </w:p>
    <w:p w14:paraId="19E6C49D" w14:textId="77777777" w:rsidR="00500E31" w:rsidRPr="007F13D6" w:rsidRDefault="00500E31" w:rsidP="00CE7AFC">
      <w:pPr>
        <w:pStyle w:val="Heading1"/>
        <w:spacing w:before="120" w:after="120" w:line="240" w:lineRule="auto"/>
        <w:rPr>
          <w:rFonts w:ascii="Arial" w:hAnsi="Arial" w:cs="Arial"/>
        </w:rPr>
      </w:pPr>
    </w:p>
    <w:p w14:paraId="4892CBB8" w14:textId="77777777" w:rsidR="00500E31" w:rsidRPr="007F13D6" w:rsidRDefault="00500E31" w:rsidP="00CE7AFC">
      <w:pPr>
        <w:pStyle w:val="Heading1"/>
        <w:spacing w:before="120" w:after="120" w:line="240" w:lineRule="auto"/>
        <w:rPr>
          <w:rFonts w:ascii="Arial" w:hAnsi="Arial" w:cs="Arial"/>
        </w:rPr>
      </w:pPr>
    </w:p>
    <w:p w14:paraId="4929C84E" w14:textId="77777777" w:rsidR="00500E31" w:rsidRPr="007F13D6" w:rsidRDefault="00500E31" w:rsidP="00CE7AFC">
      <w:pPr>
        <w:pStyle w:val="Heading1"/>
        <w:spacing w:before="120" w:after="120" w:line="240" w:lineRule="auto"/>
        <w:rPr>
          <w:rFonts w:ascii="Arial" w:hAnsi="Arial" w:cs="Arial"/>
        </w:rPr>
      </w:pPr>
    </w:p>
    <w:p w14:paraId="27E489B5" w14:textId="77777777" w:rsidR="00500E31" w:rsidRPr="007F13D6" w:rsidRDefault="00500E31" w:rsidP="00CE7AFC">
      <w:pPr>
        <w:spacing w:before="120" w:after="120" w:line="240" w:lineRule="auto"/>
        <w:rPr>
          <w:rFonts w:ascii="Arial" w:hAnsi="Arial" w:cs="Arial"/>
        </w:rPr>
      </w:pPr>
    </w:p>
    <w:p w14:paraId="28ACB07B" w14:textId="77777777" w:rsidR="00500E31" w:rsidRPr="007F13D6" w:rsidRDefault="00500E31" w:rsidP="00CE7AFC">
      <w:pPr>
        <w:spacing w:before="120" w:after="120" w:line="240" w:lineRule="auto"/>
        <w:rPr>
          <w:rFonts w:ascii="Arial" w:hAnsi="Arial" w:cs="Arial"/>
        </w:rPr>
      </w:pPr>
    </w:p>
    <w:p w14:paraId="556418FE" w14:textId="77777777" w:rsidR="00500E31" w:rsidRPr="007F13D6" w:rsidRDefault="00500E31" w:rsidP="00CE7AFC">
      <w:pPr>
        <w:spacing w:before="120" w:after="120" w:line="240" w:lineRule="auto"/>
        <w:rPr>
          <w:rFonts w:ascii="Arial" w:hAnsi="Arial" w:cs="Arial"/>
        </w:rPr>
      </w:pPr>
    </w:p>
    <w:p w14:paraId="65477C72" w14:textId="77777777" w:rsidR="00500E31" w:rsidRPr="007F13D6" w:rsidRDefault="00500E31" w:rsidP="00CE7AFC">
      <w:pPr>
        <w:spacing w:before="120" w:after="120" w:line="240" w:lineRule="auto"/>
        <w:rPr>
          <w:rFonts w:ascii="Arial" w:hAnsi="Arial" w:cs="Arial"/>
        </w:rPr>
      </w:pPr>
    </w:p>
    <w:p w14:paraId="393BDA55" w14:textId="77777777" w:rsidR="00500E31" w:rsidRPr="007F13D6" w:rsidRDefault="00500E31" w:rsidP="00CE7AFC">
      <w:pPr>
        <w:spacing w:before="120" w:after="120" w:line="240" w:lineRule="auto"/>
        <w:rPr>
          <w:rFonts w:ascii="Arial" w:hAnsi="Arial" w:cs="Arial"/>
        </w:rPr>
      </w:pPr>
    </w:p>
    <w:p w14:paraId="06601B3F" w14:textId="77777777" w:rsidR="00500E31" w:rsidRPr="007F13D6" w:rsidRDefault="00500E31" w:rsidP="00CE7AFC">
      <w:pPr>
        <w:spacing w:before="120" w:after="120" w:line="240" w:lineRule="auto"/>
        <w:rPr>
          <w:rFonts w:ascii="Arial" w:hAnsi="Arial" w:cs="Arial"/>
        </w:rPr>
      </w:pPr>
    </w:p>
    <w:p w14:paraId="552CF09B" w14:textId="77777777" w:rsidR="00500E31" w:rsidRPr="007F13D6" w:rsidRDefault="00500E31" w:rsidP="00CE7AFC">
      <w:pPr>
        <w:spacing w:before="120" w:after="120" w:line="240" w:lineRule="auto"/>
        <w:rPr>
          <w:rFonts w:ascii="Arial" w:hAnsi="Arial" w:cs="Arial"/>
        </w:rPr>
      </w:pPr>
    </w:p>
    <w:p w14:paraId="6E36E7A4" w14:textId="77777777" w:rsidR="00500E31" w:rsidRPr="007F13D6" w:rsidRDefault="00500E31" w:rsidP="00CE7AFC">
      <w:pPr>
        <w:spacing w:before="120" w:after="120" w:line="240" w:lineRule="auto"/>
        <w:rPr>
          <w:rFonts w:ascii="Arial" w:hAnsi="Arial" w:cs="Arial"/>
        </w:rPr>
      </w:pPr>
    </w:p>
    <w:p w14:paraId="72EE16FE" w14:textId="77777777" w:rsidR="00500E31" w:rsidRPr="007F13D6" w:rsidRDefault="00500E31" w:rsidP="00CE7AFC">
      <w:pPr>
        <w:spacing w:before="120" w:after="120" w:line="240" w:lineRule="auto"/>
        <w:rPr>
          <w:rFonts w:ascii="Arial" w:hAnsi="Arial" w:cs="Arial"/>
        </w:rPr>
      </w:pPr>
    </w:p>
    <w:p w14:paraId="7ED748E0" w14:textId="77777777" w:rsidR="00500E31" w:rsidRPr="007F13D6" w:rsidRDefault="00500E31" w:rsidP="00CE7AFC">
      <w:pPr>
        <w:spacing w:before="120" w:after="120" w:line="240" w:lineRule="auto"/>
        <w:rPr>
          <w:rFonts w:ascii="Arial" w:hAnsi="Arial" w:cs="Arial"/>
        </w:rPr>
      </w:pPr>
    </w:p>
    <w:p w14:paraId="63816D38" w14:textId="77777777" w:rsidR="00500E31" w:rsidRPr="007F13D6" w:rsidRDefault="00500E31" w:rsidP="00CE7AFC">
      <w:pPr>
        <w:spacing w:before="120" w:after="120" w:line="240" w:lineRule="auto"/>
        <w:rPr>
          <w:rFonts w:ascii="Arial" w:hAnsi="Arial" w:cs="Arial"/>
        </w:rPr>
      </w:pPr>
    </w:p>
    <w:p w14:paraId="0EECA253" w14:textId="02CBF019" w:rsidR="00726538" w:rsidRPr="007F13D6" w:rsidRDefault="00D97DDD" w:rsidP="00CE7AFC">
      <w:pPr>
        <w:pStyle w:val="Heading1"/>
        <w:spacing w:before="120" w:after="120" w:line="240" w:lineRule="auto"/>
        <w:rPr>
          <w:rFonts w:ascii="Arial" w:hAnsi="Arial" w:cs="Arial"/>
        </w:rPr>
      </w:pPr>
      <w:bookmarkStart w:id="29" w:name="_Toc237512564"/>
      <w:r w:rsidRPr="007F13D6">
        <w:rPr>
          <w:rFonts w:ascii="Arial" w:hAnsi="Arial" w:cs="Arial"/>
        </w:rPr>
        <w:lastRenderedPageBreak/>
        <w:t>5.</w:t>
      </w:r>
      <w:r w:rsidR="00954852" w:rsidRPr="007F13D6">
        <w:rPr>
          <w:rFonts w:ascii="Arial" w:hAnsi="Arial" w:cs="Arial"/>
        </w:rPr>
        <w:t xml:space="preserve"> How Does the IV&amp;V Proposed Model Compare with the PEFC Workbook?</w:t>
      </w:r>
      <w:bookmarkEnd w:id="29"/>
    </w:p>
    <w:p w14:paraId="271BFBAF" w14:textId="77777777" w:rsidR="00BD1A22" w:rsidRPr="007F13D6" w:rsidRDefault="00BD1A22" w:rsidP="00CE7AFC">
      <w:pPr>
        <w:pStyle w:val="BodyText"/>
        <w:keepLines/>
        <w:spacing w:before="120" w:line="240" w:lineRule="auto"/>
        <w:rPr>
          <w:rFonts w:ascii="Arial" w:hAnsi="Arial" w:cs="Arial"/>
        </w:rPr>
      </w:pPr>
      <w:r w:rsidRPr="007F13D6">
        <w:rPr>
          <w:rFonts w:ascii="Arial" w:hAnsi="Arial" w:cs="Arial"/>
        </w:rPr>
        <w:t>This section compares two implementations of the proposed model: the PEFC workbook as presented and the independently reproduced IV&amp;V model. The recreated current model is not part of this validation comparison. The workbook is not treated as an unquestioned target, and differences are not automatically assumed to be errors. Instead, the comparison identifies where the implementations diverge, explains the practical effects, and isolates rules or scope decisions requiring confirmation.</w:t>
      </w:r>
    </w:p>
    <w:p w14:paraId="77931E85" w14:textId="77777777" w:rsidR="00BD1A22" w:rsidRPr="007F13D6" w:rsidRDefault="00BD1A22" w:rsidP="00CE7AFC">
      <w:pPr>
        <w:pStyle w:val="BodyText"/>
        <w:keepLines/>
        <w:spacing w:before="120" w:line="240" w:lineRule="auto"/>
        <w:rPr>
          <w:rFonts w:ascii="Arial" w:hAnsi="Arial" w:cs="Arial"/>
        </w:rPr>
      </w:pPr>
      <w:r w:rsidRPr="007F13D6">
        <w:rPr>
          <w:rFonts w:ascii="Arial" w:hAnsi="Arial" w:cs="Arial"/>
        </w:rPr>
        <w:t>The proposed model’s overall structure can be reproduced, but the implementations are not identical. The most meaningful differences involve which school calculation units receive positions, how selected thresholds and fractional awards are applied, and which organizations are included in each funding section.</w:t>
      </w:r>
    </w:p>
    <w:p w14:paraId="6206CC20" w14:textId="6BE61C6F" w:rsidR="002265D7" w:rsidRPr="007F13D6" w:rsidRDefault="00781F47" w:rsidP="00CE7AFC">
      <w:pPr>
        <w:pStyle w:val="BodyText"/>
        <w:keepLines/>
        <w:spacing w:before="120" w:line="240" w:lineRule="auto"/>
        <w:rPr>
          <w:rFonts w:ascii="Arial" w:hAnsi="Arial" w:cs="Arial"/>
        </w:rPr>
      </w:pPr>
      <w:r w:rsidRPr="007F13D6">
        <w:rPr>
          <w:rFonts w:ascii="Arial" w:hAnsi="Arial" w:cs="Arial"/>
        </w:rPr>
        <w:t xml:space="preserve">Overall, the two implementations produce closely aligned totals when restricted to the same 43-LEA scope. The aligned PEFC implementation totals approximately $2.054 billion, compared with $2.058 billion under the IV&amp;V model, a difference of approximately $3.72 million, or 0.18%. On the PEFC side, DAFB’s approximately $5.12 million displayed workbook allocation is removed from the aligned comparison. On the IV&amp;V side, DAFB is excluded from </w:t>
      </w:r>
      <w:proofErr w:type="gramStart"/>
      <w:r w:rsidRPr="007F13D6">
        <w:rPr>
          <w:rFonts w:ascii="Arial" w:hAnsi="Arial" w:cs="Arial"/>
        </w:rPr>
        <w:t>scope</w:t>
      </w:r>
      <w:proofErr w:type="gramEnd"/>
      <w:r w:rsidRPr="007F13D6">
        <w:rPr>
          <w:rFonts w:ascii="Arial" w:hAnsi="Arial" w:cs="Arial"/>
        </w:rPr>
        <w:t xml:space="preserve"> and the Opportunity and Operational rates are recalculated so the full fixed statewide pools are redistributed across the remaining 43 LEAs. Most of the remaining difference occurs in Base Funding</w:t>
      </w:r>
      <w:r w:rsidR="002265D7" w:rsidRPr="007F13D6">
        <w:rPr>
          <w:rFonts w:ascii="Arial" w:hAnsi="Arial" w:cs="Arial"/>
        </w:rPr>
        <w:t>.</w:t>
      </w:r>
    </w:p>
    <w:p w14:paraId="39D1D28C" w14:textId="326B643B" w:rsidR="00726538" w:rsidRPr="007F13D6" w:rsidRDefault="00D97DDD" w:rsidP="00CE7AFC">
      <w:pPr>
        <w:pStyle w:val="Heading2"/>
        <w:spacing w:before="120" w:after="120" w:line="240" w:lineRule="auto"/>
        <w:rPr>
          <w:rFonts w:ascii="Arial" w:hAnsi="Arial" w:cs="Arial"/>
        </w:rPr>
      </w:pPr>
      <w:bookmarkStart w:id="30" w:name="_Toc237512565"/>
      <w:r w:rsidRPr="007F13D6">
        <w:rPr>
          <w:rFonts w:ascii="Arial" w:hAnsi="Arial" w:cs="Arial"/>
        </w:rPr>
        <w:t>5.</w:t>
      </w:r>
      <w:r w:rsidR="00954852" w:rsidRPr="007F13D6">
        <w:rPr>
          <w:rFonts w:ascii="Arial" w:hAnsi="Arial" w:cs="Arial"/>
        </w:rPr>
        <w:t>1 Principal positions show the effect of calculation-unit implementation</w:t>
      </w:r>
      <w:bookmarkEnd w:id="30"/>
    </w:p>
    <w:p w14:paraId="4187266B" w14:textId="77777777" w:rsidR="00726538" w:rsidRPr="007F13D6" w:rsidRDefault="00B00B4F" w:rsidP="00CE7AFC">
      <w:pPr>
        <w:pStyle w:val="BodyText"/>
        <w:keepLines/>
        <w:spacing w:before="120" w:line="240" w:lineRule="auto"/>
        <w:rPr>
          <w:rFonts w:ascii="Arial" w:hAnsi="Arial" w:cs="Arial"/>
        </w:rPr>
      </w:pPr>
      <w:r w:rsidRPr="007F13D6">
        <w:rPr>
          <w:rFonts w:ascii="Arial" w:hAnsi="Arial" w:cs="Arial"/>
        </w:rPr>
        <w:t>Both implementations describe the proposed principal rule as one position per school calculation unit. Principal counts therefore provide a direct test of whether the workbook and IV&amp;V model identify and treat the same school and building universe</w:t>
      </w:r>
      <w:r w:rsidR="00954852" w:rsidRPr="007F13D6">
        <w:rPr>
          <w:rFonts w:ascii="Arial" w:hAnsi="Arial" w:cs="Arial"/>
        </w:rPr>
        <w:t>.</w:t>
      </w:r>
    </w:p>
    <w:p w14:paraId="78D99D60" w14:textId="2770C3C3"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Exhibit 1</w:t>
      </w:r>
      <w:r w:rsidR="009728D0" w:rsidRPr="007F13D6">
        <w:rPr>
          <w:rFonts w:ascii="Arial" w:hAnsi="Arial" w:cs="Arial"/>
          <w:b/>
          <w:color w:val="1F4E78"/>
          <w:sz w:val="18"/>
        </w:rPr>
        <w:t>2</w:t>
      </w:r>
      <w:r w:rsidRPr="007F13D6">
        <w:rPr>
          <w:rFonts w:ascii="Arial" w:hAnsi="Arial" w:cs="Arial"/>
          <w:b/>
          <w:color w:val="1F4E78"/>
          <w:sz w:val="18"/>
        </w:rPr>
        <w:t xml:space="preserve">. </w:t>
      </w:r>
      <w:r w:rsidR="00B00B4F" w:rsidRPr="007F13D6">
        <w:rPr>
          <w:rFonts w:ascii="Arial" w:hAnsi="Arial" w:cs="Arial"/>
          <w:b/>
          <w:color w:val="1F4E78"/>
          <w:sz w:val="18"/>
        </w:rPr>
        <w:t>Principal positions in the primary 43-LEA scope</w:t>
      </w:r>
    </w:p>
    <w:tbl>
      <w:tblPr>
        <w:tblW w:w="0" w:type="auto"/>
        <w:jc w:val="center"/>
        <w:tblLayout w:type="fixed"/>
        <w:tblLook w:val="04A0" w:firstRow="1" w:lastRow="0" w:firstColumn="1" w:lastColumn="0" w:noHBand="0" w:noVBand="1"/>
      </w:tblPr>
      <w:tblGrid>
        <w:gridCol w:w="2736"/>
        <w:gridCol w:w="1655"/>
        <w:gridCol w:w="1655"/>
        <w:gridCol w:w="2160"/>
      </w:tblGrid>
      <w:tr w:rsidR="00AB38AE" w:rsidRPr="007F13D6" w14:paraId="774EC7A2" w14:textId="77777777" w:rsidTr="00D27BFE">
        <w:trPr>
          <w:cantSplit/>
          <w:tblHeader/>
          <w:jc w:val="center"/>
        </w:trPr>
        <w:tc>
          <w:tcPr>
            <w:tcW w:w="2736" w:type="dxa"/>
            <w:tcBorders>
              <w:bottom w:val="single" w:sz="8" w:space="0" w:color="FFFFFF"/>
            </w:tcBorders>
            <w:shd w:val="clear" w:color="auto" w:fill="1F4E78"/>
            <w:tcMar>
              <w:top w:w="70" w:type="dxa"/>
              <w:left w:w="80" w:type="dxa"/>
              <w:bottom w:w="70" w:type="dxa"/>
              <w:right w:w="80" w:type="dxa"/>
            </w:tcMar>
            <w:vAlign w:val="center"/>
          </w:tcPr>
          <w:p w14:paraId="4F776928" w14:textId="77777777" w:rsidR="00AB38AE" w:rsidRPr="007F13D6" w:rsidRDefault="00AB38AE" w:rsidP="00A1782C">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PEFC principals</w:t>
            </w:r>
          </w:p>
        </w:tc>
        <w:tc>
          <w:tcPr>
            <w:tcW w:w="1655" w:type="dxa"/>
            <w:tcBorders>
              <w:bottom w:val="single" w:sz="8" w:space="0" w:color="FFFFFF"/>
            </w:tcBorders>
            <w:shd w:val="clear" w:color="auto" w:fill="1F4E78"/>
            <w:tcMar>
              <w:top w:w="70" w:type="dxa"/>
              <w:left w:w="80" w:type="dxa"/>
              <w:bottom w:w="70" w:type="dxa"/>
              <w:right w:w="80" w:type="dxa"/>
            </w:tcMar>
            <w:vAlign w:val="center"/>
          </w:tcPr>
          <w:p w14:paraId="3309F1FB" w14:textId="77777777" w:rsidR="00AB38AE" w:rsidRPr="007F13D6" w:rsidRDefault="00AB38AE" w:rsidP="00A1782C">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IV&amp;V principals</w:t>
            </w:r>
          </w:p>
        </w:tc>
        <w:tc>
          <w:tcPr>
            <w:tcW w:w="1655" w:type="dxa"/>
            <w:tcBorders>
              <w:bottom w:val="single" w:sz="8" w:space="0" w:color="FFFFFF"/>
            </w:tcBorders>
            <w:shd w:val="clear" w:color="auto" w:fill="1F4E78"/>
            <w:tcMar>
              <w:top w:w="70" w:type="dxa"/>
              <w:left w:w="80" w:type="dxa"/>
              <w:bottom w:w="70" w:type="dxa"/>
              <w:right w:w="80" w:type="dxa"/>
            </w:tcMar>
            <w:vAlign w:val="center"/>
          </w:tcPr>
          <w:p w14:paraId="1F950AD8" w14:textId="77777777" w:rsidR="00AB38AE" w:rsidRPr="007F13D6" w:rsidRDefault="00AB38AE" w:rsidP="00A1782C">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Difference</w:t>
            </w:r>
          </w:p>
        </w:tc>
        <w:tc>
          <w:tcPr>
            <w:tcW w:w="2160" w:type="dxa"/>
            <w:tcBorders>
              <w:bottom w:val="single" w:sz="8" w:space="0" w:color="FFFFFF"/>
            </w:tcBorders>
            <w:shd w:val="clear" w:color="auto" w:fill="1F4E78"/>
            <w:tcMar>
              <w:top w:w="70" w:type="dxa"/>
              <w:left w:w="80" w:type="dxa"/>
              <w:bottom w:w="70" w:type="dxa"/>
              <w:right w:w="80" w:type="dxa"/>
            </w:tcMar>
            <w:vAlign w:val="center"/>
          </w:tcPr>
          <w:p w14:paraId="33CDC015" w14:textId="77777777" w:rsidR="00AB38AE" w:rsidRPr="007F13D6" w:rsidRDefault="00AB38AE" w:rsidP="00A1782C">
            <w:pPr>
              <w:spacing w:after="0" w:line="240" w:lineRule="auto"/>
              <w:jc w:val="center"/>
              <w:rPr>
                <w:rFonts w:ascii="Arial" w:hAnsi="Arial" w:cs="Arial"/>
                <w:color w:val="FFFFFF" w:themeColor="background1"/>
                <w:sz w:val="17"/>
                <w:szCs w:val="17"/>
              </w:rPr>
            </w:pPr>
            <w:r w:rsidRPr="007F13D6">
              <w:rPr>
                <w:rFonts w:ascii="Arial" w:hAnsi="Arial" w:cs="Arial"/>
                <w:b/>
                <w:bCs/>
                <w:color w:val="FFFFFF" w:themeColor="background1"/>
                <w:sz w:val="17"/>
                <w:szCs w:val="17"/>
              </w:rPr>
              <w:t>Funding effect</w:t>
            </w:r>
          </w:p>
        </w:tc>
      </w:tr>
      <w:tr w:rsidR="00AB38AE" w:rsidRPr="007F13D6" w14:paraId="1846241B" w14:textId="77777777" w:rsidTr="00D27BFE">
        <w:trPr>
          <w:cantSplit/>
          <w:jc w:val="center"/>
        </w:trPr>
        <w:tc>
          <w:tcPr>
            <w:tcW w:w="2736" w:type="dxa"/>
            <w:tcBorders>
              <w:bottom w:val="single" w:sz="4" w:space="0" w:color="B7B7B7"/>
            </w:tcBorders>
            <w:tcMar>
              <w:top w:w="70" w:type="dxa"/>
              <w:left w:w="80" w:type="dxa"/>
              <w:bottom w:w="70" w:type="dxa"/>
              <w:right w:w="80" w:type="dxa"/>
            </w:tcMar>
            <w:vAlign w:val="center"/>
          </w:tcPr>
          <w:p w14:paraId="244D822C" w14:textId="77777777" w:rsidR="00AB38AE" w:rsidRPr="007F13D6" w:rsidRDefault="00AB38AE" w:rsidP="00A1782C">
            <w:pPr>
              <w:spacing w:after="0" w:line="240" w:lineRule="auto"/>
              <w:jc w:val="center"/>
              <w:rPr>
                <w:rFonts w:ascii="Arial" w:hAnsi="Arial" w:cs="Arial"/>
                <w:sz w:val="17"/>
                <w:szCs w:val="17"/>
              </w:rPr>
            </w:pPr>
            <w:r w:rsidRPr="007F13D6">
              <w:rPr>
                <w:rFonts w:ascii="Arial" w:hAnsi="Arial" w:cs="Arial"/>
                <w:color w:val="000000"/>
                <w:sz w:val="17"/>
                <w:szCs w:val="17"/>
              </w:rPr>
              <w:t>248</w:t>
            </w:r>
          </w:p>
        </w:tc>
        <w:tc>
          <w:tcPr>
            <w:tcW w:w="1655" w:type="dxa"/>
            <w:tcBorders>
              <w:bottom w:val="single" w:sz="4" w:space="0" w:color="B7B7B7"/>
            </w:tcBorders>
            <w:tcMar>
              <w:top w:w="70" w:type="dxa"/>
              <w:left w:w="80" w:type="dxa"/>
              <w:bottom w:w="70" w:type="dxa"/>
              <w:right w:w="80" w:type="dxa"/>
            </w:tcMar>
            <w:vAlign w:val="center"/>
          </w:tcPr>
          <w:p w14:paraId="4C879040" w14:textId="77777777" w:rsidR="00AB38AE" w:rsidRPr="007F13D6" w:rsidRDefault="00AB38AE" w:rsidP="00A1782C">
            <w:pPr>
              <w:spacing w:after="0" w:line="240" w:lineRule="auto"/>
              <w:jc w:val="center"/>
              <w:rPr>
                <w:rFonts w:ascii="Arial" w:hAnsi="Arial" w:cs="Arial"/>
                <w:sz w:val="17"/>
                <w:szCs w:val="17"/>
              </w:rPr>
            </w:pPr>
            <w:r w:rsidRPr="007F13D6">
              <w:rPr>
                <w:rFonts w:ascii="Arial" w:hAnsi="Arial" w:cs="Arial"/>
                <w:color w:val="000000"/>
                <w:sz w:val="17"/>
                <w:szCs w:val="17"/>
              </w:rPr>
              <w:t>253</w:t>
            </w:r>
          </w:p>
        </w:tc>
        <w:tc>
          <w:tcPr>
            <w:tcW w:w="1655" w:type="dxa"/>
            <w:tcBorders>
              <w:bottom w:val="single" w:sz="4" w:space="0" w:color="B7B7B7"/>
            </w:tcBorders>
            <w:tcMar>
              <w:top w:w="70" w:type="dxa"/>
              <w:left w:w="80" w:type="dxa"/>
              <w:bottom w:w="70" w:type="dxa"/>
              <w:right w:w="80" w:type="dxa"/>
            </w:tcMar>
            <w:vAlign w:val="center"/>
          </w:tcPr>
          <w:p w14:paraId="07B5BEEB" w14:textId="77777777" w:rsidR="00AB38AE" w:rsidRPr="007F13D6" w:rsidRDefault="00AB38AE" w:rsidP="00A1782C">
            <w:pPr>
              <w:spacing w:after="0" w:line="240" w:lineRule="auto"/>
              <w:jc w:val="center"/>
              <w:rPr>
                <w:rFonts w:ascii="Arial" w:hAnsi="Arial" w:cs="Arial"/>
                <w:sz w:val="17"/>
                <w:szCs w:val="17"/>
              </w:rPr>
            </w:pPr>
            <w:r w:rsidRPr="007F13D6">
              <w:rPr>
                <w:rFonts w:ascii="Arial" w:hAnsi="Arial" w:cs="Arial"/>
                <w:color w:val="000000"/>
                <w:sz w:val="17"/>
                <w:szCs w:val="17"/>
              </w:rPr>
              <w:t>+5</w:t>
            </w:r>
          </w:p>
        </w:tc>
        <w:tc>
          <w:tcPr>
            <w:tcW w:w="2160" w:type="dxa"/>
            <w:tcBorders>
              <w:bottom w:val="single" w:sz="4" w:space="0" w:color="B7B7B7"/>
            </w:tcBorders>
            <w:tcMar>
              <w:top w:w="70" w:type="dxa"/>
              <w:left w:w="80" w:type="dxa"/>
              <w:bottom w:w="70" w:type="dxa"/>
              <w:right w:w="80" w:type="dxa"/>
            </w:tcMar>
            <w:vAlign w:val="center"/>
          </w:tcPr>
          <w:p w14:paraId="626A04C7" w14:textId="77777777" w:rsidR="00AB38AE" w:rsidRPr="007F13D6" w:rsidRDefault="00AB38AE" w:rsidP="00A1782C">
            <w:pPr>
              <w:spacing w:after="0" w:line="240" w:lineRule="auto"/>
              <w:jc w:val="center"/>
              <w:rPr>
                <w:rFonts w:ascii="Arial" w:hAnsi="Arial" w:cs="Arial"/>
                <w:sz w:val="17"/>
                <w:szCs w:val="17"/>
              </w:rPr>
            </w:pPr>
            <w:r w:rsidRPr="007F13D6">
              <w:rPr>
                <w:rFonts w:ascii="Arial" w:hAnsi="Arial" w:cs="Arial"/>
                <w:color w:val="000000"/>
                <w:sz w:val="17"/>
                <w:szCs w:val="17"/>
              </w:rPr>
              <w:t>+$0.765M</w:t>
            </w:r>
          </w:p>
        </w:tc>
      </w:tr>
    </w:tbl>
    <w:p w14:paraId="55E3E32B" w14:textId="77777777" w:rsidR="00726538" w:rsidRPr="007F13D6" w:rsidRDefault="00275039" w:rsidP="00CE7AFC">
      <w:pPr>
        <w:spacing w:before="120" w:after="120" w:line="240" w:lineRule="auto"/>
        <w:rPr>
          <w:rFonts w:ascii="Arial" w:hAnsi="Arial" w:cs="Arial"/>
          <w:i/>
          <w:color w:val="666666"/>
          <w:sz w:val="16"/>
        </w:rPr>
      </w:pPr>
      <w:r w:rsidRPr="007F13D6">
        <w:rPr>
          <w:rFonts w:ascii="Arial" w:hAnsi="Arial" w:cs="Arial"/>
          <w:i/>
          <w:color w:val="666666"/>
          <w:sz w:val="16"/>
        </w:rPr>
        <w:t>Source: 10_pefc_component_comparison.csv; PEFC Summary school rows; 07_proposed_model_quantities.csv</w:t>
      </w:r>
      <w:r w:rsidR="00954852" w:rsidRPr="007F13D6">
        <w:rPr>
          <w:rFonts w:ascii="Arial" w:hAnsi="Arial" w:cs="Arial"/>
          <w:i/>
          <w:color w:val="666666"/>
          <w:sz w:val="16"/>
        </w:rPr>
        <w:t>.</w:t>
      </w:r>
    </w:p>
    <w:p w14:paraId="228ECDC7" w14:textId="77777777" w:rsidR="00003F8D" w:rsidRPr="007F13D6" w:rsidRDefault="00003F8D" w:rsidP="00CE7AFC">
      <w:pPr>
        <w:pStyle w:val="BodyText"/>
        <w:keepLines/>
        <w:spacing w:before="120" w:line="240" w:lineRule="auto"/>
        <w:rPr>
          <w:rFonts w:ascii="Arial" w:hAnsi="Arial" w:cs="Arial"/>
        </w:rPr>
      </w:pPr>
      <w:r w:rsidRPr="007F13D6">
        <w:rPr>
          <w:rFonts w:ascii="Arial" w:hAnsi="Arial" w:cs="Arial"/>
        </w:rPr>
        <w:t>All 24 charter LEAs and all 48 charter building calculation units match between the PEFC workbook and the IV&amp;V model. Charter building treatment is therefore an important driver of the current-versus-proposed principal increase described in Section 3, but it does not explain the difference between the two proposed-model implementations.</w:t>
      </w:r>
    </w:p>
    <w:p w14:paraId="5B790702" w14:textId="6A17A6D9"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 xml:space="preserve">Exhibit </w:t>
      </w:r>
      <w:r w:rsidR="00275039" w:rsidRPr="007F13D6">
        <w:rPr>
          <w:rFonts w:ascii="Arial" w:hAnsi="Arial" w:cs="Arial"/>
          <w:b/>
          <w:color w:val="1F4E78"/>
          <w:sz w:val="18"/>
        </w:rPr>
        <w:t>1</w:t>
      </w:r>
      <w:r w:rsidR="009728D0" w:rsidRPr="007F13D6">
        <w:rPr>
          <w:rFonts w:ascii="Arial" w:hAnsi="Arial" w:cs="Arial"/>
          <w:b/>
          <w:color w:val="1F4E78"/>
          <w:sz w:val="18"/>
        </w:rPr>
        <w:t>3</w:t>
      </w:r>
      <w:r w:rsidR="00275039" w:rsidRPr="007F13D6">
        <w:rPr>
          <w:rFonts w:ascii="Arial" w:hAnsi="Arial" w:cs="Arial"/>
          <w:b/>
          <w:color w:val="1F4E78"/>
          <w:sz w:val="18"/>
        </w:rPr>
        <w:t>. Primary-scope LEAs with different principal counts</w:t>
      </w:r>
    </w:p>
    <w:tbl>
      <w:tblPr>
        <w:tblW w:w="9504" w:type="dxa"/>
        <w:jc w:val="center"/>
        <w:tblLayout w:type="fixed"/>
        <w:tblLook w:val="04A0" w:firstRow="1" w:lastRow="0" w:firstColumn="1" w:lastColumn="0" w:noHBand="0" w:noVBand="1"/>
      </w:tblPr>
      <w:tblGrid>
        <w:gridCol w:w="2448"/>
        <w:gridCol w:w="720"/>
        <w:gridCol w:w="720"/>
        <w:gridCol w:w="1008"/>
        <w:gridCol w:w="4608"/>
      </w:tblGrid>
      <w:tr w:rsidR="00597143" w:rsidRPr="007F13D6" w14:paraId="24E78A7A" w14:textId="77777777" w:rsidTr="00A1782C">
        <w:trPr>
          <w:cantSplit/>
          <w:tblHeader/>
          <w:jc w:val="center"/>
        </w:trPr>
        <w:tc>
          <w:tcPr>
            <w:tcW w:w="2448" w:type="dxa"/>
            <w:tcBorders>
              <w:bottom w:val="single" w:sz="8" w:space="0" w:color="FFFFFF"/>
            </w:tcBorders>
            <w:shd w:val="clear" w:color="auto" w:fill="1F4E78"/>
            <w:tcMar>
              <w:top w:w="70" w:type="dxa"/>
              <w:left w:w="80" w:type="dxa"/>
              <w:bottom w:w="70" w:type="dxa"/>
              <w:right w:w="80" w:type="dxa"/>
            </w:tcMar>
            <w:vAlign w:val="center"/>
          </w:tcPr>
          <w:p w14:paraId="4D0ECF03" w14:textId="77777777" w:rsidR="00597143" w:rsidRPr="007F13D6" w:rsidRDefault="00597143"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LEA</w:t>
            </w:r>
          </w:p>
        </w:tc>
        <w:tc>
          <w:tcPr>
            <w:tcW w:w="720" w:type="dxa"/>
            <w:tcBorders>
              <w:bottom w:val="single" w:sz="8" w:space="0" w:color="FFFFFF"/>
            </w:tcBorders>
            <w:shd w:val="clear" w:color="auto" w:fill="1F4E78"/>
            <w:tcMar>
              <w:top w:w="70" w:type="dxa"/>
              <w:left w:w="80" w:type="dxa"/>
              <w:bottom w:w="70" w:type="dxa"/>
              <w:right w:w="80" w:type="dxa"/>
            </w:tcMar>
            <w:vAlign w:val="center"/>
          </w:tcPr>
          <w:p w14:paraId="4C288686" w14:textId="77777777" w:rsidR="00597143" w:rsidRPr="007F13D6" w:rsidRDefault="00597143"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PEFC</w:t>
            </w:r>
          </w:p>
        </w:tc>
        <w:tc>
          <w:tcPr>
            <w:tcW w:w="720" w:type="dxa"/>
            <w:tcBorders>
              <w:bottom w:val="single" w:sz="8" w:space="0" w:color="FFFFFF"/>
            </w:tcBorders>
            <w:shd w:val="clear" w:color="auto" w:fill="1F4E78"/>
            <w:tcMar>
              <w:top w:w="70" w:type="dxa"/>
              <w:left w:w="80" w:type="dxa"/>
              <w:bottom w:w="70" w:type="dxa"/>
              <w:right w:w="80" w:type="dxa"/>
            </w:tcMar>
            <w:vAlign w:val="center"/>
          </w:tcPr>
          <w:p w14:paraId="49BD93C0" w14:textId="77777777" w:rsidR="00597143" w:rsidRPr="007F13D6" w:rsidRDefault="00597143"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IV&amp;V</w:t>
            </w:r>
          </w:p>
        </w:tc>
        <w:tc>
          <w:tcPr>
            <w:tcW w:w="1008" w:type="dxa"/>
            <w:tcBorders>
              <w:bottom w:val="single" w:sz="8" w:space="0" w:color="FFFFFF"/>
            </w:tcBorders>
            <w:shd w:val="clear" w:color="auto" w:fill="1F4E78"/>
            <w:tcMar>
              <w:top w:w="70" w:type="dxa"/>
              <w:left w:w="80" w:type="dxa"/>
              <w:bottom w:w="70" w:type="dxa"/>
              <w:right w:w="80" w:type="dxa"/>
            </w:tcMar>
            <w:vAlign w:val="center"/>
          </w:tcPr>
          <w:p w14:paraId="08DA1B20" w14:textId="77777777" w:rsidR="00597143" w:rsidRPr="007F13D6" w:rsidRDefault="00597143"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Difference</w:t>
            </w:r>
          </w:p>
        </w:tc>
        <w:tc>
          <w:tcPr>
            <w:tcW w:w="4608" w:type="dxa"/>
            <w:tcBorders>
              <w:bottom w:val="single" w:sz="8" w:space="0" w:color="FFFFFF"/>
            </w:tcBorders>
            <w:shd w:val="clear" w:color="auto" w:fill="1F4E78"/>
            <w:tcMar>
              <w:top w:w="70" w:type="dxa"/>
              <w:left w:w="80" w:type="dxa"/>
              <w:bottom w:w="70" w:type="dxa"/>
              <w:right w:w="80" w:type="dxa"/>
            </w:tcMar>
            <w:vAlign w:val="center"/>
          </w:tcPr>
          <w:p w14:paraId="324F3D18" w14:textId="77777777" w:rsidR="00597143" w:rsidRPr="007F13D6" w:rsidRDefault="00597143"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Explanation</w:t>
            </w:r>
          </w:p>
        </w:tc>
      </w:tr>
      <w:tr w:rsidR="00597143" w:rsidRPr="007F13D6" w14:paraId="1BA825DE" w14:textId="77777777" w:rsidTr="00A1782C">
        <w:trPr>
          <w:cantSplit/>
          <w:jc w:val="center"/>
        </w:trPr>
        <w:tc>
          <w:tcPr>
            <w:tcW w:w="2448" w:type="dxa"/>
            <w:tcBorders>
              <w:bottom w:val="single" w:sz="4" w:space="0" w:color="B7B7B7"/>
            </w:tcBorders>
            <w:tcMar>
              <w:top w:w="70" w:type="dxa"/>
              <w:left w:w="80" w:type="dxa"/>
              <w:bottom w:w="70" w:type="dxa"/>
              <w:right w:w="80" w:type="dxa"/>
            </w:tcMar>
            <w:vAlign w:val="center"/>
          </w:tcPr>
          <w:p w14:paraId="61B82C1B"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Capital</w:t>
            </w:r>
          </w:p>
        </w:tc>
        <w:tc>
          <w:tcPr>
            <w:tcW w:w="720" w:type="dxa"/>
            <w:tcBorders>
              <w:bottom w:val="single" w:sz="4" w:space="0" w:color="B7B7B7"/>
            </w:tcBorders>
            <w:tcMar>
              <w:top w:w="70" w:type="dxa"/>
              <w:left w:w="80" w:type="dxa"/>
              <w:bottom w:w="70" w:type="dxa"/>
              <w:right w:w="80" w:type="dxa"/>
            </w:tcMar>
            <w:vAlign w:val="center"/>
          </w:tcPr>
          <w:p w14:paraId="7180F414"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13</w:t>
            </w:r>
          </w:p>
        </w:tc>
        <w:tc>
          <w:tcPr>
            <w:tcW w:w="720" w:type="dxa"/>
            <w:tcBorders>
              <w:bottom w:val="single" w:sz="4" w:space="0" w:color="B7B7B7"/>
            </w:tcBorders>
            <w:tcMar>
              <w:top w:w="70" w:type="dxa"/>
              <w:left w:w="80" w:type="dxa"/>
              <w:bottom w:w="70" w:type="dxa"/>
              <w:right w:w="80" w:type="dxa"/>
            </w:tcMar>
            <w:vAlign w:val="center"/>
          </w:tcPr>
          <w:p w14:paraId="7B208F29"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14</w:t>
            </w:r>
          </w:p>
        </w:tc>
        <w:tc>
          <w:tcPr>
            <w:tcW w:w="1008" w:type="dxa"/>
            <w:tcBorders>
              <w:bottom w:val="single" w:sz="4" w:space="0" w:color="B7B7B7"/>
            </w:tcBorders>
            <w:tcMar>
              <w:top w:w="70" w:type="dxa"/>
              <w:left w:w="80" w:type="dxa"/>
              <w:bottom w:w="70" w:type="dxa"/>
              <w:right w:w="80" w:type="dxa"/>
            </w:tcMar>
            <w:vAlign w:val="center"/>
          </w:tcPr>
          <w:p w14:paraId="2B210751"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+1</w:t>
            </w:r>
          </w:p>
        </w:tc>
        <w:tc>
          <w:tcPr>
            <w:tcW w:w="4608" w:type="dxa"/>
            <w:tcBorders>
              <w:bottom w:val="single" w:sz="4" w:space="0" w:color="B7B7B7"/>
            </w:tcBorders>
            <w:tcMar>
              <w:top w:w="70" w:type="dxa"/>
              <w:left w:w="80" w:type="dxa"/>
              <w:bottom w:w="70" w:type="dxa"/>
              <w:right w:w="80" w:type="dxa"/>
            </w:tcMar>
            <w:vAlign w:val="center"/>
          </w:tcPr>
          <w:p w14:paraId="2D2265CD"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Capital Early Childhood Center receives zero in the workbook and one under the IV&amp;V one-per-unit rule.</w:t>
            </w:r>
          </w:p>
        </w:tc>
      </w:tr>
      <w:tr w:rsidR="00597143" w:rsidRPr="007F13D6" w14:paraId="5BAD5E19" w14:textId="77777777" w:rsidTr="00A1782C">
        <w:trPr>
          <w:cantSplit/>
          <w:jc w:val="center"/>
        </w:trPr>
        <w:tc>
          <w:tcPr>
            <w:tcW w:w="2448" w:type="dxa"/>
            <w:tcBorders>
              <w:bottom w:val="single" w:sz="4" w:space="0" w:color="B7B7B7"/>
            </w:tcBorders>
            <w:shd w:val="clear" w:color="auto" w:fill="EAF3F8"/>
            <w:tcMar>
              <w:top w:w="70" w:type="dxa"/>
              <w:left w:w="80" w:type="dxa"/>
              <w:bottom w:w="70" w:type="dxa"/>
              <w:right w:w="80" w:type="dxa"/>
            </w:tcMar>
            <w:vAlign w:val="center"/>
          </w:tcPr>
          <w:p w14:paraId="1CC17890"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Christina</w:t>
            </w:r>
          </w:p>
        </w:tc>
        <w:tc>
          <w:tcPr>
            <w:tcW w:w="720" w:type="dxa"/>
            <w:tcBorders>
              <w:bottom w:val="single" w:sz="4" w:space="0" w:color="B7B7B7"/>
            </w:tcBorders>
            <w:shd w:val="clear" w:color="auto" w:fill="EAF3F8"/>
            <w:tcMar>
              <w:top w:w="70" w:type="dxa"/>
              <w:left w:w="80" w:type="dxa"/>
              <w:bottom w:w="70" w:type="dxa"/>
              <w:right w:w="80" w:type="dxa"/>
            </w:tcMar>
            <w:vAlign w:val="center"/>
          </w:tcPr>
          <w:p w14:paraId="453AE7A8"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27</w:t>
            </w:r>
          </w:p>
        </w:tc>
        <w:tc>
          <w:tcPr>
            <w:tcW w:w="720" w:type="dxa"/>
            <w:tcBorders>
              <w:bottom w:val="single" w:sz="4" w:space="0" w:color="B7B7B7"/>
            </w:tcBorders>
            <w:shd w:val="clear" w:color="auto" w:fill="EAF3F8"/>
            <w:tcMar>
              <w:top w:w="70" w:type="dxa"/>
              <w:left w:w="80" w:type="dxa"/>
              <w:bottom w:w="70" w:type="dxa"/>
              <w:right w:w="80" w:type="dxa"/>
            </w:tcMar>
            <w:vAlign w:val="center"/>
          </w:tcPr>
          <w:p w14:paraId="7FD5EC79"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29</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4CDDD2FF"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+2</w:t>
            </w:r>
          </w:p>
        </w:tc>
        <w:tc>
          <w:tcPr>
            <w:tcW w:w="4608" w:type="dxa"/>
            <w:tcBorders>
              <w:bottom w:val="single" w:sz="4" w:space="0" w:color="B7B7B7"/>
            </w:tcBorders>
            <w:shd w:val="clear" w:color="auto" w:fill="EAF3F8"/>
            <w:tcMar>
              <w:top w:w="70" w:type="dxa"/>
              <w:left w:w="80" w:type="dxa"/>
              <w:bottom w:w="70" w:type="dxa"/>
              <w:right w:w="80" w:type="dxa"/>
            </w:tcMar>
            <w:vAlign w:val="center"/>
          </w:tcPr>
          <w:p w14:paraId="74F44FFC"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Pulaski and Stubbs Early Education Centers receive zero in the workbook.</w:t>
            </w:r>
          </w:p>
        </w:tc>
      </w:tr>
      <w:tr w:rsidR="00597143" w:rsidRPr="007F13D6" w14:paraId="2893AC71" w14:textId="77777777" w:rsidTr="00A1782C">
        <w:trPr>
          <w:cantSplit/>
          <w:jc w:val="center"/>
        </w:trPr>
        <w:tc>
          <w:tcPr>
            <w:tcW w:w="2448" w:type="dxa"/>
            <w:tcBorders>
              <w:bottom w:val="single" w:sz="4" w:space="0" w:color="B7B7B7"/>
            </w:tcBorders>
            <w:tcMar>
              <w:top w:w="70" w:type="dxa"/>
              <w:left w:w="80" w:type="dxa"/>
              <w:bottom w:w="70" w:type="dxa"/>
              <w:right w:w="80" w:type="dxa"/>
            </w:tcMar>
            <w:vAlign w:val="center"/>
          </w:tcPr>
          <w:p w14:paraId="24FFC01F"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New Castle County Vo-Tech</w:t>
            </w:r>
          </w:p>
        </w:tc>
        <w:tc>
          <w:tcPr>
            <w:tcW w:w="720" w:type="dxa"/>
            <w:tcBorders>
              <w:bottom w:val="single" w:sz="4" w:space="0" w:color="B7B7B7"/>
            </w:tcBorders>
            <w:tcMar>
              <w:top w:w="70" w:type="dxa"/>
              <w:left w:w="80" w:type="dxa"/>
              <w:bottom w:w="70" w:type="dxa"/>
              <w:right w:w="80" w:type="dxa"/>
            </w:tcMar>
            <w:vAlign w:val="center"/>
          </w:tcPr>
          <w:p w14:paraId="027A3357"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4</w:t>
            </w:r>
          </w:p>
        </w:tc>
        <w:tc>
          <w:tcPr>
            <w:tcW w:w="720" w:type="dxa"/>
            <w:tcBorders>
              <w:bottom w:val="single" w:sz="4" w:space="0" w:color="B7B7B7"/>
            </w:tcBorders>
            <w:tcMar>
              <w:top w:w="70" w:type="dxa"/>
              <w:left w:w="80" w:type="dxa"/>
              <w:bottom w:w="70" w:type="dxa"/>
              <w:right w:w="80" w:type="dxa"/>
            </w:tcMar>
            <w:vAlign w:val="center"/>
          </w:tcPr>
          <w:p w14:paraId="25104E6C"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5</w:t>
            </w:r>
          </w:p>
        </w:tc>
        <w:tc>
          <w:tcPr>
            <w:tcW w:w="1008" w:type="dxa"/>
            <w:tcBorders>
              <w:bottom w:val="single" w:sz="4" w:space="0" w:color="B7B7B7"/>
            </w:tcBorders>
            <w:tcMar>
              <w:top w:w="70" w:type="dxa"/>
              <w:left w:w="80" w:type="dxa"/>
              <w:bottom w:w="70" w:type="dxa"/>
              <w:right w:w="80" w:type="dxa"/>
            </w:tcMar>
            <w:vAlign w:val="center"/>
          </w:tcPr>
          <w:p w14:paraId="7D9D5974"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+1</w:t>
            </w:r>
          </w:p>
        </w:tc>
        <w:tc>
          <w:tcPr>
            <w:tcW w:w="4608" w:type="dxa"/>
            <w:tcBorders>
              <w:bottom w:val="single" w:sz="4" w:space="0" w:color="B7B7B7"/>
            </w:tcBorders>
            <w:tcMar>
              <w:top w:w="70" w:type="dxa"/>
              <w:left w:w="80" w:type="dxa"/>
              <w:bottom w:w="70" w:type="dxa"/>
              <w:right w:w="80" w:type="dxa"/>
            </w:tcMar>
            <w:vAlign w:val="center"/>
          </w:tcPr>
          <w:p w14:paraId="187DAE48"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DelCastle ILC receives zero in the workbook.</w:t>
            </w:r>
          </w:p>
        </w:tc>
      </w:tr>
      <w:tr w:rsidR="00597143" w:rsidRPr="007F13D6" w14:paraId="6798041B" w14:textId="77777777" w:rsidTr="00A1782C">
        <w:trPr>
          <w:cantSplit/>
          <w:jc w:val="center"/>
        </w:trPr>
        <w:tc>
          <w:tcPr>
            <w:tcW w:w="2448" w:type="dxa"/>
            <w:tcBorders>
              <w:bottom w:val="single" w:sz="4" w:space="0" w:color="B7B7B7"/>
            </w:tcBorders>
            <w:shd w:val="clear" w:color="auto" w:fill="EAF3F8"/>
            <w:tcMar>
              <w:top w:w="70" w:type="dxa"/>
              <w:left w:w="80" w:type="dxa"/>
              <w:bottom w:w="70" w:type="dxa"/>
              <w:right w:w="80" w:type="dxa"/>
            </w:tcMar>
            <w:vAlign w:val="center"/>
          </w:tcPr>
          <w:p w14:paraId="444B2BF0"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Red Clay</w:t>
            </w:r>
          </w:p>
        </w:tc>
        <w:tc>
          <w:tcPr>
            <w:tcW w:w="720" w:type="dxa"/>
            <w:tcBorders>
              <w:bottom w:val="single" w:sz="4" w:space="0" w:color="B7B7B7"/>
            </w:tcBorders>
            <w:shd w:val="clear" w:color="auto" w:fill="EAF3F8"/>
            <w:tcMar>
              <w:top w:w="70" w:type="dxa"/>
              <w:left w:w="80" w:type="dxa"/>
              <w:bottom w:w="70" w:type="dxa"/>
              <w:right w:w="80" w:type="dxa"/>
            </w:tcMar>
            <w:vAlign w:val="center"/>
          </w:tcPr>
          <w:p w14:paraId="12E17B92"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26</w:t>
            </w:r>
          </w:p>
        </w:tc>
        <w:tc>
          <w:tcPr>
            <w:tcW w:w="720" w:type="dxa"/>
            <w:tcBorders>
              <w:bottom w:val="single" w:sz="4" w:space="0" w:color="B7B7B7"/>
            </w:tcBorders>
            <w:shd w:val="clear" w:color="auto" w:fill="EAF3F8"/>
            <w:tcMar>
              <w:top w:w="70" w:type="dxa"/>
              <w:left w:w="80" w:type="dxa"/>
              <w:bottom w:w="70" w:type="dxa"/>
              <w:right w:w="80" w:type="dxa"/>
            </w:tcMar>
            <w:vAlign w:val="center"/>
          </w:tcPr>
          <w:p w14:paraId="6F4E3A4C"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27</w:t>
            </w:r>
          </w:p>
        </w:tc>
        <w:tc>
          <w:tcPr>
            <w:tcW w:w="1008" w:type="dxa"/>
            <w:tcBorders>
              <w:bottom w:val="single" w:sz="4" w:space="0" w:color="B7B7B7"/>
            </w:tcBorders>
            <w:shd w:val="clear" w:color="auto" w:fill="EAF3F8"/>
            <w:tcMar>
              <w:top w:w="70" w:type="dxa"/>
              <w:left w:w="80" w:type="dxa"/>
              <w:bottom w:w="70" w:type="dxa"/>
              <w:right w:w="80" w:type="dxa"/>
            </w:tcMar>
            <w:vAlign w:val="center"/>
          </w:tcPr>
          <w:p w14:paraId="271F6089"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+1</w:t>
            </w:r>
          </w:p>
        </w:tc>
        <w:tc>
          <w:tcPr>
            <w:tcW w:w="4608" w:type="dxa"/>
            <w:tcBorders>
              <w:bottom w:val="single" w:sz="4" w:space="0" w:color="B7B7B7"/>
            </w:tcBorders>
            <w:shd w:val="clear" w:color="auto" w:fill="EAF3F8"/>
            <w:tcMar>
              <w:top w:w="70" w:type="dxa"/>
              <w:left w:w="80" w:type="dxa"/>
              <w:bottom w:w="70" w:type="dxa"/>
              <w:right w:w="80" w:type="dxa"/>
            </w:tcMar>
            <w:vAlign w:val="center"/>
          </w:tcPr>
          <w:p w14:paraId="79C72309" w14:textId="77777777" w:rsidR="00597143" w:rsidRPr="007F13D6" w:rsidRDefault="00597143" w:rsidP="00270375">
            <w:pPr>
              <w:spacing w:after="0" w:line="240" w:lineRule="auto"/>
              <w:rPr>
                <w:rFonts w:ascii="Arial" w:hAnsi="Arial" w:cs="Arial"/>
                <w:sz w:val="17"/>
                <w:szCs w:val="17"/>
              </w:rPr>
            </w:pPr>
            <w:r w:rsidRPr="007F13D6">
              <w:rPr>
                <w:rFonts w:ascii="Arial" w:hAnsi="Arial" w:cs="Arial"/>
                <w:color w:val="000000"/>
                <w:sz w:val="17"/>
                <w:szCs w:val="17"/>
              </w:rPr>
              <w:t>First State School receives zero in the workbook.</w:t>
            </w:r>
          </w:p>
        </w:tc>
      </w:tr>
      <w:tr w:rsidR="00597143" w:rsidRPr="007F13D6" w14:paraId="0E58A065" w14:textId="77777777" w:rsidTr="00A1782C">
        <w:trPr>
          <w:cantSplit/>
          <w:jc w:val="center"/>
        </w:trPr>
        <w:tc>
          <w:tcPr>
            <w:tcW w:w="2448" w:type="dxa"/>
            <w:tcBorders>
              <w:bottom w:val="single" w:sz="4" w:space="0" w:color="B7B7B7"/>
            </w:tcBorders>
            <w:tcMar>
              <w:top w:w="70" w:type="dxa"/>
              <w:left w:w="80" w:type="dxa"/>
              <w:bottom w:w="70" w:type="dxa"/>
              <w:right w:w="80" w:type="dxa"/>
            </w:tcMar>
            <w:vAlign w:val="center"/>
          </w:tcPr>
          <w:p w14:paraId="4DE2791E" w14:textId="77777777" w:rsidR="00597143" w:rsidRPr="007F13D6" w:rsidRDefault="00597143" w:rsidP="00270375">
            <w:pPr>
              <w:spacing w:after="0" w:line="240" w:lineRule="auto"/>
              <w:rPr>
                <w:rFonts w:ascii="Arial" w:hAnsi="Arial" w:cs="Arial"/>
                <w:b/>
                <w:bCs/>
                <w:sz w:val="17"/>
                <w:szCs w:val="17"/>
              </w:rPr>
            </w:pPr>
            <w:r w:rsidRPr="007F13D6">
              <w:rPr>
                <w:rFonts w:ascii="Arial" w:hAnsi="Arial" w:cs="Arial"/>
                <w:b/>
                <w:bCs/>
                <w:color w:val="000000"/>
                <w:sz w:val="17"/>
                <w:szCs w:val="17"/>
              </w:rPr>
              <w:t>Primary scope</w:t>
            </w:r>
          </w:p>
        </w:tc>
        <w:tc>
          <w:tcPr>
            <w:tcW w:w="720" w:type="dxa"/>
            <w:tcBorders>
              <w:bottom w:val="single" w:sz="4" w:space="0" w:color="B7B7B7"/>
            </w:tcBorders>
            <w:tcMar>
              <w:top w:w="70" w:type="dxa"/>
              <w:left w:w="80" w:type="dxa"/>
              <w:bottom w:w="70" w:type="dxa"/>
              <w:right w:w="80" w:type="dxa"/>
            </w:tcMar>
            <w:vAlign w:val="center"/>
          </w:tcPr>
          <w:p w14:paraId="044D50AA" w14:textId="77777777" w:rsidR="00597143" w:rsidRPr="007F13D6" w:rsidRDefault="00597143" w:rsidP="00270375">
            <w:pPr>
              <w:spacing w:after="0" w:line="240" w:lineRule="auto"/>
              <w:rPr>
                <w:rFonts w:ascii="Arial" w:hAnsi="Arial" w:cs="Arial"/>
                <w:b/>
                <w:bCs/>
                <w:sz w:val="17"/>
                <w:szCs w:val="17"/>
              </w:rPr>
            </w:pPr>
            <w:r w:rsidRPr="007F13D6">
              <w:rPr>
                <w:rFonts w:ascii="Arial" w:hAnsi="Arial" w:cs="Arial"/>
                <w:b/>
                <w:bCs/>
                <w:color w:val="000000"/>
                <w:sz w:val="17"/>
                <w:szCs w:val="17"/>
              </w:rPr>
              <w:t>248</w:t>
            </w:r>
          </w:p>
        </w:tc>
        <w:tc>
          <w:tcPr>
            <w:tcW w:w="720" w:type="dxa"/>
            <w:tcBorders>
              <w:bottom w:val="single" w:sz="4" w:space="0" w:color="B7B7B7"/>
            </w:tcBorders>
            <w:tcMar>
              <w:top w:w="70" w:type="dxa"/>
              <w:left w:w="80" w:type="dxa"/>
              <w:bottom w:w="70" w:type="dxa"/>
              <w:right w:w="80" w:type="dxa"/>
            </w:tcMar>
            <w:vAlign w:val="center"/>
          </w:tcPr>
          <w:p w14:paraId="251C384A" w14:textId="77777777" w:rsidR="00597143" w:rsidRPr="007F13D6" w:rsidRDefault="00597143" w:rsidP="00270375">
            <w:pPr>
              <w:spacing w:after="0" w:line="240" w:lineRule="auto"/>
              <w:rPr>
                <w:rFonts w:ascii="Arial" w:hAnsi="Arial" w:cs="Arial"/>
                <w:b/>
                <w:bCs/>
                <w:sz w:val="17"/>
                <w:szCs w:val="17"/>
              </w:rPr>
            </w:pPr>
            <w:r w:rsidRPr="007F13D6">
              <w:rPr>
                <w:rFonts w:ascii="Arial" w:hAnsi="Arial" w:cs="Arial"/>
                <w:b/>
                <w:bCs/>
                <w:color w:val="000000"/>
                <w:sz w:val="17"/>
                <w:szCs w:val="17"/>
              </w:rPr>
              <w:t>253</w:t>
            </w:r>
          </w:p>
        </w:tc>
        <w:tc>
          <w:tcPr>
            <w:tcW w:w="1008" w:type="dxa"/>
            <w:tcBorders>
              <w:bottom w:val="single" w:sz="4" w:space="0" w:color="B7B7B7"/>
            </w:tcBorders>
            <w:tcMar>
              <w:top w:w="70" w:type="dxa"/>
              <w:left w:w="80" w:type="dxa"/>
              <w:bottom w:w="70" w:type="dxa"/>
              <w:right w:w="80" w:type="dxa"/>
            </w:tcMar>
            <w:vAlign w:val="center"/>
          </w:tcPr>
          <w:p w14:paraId="46A84101" w14:textId="77777777" w:rsidR="00597143" w:rsidRPr="007F13D6" w:rsidRDefault="00597143" w:rsidP="00270375">
            <w:pPr>
              <w:spacing w:after="0" w:line="240" w:lineRule="auto"/>
              <w:rPr>
                <w:rFonts w:ascii="Arial" w:hAnsi="Arial" w:cs="Arial"/>
                <w:b/>
                <w:bCs/>
                <w:sz w:val="17"/>
                <w:szCs w:val="17"/>
              </w:rPr>
            </w:pPr>
            <w:r w:rsidRPr="007F13D6">
              <w:rPr>
                <w:rFonts w:ascii="Arial" w:hAnsi="Arial" w:cs="Arial"/>
                <w:b/>
                <w:bCs/>
                <w:color w:val="000000"/>
                <w:sz w:val="17"/>
                <w:szCs w:val="17"/>
              </w:rPr>
              <w:t>+5</w:t>
            </w:r>
          </w:p>
        </w:tc>
        <w:tc>
          <w:tcPr>
            <w:tcW w:w="4608" w:type="dxa"/>
            <w:tcBorders>
              <w:bottom w:val="single" w:sz="4" w:space="0" w:color="B7B7B7"/>
            </w:tcBorders>
            <w:tcMar>
              <w:top w:w="70" w:type="dxa"/>
              <w:left w:w="80" w:type="dxa"/>
              <w:bottom w:w="70" w:type="dxa"/>
              <w:right w:w="80" w:type="dxa"/>
            </w:tcMar>
            <w:vAlign w:val="center"/>
          </w:tcPr>
          <w:p w14:paraId="3FD2A033" w14:textId="77777777" w:rsidR="00597143" w:rsidRPr="007F13D6" w:rsidRDefault="00597143" w:rsidP="00270375">
            <w:pPr>
              <w:spacing w:after="0" w:line="240" w:lineRule="auto"/>
              <w:rPr>
                <w:rFonts w:ascii="Arial" w:hAnsi="Arial" w:cs="Arial"/>
                <w:b/>
                <w:bCs/>
                <w:sz w:val="17"/>
                <w:szCs w:val="17"/>
              </w:rPr>
            </w:pPr>
            <w:r w:rsidRPr="007F13D6">
              <w:rPr>
                <w:rFonts w:ascii="Arial" w:hAnsi="Arial" w:cs="Arial"/>
                <w:b/>
                <w:bCs/>
                <w:color w:val="000000"/>
                <w:sz w:val="17"/>
                <w:szCs w:val="17"/>
              </w:rPr>
              <w:t>Five district calculation units explain the primary-scope difference.</w:t>
            </w:r>
          </w:p>
        </w:tc>
      </w:tr>
    </w:tbl>
    <w:p w14:paraId="790DEA53" w14:textId="77777777" w:rsidR="00726538" w:rsidRPr="007F13D6" w:rsidRDefault="00954852" w:rsidP="00CE7AFC">
      <w:pPr>
        <w:spacing w:before="120" w:after="120" w:line="240" w:lineRule="auto"/>
        <w:rPr>
          <w:rFonts w:ascii="Arial" w:hAnsi="Arial" w:cs="Arial"/>
        </w:rPr>
      </w:pPr>
      <w:r w:rsidRPr="007F13D6">
        <w:rPr>
          <w:rFonts w:ascii="Arial" w:hAnsi="Arial" w:cs="Arial"/>
          <w:i/>
          <w:color w:val="666666"/>
          <w:sz w:val="16"/>
        </w:rPr>
        <w:t>Source: PEFC Summary sheet and IV&amp;V school calculation-unit output.</w:t>
      </w:r>
    </w:p>
    <w:p w14:paraId="25E375BA" w14:textId="77777777" w:rsidR="00726538" w:rsidRPr="007F13D6" w:rsidRDefault="001C2E09" w:rsidP="00CE7AFC">
      <w:pPr>
        <w:pStyle w:val="BodyText"/>
        <w:keepLines/>
        <w:spacing w:before="120" w:line="240" w:lineRule="auto"/>
        <w:rPr>
          <w:rFonts w:ascii="Arial" w:hAnsi="Arial" w:cs="Arial"/>
        </w:rPr>
      </w:pPr>
      <w:r w:rsidRPr="007F13D6">
        <w:rPr>
          <w:rFonts w:ascii="Arial" w:hAnsi="Arial" w:cs="Arial"/>
        </w:rPr>
        <w:lastRenderedPageBreak/>
        <w:t>The primary-scope difference instead comes from five district school-code units for which the workbook carries zero principal positions. The IV&amp;V applies the proposed rule literally by assigning one principal to each included school calculation unit</w:t>
      </w:r>
      <w:r w:rsidR="00954852" w:rsidRPr="007F13D6">
        <w:rPr>
          <w:rFonts w:ascii="Arial" w:hAnsi="Arial" w:cs="Arial"/>
        </w:rPr>
        <w:t>.</w:t>
      </w:r>
    </w:p>
    <w:p w14:paraId="222838EA" w14:textId="21EBE811" w:rsidR="00DE651B" w:rsidRPr="007F13D6" w:rsidRDefault="00D97DDD" w:rsidP="00CE7AFC">
      <w:pPr>
        <w:pStyle w:val="Heading2"/>
        <w:spacing w:before="120" w:after="120" w:line="240" w:lineRule="auto"/>
        <w:rPr>
          <w:rFonts w:ascii="Arial" w:hAnsi="Arial" w:cs="Arial"/>
        </w:rPr>
      </w:pPr>
      <w:bookmarkStart w:id="31" w:name="_Toc237512566"/>
      <w:r w:rsidRPr="007F13D6">
        <w:rPr>
          <w:rFonts w:ascii="Arial" w:hAnsi="Arial" w:cs="Arial"/>
        </w:rPr>
        <w:t>5.</w:t>
      </w:r>
      <w:r w:rsidR="00DE651B" w:rsidRPr="007F13D6">
        <w:rPr>
          <w:rFonts w:ascii="Arial" w:hAnsi="Arial" w:cs="Arial"/>
        </w:rPr>
        <w:t>2 Staffing-rule interpretations produce practical differences</w:t>
      </w:r>
      <w:bookmarkEnd w:id="31"/>
    </w:p>
    <w:p w14:paraId="7C1C2266" w14:textId="77777777" w:rsidR="00DE651B" w:rsidRPr="007F13D6" w:rsidRDefault="00CB28BE" w:rsidP="00CE7AFC">
      <w:pPr>
        <w:spacing w:before="120" w:after="120" w:line="240" w:lineRule="auto"/>
        <w:rPr>
          <w:rFonts w:ascii="Arial" w:hAnsi="Arial" w:cs="Arial"/>
        </w:rPr>
      </w:pPr>
      <w:r w:rsidRPr="007F13D6">
        <w:rPr>
          <w:rFonts w:ascii="Arial" w:hAnsi="Arial" w:cs="Arial"/>
        </w:rPr>
        <w:t>Several additional differences arise because the workbook and IV&amp;V implementation interpret selected staffing rules or construct their calculation bases differently</w:t>
      </w:r>
      <w:r w:rsidR="00DE651B" w:rsidRPr="007F13D6">
        <w:rPr>
          <w:rFonts w:ascii="Arial" w:hAnsi="Arial" w:cs="Arial"/>
        </w:rPr>
        <w:t>.</w:t>
      </w:r>
    </w:p>
    <w:p w14:paraId="5E60A880" w14:textId="58BF8E94" w:rsidR="00DE651B" w:rsidRPr="007F13D6" w:rsidRDefault="00DE651B" w:rsidP="00CE7AFC">
      <w:pPr>
        <w:keepNext/>
        <w:spacing w:before="120" w:after="120" w:line="240" w:lineRule="auto"/>
        <w:rPr>
          <w:rFonts w:ascii="Arial" w:hAnsi="Arial" w:cs="Arial"/>
        </w:rPr>
      </w:pPr>
      <w:r w:rsidRPr="007F13D6">
        <w:rPr>
          <w:rFonts w:ascii="Arial" w:hAnsi="Arial" w:cs="Arial"/>
          <w:b/>
          <w:color w:val="1F4E78"/>
          <w:sz w:val="18"/>
        </w:rPr>
        <w:t>Exhibit 1</w:t>
      </w:r>
      <w:r w:rsidR="009728D0" w:rsidRPr="007F13D6">
        <w:rPr>
          <w:rFonts w:ascii="Arial" w:hAnsi="Arial" w:cs="Arial"/>
          <w:b/>
          <w:color w:val="1F4E78"/>
          <w:sz w:val="18"/>
        </w:rPr>
        <w:t>4</w:t>
      </w:r>
      <w:r w:rsidRPr="007F13D6">
        <w:rPr>
          <w:rFonts w:ascii="Arial" w:hAnsi="Arial" w:cs="Arial"/>
          <w:b/>
          <w:color w:val="1F4E78"/>
          <w:sz w:val="18"/>
        </w:rPr>
        <w:t>. Selected staffing-rule differences between the PEFC workbook and IV&amp;V model</w:t>
      </w:r>
    </w:p>
    <w:tbl>
      <w:tblPr>
        <w:tblW w:w="9288" w:type="dxa"/>
        <w:jc w:val="center"/>
        <w:tblLayout w:type="fixed"/>
        <w:tblLook w:val="04A0" w:firstRow="1" w:lastRow="0" w:firstColumn="1" w:lastColumn="0" w:noHBand="0" w:noVBand="1"/>
      </w:tblPr>
      <w:tblGrid>
        <w:gridCol w:w="2232"/>
        <w:gridCol w:w="2304"/>
        <w:gridCol w:w="4752"/>
      </w:tblGrid>
      <w:tr w:rsidR="00DE651B" w:rsidRPr="007F13D6" w14:paraId="1B70599E" w14:textId="77777777" w:rsidTr="00D27BFE">
        <w:trPr>
          <w:cantSplit/>
          <w:trHeight w:val="144"/>
          <w:tblHeader/>
          <w:jc w:val="center"/>
        </w:trPr>
        <w:tc>
          <w:tcPr>
            <w:tcW w:w="2232" w:type="dxa"/>
            <w:tcBorders>
              <w:bottom w:val="single" w:sz="8" w:space="0" w:color="FFFFFF"/>
            </w:tcBorders>
            <w:shd w:val="clear" w:color="auto" w:fill="1F4E78"/>
            <w:tcMar>
              <w:top w:w="70" w:type="dxa"/>
              <w:left w:w="80" w:type="dxa"/>
              <w:bottom w:w="70" w:type="dxa"/>
              <w:right w:w="80" w:type="dxa"/>
            </w:tcMar>
            <w:vAlign w:val="center"/>
          </w:tcPr>
          <w:p w14:paraId="3D2D23AC" w14:textId="77777777" w:rsidR="00DE651B" w:rsidRPr="007F13D6" w:rsidRDefault="00DE651B"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Area</w:t>
            </w:r>
          </w:p>
        </w:tc>
        <w:tc>
          <w:tcPr>
            <w:tcW w:w="2304" w:type="dxa"/>
            <w:tcBorders>
              <w:bottom w:val="single" w:sz="8" w:space="0" w:color="FFFFFF"/>
            </w:tcBorders>
            <w:shd w:val="clear" w:color="auto" w:fill="1F4E78"/>
            <w:tcMar>
              <w:top w:w="70" w:type="dxa"/>
              <w:left w:w="80" w:type="dxa"/>
              <w:bottom w:w="70" w:type="dxa"/>
              <w:right w:w="80" w:type="dxa"/>
            </w:tcMar>
            <w:vAlign w:val="center"/>
          </w:tcPr>
          <w:p w14:paraId="07BE49EA" w14:textId="77777777" w:rsidR="00DE651B" w:rsidRPr="007F13D6" w:rsidRDefault="002265D7"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IV&amp;V minus PEFC</w:t>
            </w:r>
          </w:p>
        </w:tc>
        <w:tc>
          <w:tcPr>
            <w:tcW w:w="4752" w:type="dxa"/>
            <w:tcBorders>
              <w:bottom w:val="single" w:sz="8" w:space="0" w:color="FFFFFF"/>
            </w:tcBorders>
            <w:shd w:val="clear" w:color="auto" w:fill="1F4E78"/>
            <w:tcMar>
              <w:top w:w="70" w:type="dxa"/>
              <w:left w:w="80" w:type="dxa"/>
              <w:bottom w:w="70" w:type="dxa"/>
              <w:right w:w="80" w:type="dxa"/>
            </w:tcMar>
            <w:vAlign w:val="center"/>
          </w:tcPr>
          <w:p w14:paraId="2A2653FA" w14:textId="77777777" w:rsidR="00DE651B" w:rsidRPr="007F13D6" w:rsidRDefault="00DE651B"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Practical explanation</w:t>
            </w:r>
          </w:p>
        </w:tc>
      </w:tr>
      <w:tr w:rsidR="00DE651B" w:rsidRPr="007F13D6" w14:paraId="06F9A3B5" w14:textId="77777777" w:rsidTr="00D27BFE">
        <w:trPr>
          <w:cantSplit/>
          <w:trHeight w:val="144"/>
          <w:jc w:val="center"/>
        </w:trPr>
        <w:tc>
          <w:tcPr>
            <w:tcW w:w="2232" w:type="dxa"/>
            <w:tcBorders>
              <w:bottom w:val="single" w:sz="4" w:space="0" w:color="B7B7B7"/>
            </w:tcBorders>
            <w:tcMar>
              <w:top w:w="70" w:type="dxa"/>
              <w:left w:w="80" w:type="dxa"/>
              <w:bottom w:w="70" w:type="dxa"/>
              <w:right w:w="80" w:type="dxa"/>
            </w:tcMar>
            <w:vAlign w:val="center"/>
          </w:tcPr>
          <w:p w14:paraId="402AB3ED" w14:textId="77777777" w:rsidR="00DE651B" w:rsidRPr="007F13D6" w:rsidRDefault="00DE651B" w:rsidP="00270375">
            <w:pPr>
              <w:spacing w:after="0" w:line="240" w:lineRule="auto"/>
              <w:rPr>
                <w:rFonts w:ascii="Arial" w:hAnsi="Arial" w:cs="Arial"/>
                <w:sz w:val="17"/>
                <w:szCs w:val="17"/>
              </w:rPr>
            </w:pPr>
            <w:r w:rsidRPr="007F13D6">
              <w:rPr>
                <w:rFonts w:ascii="Arial" w:hAnsi="Arial" w:cs="Arial"/>
                <w:color w:val="000000"/>
                <w:sz w:val="17"/>
                <w:szCs w:val="17"/>
              </w:rPr>
              <w:t>Assistant Principals</w:t>
            </w:r>
          </w:p>
        </w:tc>
        <w:tc>
          <w:tcPr>
            <w:tcW w:w="2304" w:type="dxa"/>
            <w:tcBorders>
              <w:bottom w:val="single" w:sz="4" w:space="0" w:color="B7B7B7"/>
            </w:tcBorders>
            <w:tcMar>
              <w:top w:w="70" w:type="dxa"/>
              <w:left w:w="80" w:type="dxa"/>
              <w:bottom w:w="70" w:type="dxa"/>
              <w:right w:w="80" w:type="dxa"/>
            </w:tcMar>
            <w:vAlign w:val="center"/>
          </w:tcPr>
          <w:p w14:paraId="41456769" w14:textId="77777777" w:rsidR="00DE651B" w:rsidRPr="007F13D6" w:rsidRDefault="00DE651B" w:rsidP="00270375">
            <w:pPr>
              <w:spacing w:after="0" w:line="240" w:lineRule="auto"/>
              <w:rPr>
                <w:rFonts w:ascii="Arial" w:hAnsi="Arial" w:cs="Arial"/>
                <w:sz w:val="17"/>
                <w:szCs w:val="17"/>
              </w:rPr>
            </w:pPr>
            <w:r w:rsidRPr="007F13D6">
              <w:rPr>
                <w:rFonts w:ascii="Arial" w:hAnsi="Arial" w:cs="Arial"/>
                <w:color w:val="000000"/>
                <w:sz w:val="17"/>
                <w:szCs w:val="17"/>
              </w:rPr>
              <w:t>+18.25 positions; +$2.45M</w:t>
            </w:r>
          </w:p>
        </w:tc>
        <w:tc>
          <w:tcPr>
            <w:tcW w:w="4752" w:type="dxa"/>
            <w:tcBorders>
              <w:bottom w:val="single" w:sz="4" w:space="0" w:color="B7B7B7"/>
            </w:tcBorders>
            <w:tcMar>
              <w:top w:w="70" w:type="dxa"/>
              <w:left w:w="80" w:type="dxa"/>
              <w:bottom w:w="70" w:type="dxa"/>
              <w:right w:w="80" w:type="dxa"/>
            </w:tcMar>
            <w:vAlign w:val="center"/>
          </w:tcPr>
          <w:p w14:paraId="1E9CF898" w14:textId="77777777" w:rsidR="00DE651B" w:rsidRPr="007F13D6" w:rsidRDefault="00DE651B" w:rsidP="00270375">
            <w:pPr>
              <w:spacing w:after="0" w:line="240" w:lineRule="auto"/>
              <w:rPr>
                <w:rFonts w:ascii="Arial" w:hAnsi="Arial" w:cs="Arial"/>
                <w:sz w:val="17"/>
                <w:szCs w:val="17"/>
              </w:rPr>
            </w:pPr>
            <w:r w:rsidRPr="007F13D6">
              <w:rPr>
                <w:rFonts w:ascii="Arial" w:hAnsi="Arial" w:cs="Arial"/>
                <w:color w:val="000000"/>
                <w:sz w:val="17"/>
                <w:szCs w:val="17"/>
              </w:rPr>
              <w:t>The IV&amp;V retains the written 0.65 and 1.65 fractional awards, while the workbook formula rounds those awards down.</w:t>
            </w:r>
          </w:p>
        </w:tc>
      </w:tr>
      <w:tr w:rsidR="00DE651B" w:rsidRPr="007F13D6" w14:paraId="7BF9A8C7" w14:textId="77777777" w:rsidTr="00D27BFE">
        <w:trPr>
          <w:cantSplit/>
          <w:trHeight w:val="144"/>
          <w:jc w:val="center"/>
        </w:trPr>
        <w:tc>
          <w:tcPr>
            <w:tcW w:w="2232" w:type="dxa"/>
            <w:tcBorders>
              <w:bottom w:val="single" w:sz="4" w:space="0" w:color="B7B7B7"/>
            </w:tcBorders>
            <w:shd w:val="clear" w:color="auto" w:fill="EAF3F8"/>
            <w:tcMar>
              <w:top w:w="70" w:type="dxa"/>
              <w:left w:w="80" w:type="dxa"/>
              <w:bottom w:w="70" w:type="dxa"/>
              <w:right w:w="80" w:type="dxa"/>
            </w:tcMar>
            <w:vAlign w:val="center"/>
          </w:tcPr>
          <w:p w14:paraId="320A0AFB" w14:textId="77777777" w:rsidR="00DE651B" w:rsidRPr="007F13D6" w:rsidRDefault="00DE651B" w:rsidP="00270375">
            <w:pPr>
              <w:spacing w:after="0" w:line="240" w:lineRule="auto"/>
              <w:rPr>
                <w:rFonts w:ascii="Arial" w:hAnsi="Arial" w:cs="Arial"/>
                <w:sz w:val="17"/>
                <w:szCs w:val="17"/>
              </w:rPr>
            </w:pPr>
            <w:r w:rsidRPr="007F13D6">
              <w:rPr>
                <w:rFonts w:ascii="Arial" w:hAnsi="Arial" w:cs="Arial"/>
                <w:color w:val="000000"/>
                <w:sz w:val="17"/>
                <w:szCs w:val="17"/>
              </w:rPr>
              <w:t>Assistant Superintendents</w:t>
            </w:r>
          </w:p>
        </w:tc>
        <w:tc>
          <w:tcPr>
            <w:tcW w:w="2304" w:type="dxa"/>
            <w:tcBorders>
              <w:bottom w:val="single" w:sz="4" w:space="0" w:color="B7B7B7"/>
            </w:tcBorders>
            <w:shd w:val="clear" w:color="auto" w:fill="EAF3F8"/>
            <w:tcMar>
              <w:top w:w="70" w:type="dxa"/>
              <w:left w:w="80" w:type="dxa"/>
              <w:bottom w:w="70" w:type="dxa"/>
              <w:right w:w="80" w:type="dxa"/>
            </w:tcMar>
            <w:vAlign w:val="center"/>
          </w:tcPr>
          <w:p w14:paraId="465409D0" w14:textId="77777777" w:rsidR="00DE651B" w:rsidRPr="007F13D6" w:rsidRDefault="00DE651B" w:rsidP="00270375">
            <w:pPr>
              <w:spacing w:after="0" w:line="240" w:lineRule="auto"/>
              <w:rPr>
                <w:rFonts w:ascii="Arial" w:hAnsi="Arial" w:cs="Arial"/>
                <w:sz w:val="17"/>
                <w:szCs w:val="17"/>
              </w:rPr>
            </w:pPr>
            <w:r w:rsidRPr="007F13D6">
              <w:rPr>
                <w:rFonts w:ascii="Arial" w:hAnsi="Arial" w:cs="Arial"/>
                <w:color w:val="000000"/>
                <w:sz w:val="17"/>
                <w:szCs w:val="17"/>
              </w:rPr>
              <w:t>-1.97 positions; -$0.33M</w:t>
            </w:r>
          </w:p>
        </w:tc>
        <w:tc>
          <w:tcPr>
            <w:tcW w:w="4752" w:type="dxa"/>
            <w:tcBorders>
              <w:bottom w:val="single" w:sz="4" w:space="0" w:color="B7B7B7"/>
            </w:tcBorders>
            <w:shd w:val="clear" w:color="auto" w:fill="EAF3F8"/>
            <w:tcMar>
              <w:top w:w="70" w:type="dxa"/>
              <w:left w:w="80" w:type="dxa"/>
              <w:bottom w:w="70" w:type="dxa"/>
              <w:right w:w="80" w:type="dxa"/>
            </w:tcMar>
            <w:vAlign w:val="center"/>
          </w:tcPr>
          <w:p w14:paraId="2109471B" w14:textId="77777777" w:rsidR="00DE651B" w:rsidRPr="007F13D6" w:rsidRDefault="00DE651B" w:rsidP="00270375">
            <w:pPr>
              <w:spacing w:after="0" w:line="240" w:lineRule="auto"/>
              <w:rPr>
                <w:rFonts w:ascii="Arial" w:hAnsi="Arial" w:cs="Arial"/>
                <w:sz w:val="17"/>
                <w:szCs w:val="17"/>
              </w:rPr>
            </w:pPr>
            <w:r w:rsidRPr="007F13D6">
              <w:rPr>
                <w:rFonts w:ascii="Arial" w:hAnsi="Arial" w:cs="Arial"/>
                <w:color w:val="000000"/>
                <w:sz w:val="17"/>
                <w:szCs w:val="17"/>
              </w:rPr>
              <w:t>The IV&amp;V applies completed 300-position thresholds, capped at two positions, while the workbook produces a proportional second position.</w:t>
            </w:r>
          </w:p>
        </w:tc>
      </w:tr>
      <w:tr w:rsidR="00DE651B" w:rsidRPr="007F13D6" w14:paraId="7B4E645D" w14:textId="77777777" w:rsidTr="00D27BFE">
        <w:trPr>
          <w:cantSplit/>
          <w:trHeight w:val="144"/>
          <w:jc w:val="center"/>
        </w:trPr>
        <w:tc>
          <w:tcPr>
            <w:tcW w:w="2232" w:type="dxa"/>
            <w:tcBorders>
              <w:bottom w:val="single" w:sz="4" w:space="0" w:color="B7B7B7"/>
            </w:tcBorders>
            <w:tcMar>
              <w:top w:w="70" w:type="dxa"/>
              <w:left w:w="80" w:type="dxa"/>
              <w:bottom w:w="70" w:type="dxa"/>
              <w:right w:w="80" w:type="dxa"/>
            </w:tcMar>
            <w:vAlign w:val="center"/>
          </w:tcPr>
          <w:p w14:paraId="33CCCF8F" w14:textId="77777777" w:rsidR="00DE651B" w:rsidRPr="007F13D6" w:rsidRDefault="00DE651B" w:rsidP="00270375">
            <w:pPr>
              <w:spacing w:after="0" w:line="240" w:lineRule="auto"/>
              <w:rPr>
                <w:rFonts w:ascii="Arial" w:hAnsi="Arial" w:cs="Arial"/>
                <w:sz w:val="17"/>
                <w:szCs w:val="17"/>
              </w:rPr>
            </w:pPr>
            <w:r w:rsidRPr="007F13D6">
              <w:rPr>
                <w:rFonts w:ascii="Arial" w:hAnsi="Arial" w:cs="Arial"/>
                <w:color w:val="000000"/>
                <w:sz w:val="17"/>
                <w:szCs w:val="17"/>
              </w:rPr>
              <w:t>Instructional Supports</w:t>
            </w:r>
          </w:p>
        </w:tc>
        <w:tc>
          <w:tcPr>
            <w:tcW w:w="2304" w:type="dxa"/>
            <w:tcBorders>
              <w:bottom w:val="single" w:sz="4" w:space="0" w:color="B7B7B7"/>
            </w:tcBorders>
            <w:tcMar>
              <w:top w:w="70" w:type="dxa"/>
              <w:left w:w="80" w:type="dxa"/>
              <w:bottom w:w="70" w:type="dxa"/>
              <w:right w:w="80" w:type="dxa"/>
            </w:tcMar>
            <w:vAlign w:val="center"/>
          </w:tcPr>
          <w:p w14:paraId="53435EC4" w14:textId="77777777" w:rsidR="00DE651B" w:rsidRPr="007F13D6" w:rsidRDefault="00DE651B" w:rsidP="00270375">
            <w:pPr>
              <w:spacing w:after="0" w:line="240" w:lineRule="auto"/>
              <w:rPr>
                <w:rFonts w:ascii="Arial" w:hAnsi="Arial" w:cs="Arial"/>
                <w:sz w:val="17"/>
                <w:szCs w:val="17"/>
              </w:rPr>
            </w:pPr>
            <w:r w:rsidRPr="007F13D6">
              <w:rPr>
                <w:rFonts w:ascii="Arial" w:hAnsi="Arial" w:cs="Arial"/>
                <w:color w:val="000000"/>
                <w:sz w:val="17"/>
                <w:szCs w:val="17"/>
              </w:rPr>
              <w:t>+3.43 positions; +$0.33M</w:t>
            </w:r>
          </w:p>
        </w:tc>
        <w:tc>
          <w:tcPr>
            <w:tcW w:w="4752" w:type="dxa"/>
            <w:tcBorders>
              <w:bottom w:val="single" w:sz="4" w:space="0" w:color="B7B7B7"/>
            </w:tcBorders>
            <w:tcMar>
              <w:top w:w="70" w:type="dxa"/>
              <w:left w:w="80" w:type="dxa"/>
              <w:bottom w:w="70" w:type="dxa"/>
              <w:right w:w="80" w:type="dxa"/>
            </w:tcMar>
            <w:vAlign w:val="center"/>
          </w:tcPr>
          <w:p w14:paraId="5A97596C" w14:textId="77777777" w:rsidR="00DE651B" w:rsidRPr="007F13D6" w:rsidRDefault="005F14C1" w:rsidP="00270375">
            <w:pPr>
              <w:spacing w:after="0" w:line="240" w:lineRule="auto"/>
              <w:rPr>
                <w:rFonts w:ascii="Arial" w:hAnsi="Arial" w:cs="Arial"/>
                <w:sz w:val="17"/>
                <w:szCs w:val="17"/>
              </w:rPr>
            </w:pPr>
            <w:r w:rsidRPr="007F13D6">
              <w:rPr>
                <w:rFonts w:ascii="Arial" w:hAnsi="Arial" w:cs="Arial"/>
                <w:color w:val="000000"/>
                <w:sz w:val="17"/>
                <w:szCs w:val="17"/>
              </w:rPr>
              <w:t>Both implementations use a 20% factor, but some charter-wide vocational positions and deductions are not carried into the workbook’s building-level calculation bases. The IV&amp;V applies the factor to the complete Base Division I position total</w:t>
            </w:r>
            <w:r w:rsidR="00DE651B" w:rsidRPr="007F13D6">
              <w:rPr>
                <w:rFonts w:ascii="Arial" w:hAnsi="Arial" w:cs="Arial"/>
                <w:color w:val="000000"/>
                <w:sz w:val="17"/>
                <w:szCs w:val="17"/>
              </w:rPr>
              <w:t>.</w:t>
            </w:r>
          </w:p>
        </w:tc>
      </w:tr>
    </w:tbl>
    <w:p w14:paraId="096D45B7" w14:textId="77777777" w:rsidR="000E46B6" w:rsidRPr="007F13D6" w:rsidRDefault="00DE651B" w:rsidP="00CE7AFC">
      <w:pPr>
        <w:spacing w:before="120" w:after="120" w:line="240" w:lineRule="auto"/>
        <w:rPr>
          <w:rFonts w:ascii="Arial" w:hAnsi="Arial" w:cs="Arial"/>
          <w:i/>
          <w:color w:val="666666"/>
          <w:sz w:val="16"/>
        </w:rPr>
      </w:pPr>
      <w:r w:rsidRPr="007F13D6">
        <w:rPr>
          <w:rFonts w:ascii="Arial" w:hAnsi="Arial" w:cs="Arial"/>
          <w:i/>
          <w:color w:val="666666"/>
          <w:sz w:val="16"/>
        </w:rPr>
        <w:t>Source: 10_pefc_component_comparison.csv; 11_open_items_and_assumptions.csv.</w:t>
      </w:r>
    </w:p>
    <w:p w14:paraId="50E808F0" w14:textId="2B96A5C3" w:rsidR="00B25FD3" w:rsidRPr="007F13D6" w:rsidRDefault="00B25FD3" w:rsidP="00CE7AFC">
      <w:pPr>
        <w:spacing w:before="120" w:after="120" w:line="240" w:lineRule="auto"/>
        <w:rPr>
          <w:rFonts w:ascii="Arial" w:hAnsi="Arial" w:cs="Arial"/>
          <w:i/>
          <w:color w:val="666666"/>
          <w:sz w:val="16"/>
        </w:rPr>
      </w:pPr>
      <w:r w:rsidRPr="007F13D6">
        <w:rPr>
          <w:rFonts w:ascii="Arial" w:hAnsi="Arial" w:cs="Arial"/>
          <w:i/>
          <w:color w:val="666666"/>
          <w:sz w:val="16"/>
        </w:rPr>
        <w:t>Note: Exhibit 14 uses the PEFC workbook-as-presented diagnostic scope. DAFB is retained only where needed to reproduce and audit the workbook; the aligned 43-LEA comparison excludes DAFB.</w:t>
      </w:r>
    </w:p>
    <w:p w14:paraId="40182FC2" w14:textId="77777777" w:rsidR="000E46B6" w:rsidRPr="007F13D6" w:rsidRDefault="0025617E" w:rsidP="00CE7AFC">
      <w:pPr>
        <w:spacing w:before="120" w:after="120" w:line="240" w:lineRule="auto"/>
        <w:rPr>
          <w:rFonts w:ascii="Arial" w:hAnsi="Arial" w:cs="Arial"/>
        </w:rPr>
      </w:pPr>
      <w:r w:rsidRPr="007F13D6">
        <w:rPr>
          <w:rFonts w:ascii="Arial" w:hAnsi="Arial" w:cs="Arial"/>
        </w:rPr>
        <w:t>The Assistant Principal difference is the largest of these examples. The calculator states</w:t>
      </w:r>
      <w:r w:rsidR="000C5B6B" w:rsidRPr="007F13D6">
        <w:rPr>
          <w:rFonts w:ascii="Arial" w:hAnsi="Arial" w:cs="Arial"/>
        </w:rPr>
        <w:t>,</w:t>
      </w:r>
    </w:p>
    <w:p w14:paraId="7AECFABE" w14:textId="77777777" w:rsidR="000E46B6" w:rsidRPr="007F13D6" w:rsidRDefault="0025617E" w:rsidP="00CE7AFC">
      <w:pPr>
        <w:spacing w:before="120" w:after="120" w:line="240" w:lineRule="auto"/>
        <w:ind w:left="720"/>
        <w:rPr>
          <w:rFonts w:ascii="Arial" w:hAnsi="Arial" w:cs="Arial"/>
        </w:rPr>
      </w:pPr>
      <w:r w:rsidRPr="007F13D6">
        <w:rPr>
          <w:rFonts w:ascii="Arial" w:hAnsi="Arial" w:cs="Arial"/>
        </w:rPr>
        <w:t>“1 Position per 30 or more Division I, Administrative Support Professional, and Instructional Support Positions or 65% of a Position for schools which earn 25 Positions, but less than 30; and a second Position when the school earns 55 Positions or 65% of a Position when earning 50 Positions, but less than 55; subsequent Positions are earned on the basis of 1 Position per 20 Positions beyond the first 55.”</w:t>
      </w:r>
    </w:p>
    <w:p w14:paraId="705C3FFC" w14:textId="1BB0E17E" w:rsidR="000E46B6" w:rsidRPr="007F13D6" w:rsidRDefault="002C4EA4" w:rsidP="00CE7AFC">
      <w:pPr>
        <w:spacing w:before="120" w:after="120" w:line="240" w:lineRule="auto"/>
        <w:rPr>
          <w:rFonts w:ascii="Arial" w:hAnsi="Arial" w:cs="Arial"/>
        </w:rPr>
      </w:pPr>
      <w:r w:rsidRPr="007F13D6">
        <w:rPr>
          <w:rFonts w:ascii="Arial" w:hAnsi="Arial" w:cs="Arial"/>
        </w:rPr>
        <w:t xml:space="preserve">The IV&amp;V applies the written schedule as 0.65 position from 25 to fewer than 30 positions, one position from 30 to fewer than 50, 1.65 positions from 50 to fewer than 55, and two positions at 55, followed by one additional position for each completed 20-position increment. The PEFC workbook uses the same values but applies ROUNDDOWN to </w:t>
      </w:r>
      <w:proofErr w:type="gramStart"/>
      <w:r w:rsidRPr="007F13D6">
        <w:rPr>
          <w:rFonts w:ascii="Arial" w:hAnsi="Arial" w:cs="Arial"/>
        </w:rPr>
        <w:t>the final result</w:t>
      </w:r>
      <w:proofErr w:type="gramEnd"/>
      <w:r w:rsidRPr="007F13D6">
        <w:rPr>
          <w:rFonts w:ascii="Arial" w:hAnsi="Arial" w:cs="Arial"/>
        </w:rPr>
        <w:t xml:space="preserve">, converting 0.65 to zero and 1.65 to one. </w:t>
      </w:r>
      <w:r w:rsidR="00B32051" w:rsidRPr="007F13D6">
        <w:rPr>
          <w:rFonts w:ascii="Arial" w:hAnsi="Arial" w:cs="Arial"/>
        </w:rPr>
        <w:t xml:space="preserve">For example, Hartly Elementary falls within the 25-to-fewer-than-30 tier and receives 0.65 under the IV&amp;V but zero in the workbook. East Dover Early Childhood Center falls within the 50-to-fewer-than-55 tier and receives 1.65 under the IV&amp;V but one in the </w:t>
      </w:r>
      <w:r w:rsidR="00B65637" w:rsidRPr="007F13D6">
        <w:rPr>
          <w:rFonts w:ascii="Arial" w:hAnsi="Arial" w:cs="Arial"/>
        </w:rPr>
        <w:t>workbook.</w:t>
      </w:r>
      <w:r w:rsidRPr="007F13D6">
        <w:rPr>
          <w:rFonts w:ascii="Arial" w:hAnsi="Arial" w:cs="Arial"/>
        </w:rPr>
        <w:t xml:space="preserve"> </w:t>
      </w:r>
      <w:r w:rsidR="006A3848" w:rsidRPr="007F13D6">
        <w:rPr>
          <w:rFonts w:ascii="Arial" w:hAnsi="Arial" w:cs="Arial"/>
        </w:rPr>
        <w:t>Across the workbook-as-presented diagnostic scope</w:t>
      </w:r>
      <w:r w:rsidRPr="007F13D6">
        <w:rPr>
          <w:rFonts w:ascii="Arial" w:hAnsi="Arial" w:cs="Arial"/>
        </w:rPr>
        <w:t>, this produces 18.25 fewer Assistant Principal positions in the workbook</w:t>
      </w:r>
      <w:r w:rsidR="0025617E" w:rsidRPr="007F13D6">
        <w:rPr>
          <w:rFonts w:ascii="Arial" w:hAnsi="Arial" w:cs="Arial"/>
        </w:rPr>
        <w:t>.</w:t>
      </w:r>
    </w:p>
    <w:p w14:paraId="1E0F9538" w14:textId="77777777" w:rsidR="000C5B6B" w:rsidRPr="007F13D6" w:rsidRDefault="00503EA3" w:rsidP="00CE7AFC">
      <w:pPr>
        <w:spacing w:before="120" w:after="120" w:line="240" w:lineRule="auto"/>
        <w:rPr>
          <w:rFonts w:ascii="Arial" w:hAnsi="Arial" w:cs="Arial"/>
        </w:rPr>
      </w:pPr>
      <w:r w:rsidRPr="007F13D6">
        <w:rPr>
          <w:rFonts w:ascii="Arial" w:hAnsi="Arial" w:cs="Arial"/>
        </w:rPr>
        <w:t>The Assistant Superintendent difference reflects whether the current whole-position rule should continue under the proposed model. The calculator states,</w:t>
      </w:r>
    </w:p>
    <w:p w14:paraId="56DC43C2" w14:textId="77777777" w:rsidR="000C5B6B" w:rsidRPr="007F13D6" w:rsidRDefault="00503EA3" w:rsidP="00CE7AFC">
      <w:pPr>
        <w:spacing w:before="120" w:after="120" w:line="240" w:lineRule="auto"/>
        <w:ind w:left="720"/>
        <w:rPr>
          <w:rFonts w:ascii="Arial" w:hAnsi="Arial" w:cs="Arial"/>
        </w:rPr>
      </w:pPr>
      <w:r w:rsidRPr="007F13D6">
        <w:rPr>
          <w:rFonts w:ascii="Arial" w:hAnsi="Arial" w:cs="Arial"/>
        </w:rPr>
        <w:t>“1 Position per 300 Division I Positions (max of 2).”</w:t>
      </w:r>
    </w:p>
    <w:p w14:paraId="5B204F14" w14:textId="3568EC2A" w:rsidR="00503EA3" w:rsidRPr="007F13D6" w:rsidRDefault="00377A5D" w:rsidP="00CE7AFC">
      <w:pPr>
        <w:spacing w:before="120" w:after="120" w:line="240" w:lineRule="auto"/>
        <w:rPr>
          <w:rFonts w:ascii="Arial" w:hAnsi="Arial" w:cs="Arial"/>
        </w:rPr>
      </w:pPr>
      <w:r w:rsidRPr="007F13D6">
        <w:rPr>
          <w:rFonts w:ascii="Arial" w:hAnsi="Arial" w:cs="Arial"/>
        </w:rPr>
        <w:t xml:space="preserve">The recreated current model awards one Assistant Superintendent for each completed 300 Division I units, capped at two, and does not provide fractional positions. Because the proposed materials do not explicitly authorize a change to that treatment, the IV&amp;V applies the same completed-threshold approach to Total Base positions. Milford illustrates the difference: its 454.97 Total Base positions produce one Assistant Superintendent under the IV&amp;V interpretation but 1.52 in the PEFC workbook. </w:t>
      </w:r>
      <w:r w:rsidR="00B32051" w:rsidRPr="007F13D6">
        <w:rPr>
          <w:rFonts w:ascii="Arial" w:hAnsi="Arial" w:cs="Arial"/>
        </w:rPr>
        <w:t>Similarly, New Castle County Vocational-Technical has 538.20 Total Base positions under the IV&amp;V and receives one Assistant Superintendent, while the workbook uses a 537.21-position base and produces 1.79 positions</w:t>
      </w:r>
      <w:r w:rsidRPr="007F13D6">
        <w:rPr>
          <w:rFonts w:ascii="Arial" w:hAnsi="Arial" w:cs="Arial"/>
        </w:rPr>
        <w:t>. Across all LEAs, this treatment results in 1.97 more Assistant Superintendent positions in the workbook than in the IV&amp;V implementation. Confirmation is therefore needed on whether the proposed model is intended to retain the current whole-position rule or introduce fractional eligibility</w:t>
      </w:r>
      <w:r w:rsidR="00503EA3" w:rsidRPr="007F13D6">
        <w:rPr>
          <w:rFonts w:ascii="Arial" w:hAnsi="Arial" w:cs="Arial"/>
        </w:rPr>
        <w:t>.</w:t>
      </w:r>
    </w:p>
    <w:p w14:paraId="018697CC" w14:textId="4168CF9A" w:rsidR="008A3C0B" w:rsidRPr="007F13D6" w:rsidRDefault="0058140E" w:rsidP="00CE7AFC">
      <w:pPr>
        <w:spacing w:before="120" w:after="120" w:line="240" w:lineRule="auto"/>
        <w:rPr>
          <w:rFonts w:ascii="Arial" w:hAnsi="Arial" w:cs="Arial"/>
          <w:b/>
          <w:bCs/>
        </w:rPr>
      </w:pPr>
      <w:r w:rsidRPr="007F13D6">
        <w:rPr>
          <w:rFonts w:ascii="Arial" w:hAnsi="Arial" w:cs="Arial"/>
        </w:rPr>
        <w:lastRenderedPageBreak/>
        <w:t xml:space="preserve">The Instructional Supports difference does not reflect a different percentage: both implementations use 20%. For some multi-building charters, the workbook’s building-level bases exclude net vocational positions recorded only at the charter level. For example, Newark Charter’s building bases total 205.87 positions and produce 41.17 Instructional Supports positions. Including its 4.04 net vocational positions raises the IV&amp;V base to 209.91 and the allocation to 41.98, a difference of 0.81 position. </w:t>
      </w:r>
      <w:r w:rsidR="00D27CDC" w:rsidRPr="007F13D6">
        <w:rPr>
          <w:rFonts w:ascii="Arial" w:hAnsi="Arial" w:cs="Arial"/>
        </w:rPr>
        <w:t>Across the workbook-as-presented diagnostic scope</w:t>
      </w:r>
      <w:r w:rsidR="00BD1A22" w:rsidRPr="007F13D6">
        <w:rPr>
          <w:rFonts w:ascii="Arial" w:hAnsi="Arial" w:cs="Arial"/>
        </w:rPr>
        <w:t>, these differences produce 3.43 additional positions, or approximately $0.33 million, in the IV&amp;V implementation</w:t>
      </w:r>
      <w:r w:rsidR="008A3C0B" w:rsidRPr="007F13D6">
        <w:rPr>
          <w:rFonts w:ascii="Arial" w:hAnsi="Arial" w:cs="Arial"/>
        </w:rPr>
        <w:t>.</w:t>
      </w:r>
    </w:p>
    <w:p w14:paraId="237A254F" w14:textId="18963751" w:rsidR="00726538" w:rsidRPr="007F13D6" w:rsidRDefault="00D97DDD" w:rsidP="00CE7AFC">
      <w:pPr>
        <w:pStyle w:val="Heading2"/>
        <w:spacing w:before="120" w:after="120" w:line="240" w:lineRule="auto"/>
        <w:rPr>
          <w:rFonts w:ascii="Arial" w:hAnsi="Arial" w:cs="Arial"/>
        </w:rPr>
      </w:pPr>
      <w:bookmarkStart w:id="32" w:name="_Toc237512567"/>
      <w:r w:rsidRPr="007F13D6">
        <w:rPr>
          <w:rFonts w:ascii="Arial" w:hAnsi="Arial" w:cs="Arial"/>
        </w:rPr>
        <w:t>5.</w:t>
      </w:r>
      <w:r w:rsidR="00954852" w:rsidRPr="007F13D6">
        <w:rPr>
          <w:rFonts w:ascii="Arial" w:hAnsi="Arial" w:cs="Arial"/>
        </w:rPr>
        <w:t>3 DAFB creates a scope difference</w:t>
      </w:r>
      <w:bookmarkEnd w:id="32"/>
    </w:p>
    <w:p w14:paraId="1FF60405" w14:textId="77777777" w:rsidR="00965DB1" w:rsidRPr="007F13D6" w:rsidRDefault="00BD1A22" w:rsidP="00CE7AFC">
      <w:pPr>
        <w:spacing w:before="120" w:after="120" w:line="240" w:lineRule="auto"/>
        <w:rPr>
          <w:rFonts w:ascii="Arial" w:hAnsi="Arial" w:cs="Arial"/>
        </w:rPr>
      </w:pPr>
      <w:r w:rsidRPr="007F13D6">
        <w:rPr>
          <w:rFonts w:ascii="Arial" w:hAnsi="Arial" w:cs="Arial"/>
        </w:rPr>
        <w:t>DAFB is included in the PEFC workbook’s Base, Opportunity, and Operational Funding calculations but excluded from Central Office Funding. Its displayed allocation totals approximately $5.12 million: $4.59 million in Base Funding, $0.01 million in Opportunity Funding, and $0.51 million in Operational Funding. The IV&amp;V excludes DAFB from all four sections because it does not receive state funding</w:t>
      </w:r>
      <w:r w:rsidR="00965DB1" w:rsidRPr="007F13D6">
        <w:rPr>
          <w:rFonts w:ascii="Arial" w:hAnsi="Arial" w:cs="Arial"/>
        </w:rPr>
        <w:t>.</w:t>
      </w:r>
    </w:p>
    <w:p w14:paraId="3C04FB43" w14:textId="77777777" w:rsidR="003377AB" w:rsidRPr="007F13D6" w:rsidRDefault="00965DB1" w:rsidP="00CE7AFC">
      <w:pPr>
        <w:spacing w:before="120" w:after="120" w:line="240" w:lineRule="auto"/>
        <w:rPr>
          <w:rFonts w:ascii="Arial" w:hAnsi="Arial" w:cs="Arial"/>
          <w:b/>
          <w:bCs/>
        </w:rPr>
      </w:pPr>
      <w:r w:rsidRPr="007F13D6">
        <w:rPr>
          <w:rFonts w:ascii="Arial" w:hAnsi="Arial" w:cs="Arial"/>
        </w:rPr>
        <w:t>The Opportunity and Operational amounts are portions of fixed statewide pools, so they are redistributed among the remaining 43 LEAs rather than removed from statewide funding. DAFB’s exclusion therefore reduces the modeled statewide total by its approximately $4.59 million Base allocation, while leaving the two weighted funding pools unchanged</w:t>
      </w:r>
      <w:r w:rsidR="003377AB" w:rsidRPr="007F13D6">
        <w:rPr>
          <w:rFonts w:ascii="Arial" w:hAnsi="Arial" w:cs="Arial"/>
        </w:rPr>
        <w:t>.</w:t>
      </w:r>
    </w:p>
    <w:p w14:paraId="26280774" w14:textId="77777777" w:rsidR="003377AB" w:rsidRPr="007F13D6" w:rsidRDefault="003377AB" w:rsidP="00CE7AFC">
      <w:pPr>
        <w:spacing w:before="120" w:after="120" w:line="240" w:lineRule="auto"/>
        <w:rPr>
          <w:rFonts w:ascii="Arial" w:hAnsi="Arial" w:cs="Arial"/>
        </w:rPr>
      </w:pPr>
      <w:r w:rsidRPr="007F13D6">
        <w:rPr>
          <w:rFonts w:ascii="Arial" w:hAnsi="Arial" w:cs="Arial"/>
          <w:i/>
          <w:color w:val="666666"/>
          <w:sz w:val="16"/>
        </w:rPr>
        <w:t>Source: 11_pefc_dafb_scope_discrepancy.csv; 11_pefc_reconciliation_summary.csv.</w:t>
      </w:r>
    </w:p>
    <w:p w14:paraId="68B2C1A8" w14:textId="60855C97" w:rsidR="00F0285B" w:rsidRPr="007F13D6" w:rsidRDefault="00D97DDD" w:rsidP="00CE7AFC">
      <w:pPr>
        <w:pStyle w:val="Heading2"/>
        <w:spacing w:before="120" w:after="120" w:line="240" w:lineRule="auto"/>
        <w:rPr>
          <w:rFonts w:ascii="Arial" w:hAnsi="Arial" w:cs="Arial"/>
        </w:rPr>
      </w:pPr>
      <w:bookmarkStart w:id="33" w:name="_Toc237512568"/>
      <w:r w:rsidRPr="007F13D6">
        <w:rPr>
          <w:rFonts w:ascii="Arial" w:hAnsi="Arial" w:cs="Arial"/>
        </w:rPr>
        <w:t>5.</w:t>
      </w:r>
      <w:r w:rsidR="00F0285B" w:rsidRPr="007F13D6">
        <w:rPr>
          <w:rFonts w:ascii="Arial" w:hAnsi="Arial" w:cs="Arial"/>
        </w:rPr>
        <w:t>4 Overall assessment</w:t>
      </w:r>
      <w:bookmarkEnd w:id="33"/>
    </w:p>
    <w:p w14:paraId="3A3FD992" w14:textId="3E9CEDD7" w:rsidR="003377AB" w:rsidRPr="007F13D6" w:rsidRDefault="00BD1A22" w:rsidP="00CE7AFC">
      <w:pPr>
        <w:pStyle w:val="BodyText"/>
        <w:keepLines/>
        <w:spacing w:before="120" w:line="240" w:lineRule="auto"/>
        <w:rPr>
          <w:rFonts w:ascii="Arial" w:hAnsi="Arial" w:cs="Arial"/>
        </w:rPr>
      </w:pPr>
      <w:r w:rsidRPr="007F13D6">
        <w:rPr>
          <w:rFonts w:ascii="Arial" w:hAnsi="Arial" w:cs="Arial"/>
        </w:rPr>
        <w:t>The PEFC workbook’s overall proposed-model architecture can be independently reproduced. Within the same 43-LEA scope, the two implementations differ by approximately 0.18% in total modeled funding. The most salient differences involve principal treatment for five district calculation units, fractional Assistant Principal awards, Assistant Superintendent thresholds, the Base Division I position total used for Instructional Supports, and DAFB’s inclusion in the workbook scope. Smaller differences reflect inputs, aggregation, calculation precision, rounding, and minor gaps between displayed statewide summaries and summed LEA-level results. Taken together, these differences are limited and do not materially change the conclusion that the two implementations are closely aligned overall</w:t>
      </w:r>
      <w:r w:rsidR="00F0285B" w:rsidRPr="007F13D6">
        <w:rPr>
          <w:rFonts w:ascii="Arial" w:hAnsi="Arial" w:cs="Arial"/>
        </w:rPr>
        <w:t>.</w:t>
      </w:r>
    </w:p>
    <w:p w14:paraId="3E8A9B7E" w14:textId="77777777" w:rsidR="002753C3" w:rsidRPr="007F13D6" w:rsidRDefault="002753C3" w:rsidP="00CE7AFC">
      <w:pPr>
        <w:spacing w:before="120" w:after="120" w:line="240" w:lineRule="auto"/>
        <w:rPr>
          <w:rFonts w:ascii="Arial" w:hAnsi="Arial" w:cs="Arial"/>
        </w:rPr>
      </w:pPr>
    </w:p>
    <w:p w14:paraId="23C8DA43" w14:textId="77777777" w:rsidR="00DD6DCF" w:rsidRPr="007F13D6" w:rsidRDefault="00DD6DCF" w:rsidP="00CE7AFC">
      <w:pPr>
        <w:spacing w:before="120" w:after="120" w:line="240" w:lineRule="auto"/>
        <w:rPr>
          <w:rFonts w:ascii="Arial" w:hAnsi="Arial" w:cs="Arial"/>
        </w:rPr>
      </w:pPr>
    </w:p>
    <w:p w14:paraId="5D3B52E7" w14:textId="77777777" w:rsidR="00DD6DCF" w:rsidRPr="007F13D6" w:rsidRDefault="00DD6DCF" w:rsidP="00CE7AFC">
      <w:pPr>
        <w:spacing w:before="120" w:after="120" w:line="240" w:lineRule="auto"/>
        <w:rPr>
          <w:rFonts w:ascii="Arial" w:hAnsi="Arial" w:cs="Arial"/>
        </w:rPr>
      </w:pPr>
    </w:p>
    <w:p w14:paraId="2F843427" w14:textId="77777777" w:rsidR="00DD6DCF" w:rsidRPr="007F13D6" w:rsidRDefault="00DD6DCF" w:rsidP="00CE7AFC">
      <w:pPr>
        <w:spacing w:before="120" w:after="120" w:line="240" w:lineRule="auto"/>
        <w:rPr>
          <w:rFonts w:ascii="Arial" w:hAnsi="Arial" w:cs="Arial"/>
        </w:rPr>
      </w:pPr>
    </w:p>
    <w:p w14:paraId="072A339B" w14:textId="77777777" w:rsidR="00DD6DCF" w:rsidRPr="007F13D6" w:rsidRDefault="00DD6DCF" w:rsidP="00CE7AFC">
      <w:pPr>
        <w:spacing w:before="120" w:after="120" w:line="240" w:lineRule="auto"/>
        <w:rPr>
          <w:rFonts w:ascii="Arial" w:hAnsi="Arial" w:cs="Arial"/>
        </w:rPr>
      </w:pPr>
    </w:p>
    <w:p w14:paraId="1B48FB72" w14:textId="77777777" w:rsidR="00DD6DCF" w:rsidRPr="007F13D6" w:rsidRDefault="00DD6DCF" w:rsidP="00CE7AFC">
      <w:pPr>
        <w:spacing w:before="120" w:after="120" w:line="240" w:lineRule="auto"/>
        <w:rPr>
          <w:rFonts w:ascii="Arial" w:hAnsi="Arial" w:cs="Arial"/>
        </w:rPr>
      </w:pPr>
    </w:p>
    <w:p w14:paraId="26DBC966" w14:textId="77777777" w:rsidR="00DD6DCF" w:rsidRPr="007F13D6" w:rsidRDefault="00DD6DCF" w:rsidP="00CE7AFC">
      <w:pPr>
        <w:spacing w:before="120" w:after="120" w:line="240" w:lineRule="auto"/>
        <w:rPr>
          <w:rFonts w:ascii="Arial" w:hAnsi="Arial" w:cs="Arial"/>
        </w:rPr>
      </w:pPr>
    </w:p>
    <w:p w14:paraId="69B6B728" w14:textId="77777777" w:rsidR="00DD6DCF" w:rsidRPr="007F13D6" w:rsidRDefault="00DD6DCF" w:rsidP="00CE7AFC">
      <w:pPr>
        <w:spacing w:before="120" w:after="120" w:line="240" w:lineRule="auto"/>
        <w:rPr>
          <w:rFonts w:ascii="Arial" w:hAnsi="Arial" w:cs="Arial"/>
        </w:rPr>
      </w:pPr>
    </w:p>
    <w:p w14:paraId="3ED7EDF2" w14:textId="77777777" w:rsidR="00DD6DCF" w:rsidRPr="007F13D6" w:rsidRDefault="00DD6DCF" w:rsidP="00CE7AFC">
      <w:pPr>
        <w:spacing w:before="120" w:after="120" w:line="240" w:lineRule="auto"/>
        <w:rPr>
          <w:rFonts w:ascii="Arial" w:hAnsi="Arial" w:cs="Arial"/>
        </w:rPr>
      </w:pPr>
    </w:p>
    <w:p w14:paraId="1E80B73F" w14:textId="77777777" w:rsidR="00DD6DCF" w:rsidRPr="007F13D6" w:rsidRDefault="00DD6DCF" w:rsidP="00CE7AFC">
      <w:pPr>
        <w:spacing w:before="120" w:after="120" w:line="240" w:lineRule="auto"/>
        <w:rPr>
          <w:rFonts w:ascii="Arial" w:hAnsi="Arial" w:cs="Arial"/>
        </w:rPr>
      </w:pPr>
    </w:p>
    <w:p w14:paraId="74F3140D" w14:textId="77777777" w:rsidR="00DD6DCF" w:rsidRPr="007F13D6" w:rsidRDefault="00DD6DCF" w:rsidP="00CE7AFC">
      <w:pPr>
        <w:spacing w:before="120" w:after="120" w:line="240" w:lineRule="auto"/>
        <w:rPr>
          <w:rFonts w:ascii="Arial" w:hAnsi="Arial" w:cs="Arial"/>
        </w:rPr>
      </w:pPr>
    </w:p>
    <w:p w14:paraId="6AA356BA" w14:textId="77777777" w:rsidR="00270375" w:rsidRPr="007F13D6" w:rsidRDefault="00270375" w:rsidP="00CE7AFC">
      <w:pPr>
        <w:spacing w:before="120" w:after="120" w:line="240" w:lineRule="auto"/>
        <w:rPr>
          <w:rFonts w:ascii="Arial" w:hAnsi="Arial" w:cs="Arial"/>
        </w:rPr>
      </w:pPr>
    </w:p>
    <w:p w14:paraId="03F13115" w14:textId="77777777" w:rsidR="00270375" w:rsidRPr="007F13D6" w:rsidRDefault="00270375" w:rsidP="00CE7AFC">
      <w:pPr>
        <w:spacing w:before="120" w:after="120" w:line="240" w:lineRule="auto"/>
        <w:rPr>
          <w:rFonts w:ascii="Arial" w:hAnsi="Arial" w:cs="Arial"/>
        </w:rPr>
      </w:pPr>
    </w:p>
    <w:p w14:paraId="04AEC4CA" w14:textId="77777777" w:rsidR="00270375" w:rsidRPr="007F13D6" w:rsidRDefault="00270375" w:rsidP="00CE7AFC">
      <w:pPr>
        <w:spacing w:before="120" w:after="120" w:line="240" w:lineRule="auto"/>
        <w:rPr>
          <w:rFonts w:ascii="Arial" w:hAnsi="Arial" w:cs="Arial"/>
        </w:rPr>
      </w:pPr>
    </w:p>
    <w:p w14:paraId="667C085D" w14:textId="1CB6CD1D" w:rsidR="00726538" w:rsidRPr="007F13D6" w:rsidRDefault="00D97DDD" w:rsidP="00CE7AFC">
      <w:pPr>
        <w:pStyle w:val="Heading1"/>
        <w:spacing w:before="120" w:after="120" w:line="240" w:lineRule="auto"/>
        <w:rPr>
          <w:rFonts w:ascii="Arial" w:hAnsi="Arial" w:cs="Arial"/>
        </w:rPr>
      </w:pPr>
      <w:bookmarkStart w:id="34" w:name="_Toc237512569"/>
      <w:r w:rsidRPr="007F13D6">
        <w:rPr>
          <w:rFonts w:ascii="Arial" w:hAnsi="Arial" w:cs="Arial"/>
        </w:rPr>
        <w:lastRenderedPageBreak/>
        <w:t>6.</w:t>
      </w:r>
      <w:r w:rsidR="00954852" w:rsidRPr="007F13D6">
        <w:rPr>
          <w:rFonts w:ascii="Arial" w:hAnsi="Arial" w:cs="Arial"/>
        </w:rPr>
        <w:t xml:space="preserve"> What Remains to Be Confirmed?</w:t>
      </w:r>
      <w:bookmarkEnd w:id="34"/>
    </w:p>
    <w:p w14:paraId="3F59BE96" w14:textId="77777777" w:rsidR="00726538" w:rsidRPr="007F13D6" w:rsidRDefault="00C67BFB" w:rsidP="00CE7AFC">
      <w:pPr>
        <w:pStyle w:val="BodyText"/>
        <w:keepLines/>
        <w:spacing w:before="120" w:line="240" w:lineRule="auto"/>
        <w:rPr>
          <w:rFonts w:ascii="Arial" w:hAnsi="Arial" w:cs="Arial"/>
        </w:rPr>
      </w:pPr>
      <w:r w:rsidRPr="007F13D6">
        <w:rPr>
          <w:rFonts w:ascii="Arial" w:hAnsi="Arial" w:cs="Arial"/>
        </w:rPr>
        <w:t>The pipeline has a stable technical foundation, but several current-model inputs, formula interpretations, and fiscal crosswalks remain unresolved. These issues define the boundary of the current findings and the additional work required before a final net fiscal analysis can be completed.</w:t>
      </w:r>
    </w:p>
    <w:p w14:paraId="70F1626C" w14:textId="77777777" w:rsidR="0048764F" w:rsidRPr="007F13D6" w:rsidRDefault="0048764F" w:rsidP="00CE7AFC">
      <w:pPr>
        <w:pStyle w:val="BodyText"/>
        <w:keepLines/>
        <w:spacing w:before="120" w:line="240" w:lineRule="auto"/>
        <w:rPr>
          <w:rFonts w:ascii="Arial" w:hAnsi="Arial" w:cs="Arial"/>
        </w:rPr>
      </w:pPr>
      <w:r w:rsidRPr="007F13D6">
        <w:rPr>
          <w:rFonts w:ascii="Arial" w:hAnsi="Arial" w:cs="Arial"/>
        </w:rPr>
        <w:t>Open items are maintained explicitly in source inputs, crosswalks, settings, and the final assumptions output. The pipeline does not fill missing quantities or rates with assumed values, and provisional quantities and implementation choices remain labeled as such. When an authoritative source or policy decision becomes available, the maintained input should be updated and the full pipeline rerun rather than adjusting report totals manually.</w:t>
      </w:r>
    </w:p>
    <w:p w14:paraId="7759B295" w14:textId="3743880C"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Exhibit 1</w:t>
      </w:r>
      <w:r w:rsidR="009728D0" w:rsidRPr="007F13D6">
        <w:rPr>
          <w:rFonts w:ascii="Arial" w:hAnsi="Arial" w:cs="Arial"/>
          <w:b/>
          <w:color w:val="1F4E78"/>
          <w:sz w:val="18"/>
        </w:rPr>
        <w:t>5</w:t>
      </w:r>
      <w:r w:rsidRPr="007F13D6">
        <w:rPr>
          <w:rFonts w:ascii="Arial" w:hAnsi="Arial" w:cs="Arial"/>
          <w:b/>
          <w:color w:val="1F4E78"/>
          <w:sz w:val="18"/>
        </w:rPr>
        <w:t>. Material outstanding confirmations</w:t>
      </w:r>
    </w:p>
    <w:tbl>
      <w:tblPr>
        <w:tblW w:w="9648" w:type="dxa"/>
        <w:jc w:val="center"/>
        <w:tblLayout w:type="fixed"/>
        <w:tblLook w:val="04A0" w:firstRow="1" w:lastRow="0" w:firstColumn="1" w:lastColumn="0" w:noHBand="0" w:noVBand="1"/>
      </w:tblPr>
      <w:tblGrid>
        <w:gridCol w:w="1584"/>
        <w:gridCol w:w="2592"/>
        <w:gridCol w:w="1584"/>
        <w:gridCol w:w="3888"/>
      </w:tblGrid>
      <w:tr w:rsidR="00C67BFB" w:rsidRPr="007F13D6" w14:paraId="7447B9E8" w14:textId="77777777" w:rsidTr="00D27BFE">
        <w:trPr>
          <w:cantSplit/>
          <w:tblHeader/>
          <w:jc w:val="center"/>
        </w:trPr>
        <w:tc>
          <w:tcPr>
            <w:tcW w:w="1584" w:type="dxa"/>
            <w:tcBorders>
              <w:bottom w:val="single" w:sz="8" w:space="0" w:color="FFFFFF"/>
            </w:tcBorders>
            <w:shd w:val="clear" w:color="auto" w:fill="1F4E78"/>
            <w:tcMar>
              <w:top w:w="70" w:type="dxa"/>
              <w:left w:w="80" w:type="dxa"/>
              <w:bottom w:w="70" w:type="dxa"/>
              <w:right w:w="80" w:type="dxa"/>
            </w:tcMar>
            <w:vAlign w:val="center"/>
          </w:tcPr>
          <w:p w14:paraId="4724E6F4" w14:textId="77777777" w:rsidR="00C67BFB" w:rsidRPr="007F13D6" w:rsidRDefault="00C67BFB"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Area</w:t>
            </w:r>
          </w:p>
        </w:tc>
        <w:tc>
          <w:tcPr>
            <w:tcW w:w="2592" w:type="dxa"/>
            <w:tcBorders>
              <w:bottom w:val="single" w:sz="8" w:space="0" w:color="FFFFFF"/>
            </w:tcBorders>
            <w:shd w:val="clear" w:color="auto" w:fill="1F4E78"/>
            <w:tcMar>
              <w:top w:w="70" w:type="dxa"/>
              <w:left w:w="80" w:type="dxa"/>
              <w:bottom w:w="70" w:type="dxa"/>
              <w:right w:w="80" w:type="dxa"/>
            </w:tcMar>
            <w:vAlign w:val="center"/>
          </w:tcPr>
          <w:p w14:paraId="6DBCFCF9" w14:textId="77777777" w:rsidR="00C67BFB" w:rsidRPr="007F13D6" w:rsidRDefault="00C67BFB"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Issue</w:t>
            </w:r>
          </w:p>
        </w:tc>
        <w:tc>
          <w:tcPr>
            <w:tcW w:w="1584" w:type="dxa"/>
            <w:tcBorders>
              <w:bottom w:val="single" w:sz="8" w:space="0" w:color="FFFFFF"/>
            </w:tcBorders>
            <w:shd w:val="clear" w:color="auto" w:fill="1F4E78"/>
            <w:tcMar>
              <w:top w:w="70" w:type="dxa"/>
              <w:left w:w="80" w:type="dxa"/>
              <w:bottom w:w="70" w:type="dxa"/>
              <w:right w:w="80" w:type="dxa"/>
            </w:tcMar>
            <w:vAlign w:val="center"/>
          </w:tcPr>
          <w:p w14:paraId="0641D09A" w14:textId="77777777" w:rsidR="00C67BFB" w:rsidRPr="007F13D6" w:rsidRDefault="00C67BFB" w:rsidP="00270375">
            <w:pPr>
              <w:spacing w:after="0" w:line="240" w:lineRule="auto"/>
              <w:rPr>
                <w:rFonts w:ascii="Arial" w:hAnsi="Arial" w:cs="Arial"/>
                <w:color w:val="FFFFFF" w:themeColor="background1"/>
                <w:sz w:val="17"/>
                <w:szCs w:val="17"/>
              </w:rPr>
            </w:pPr>
            <w:proofErr w:type="gramStart"/>
            <w:r w:rsidRPr="007F13D6">
              <w:rPr>
                <w:rFonts w:ascii="Arial" w:hAnsi="Arial" w:cs="Arial"/>
                <w:b/>
                <w:bCs/>
                <w:color w:val="FFFFFF" w:themeColor="background1"/>
                <w:sz w:val="17"/>
                <w:szCs w:val="17"/>
              </w:rPr>
              <w:t>Current status</w:t>
            </w:r>
            <w:proofErr w:type="gramEnd"/>
          </w:p>
        </w:tc>
        <w:tc>
          <w:tcPr>
            <w:tcW w:w="3888" w:type="dxa"/>
            <w:tcBorders>
              <w:bottom w:val="single" w:sz="8" w:space="0" w:color="FFFFFF"/>
            </w:tcBorders>
            <w:shd w:val="clear" w:color="auto" w:fill="1F4E78"/>
            <w:tcMar>
              <w:top w:w="70" w:type="dxa"/>
              <w:left w:w="80" w:type="dxa"/>
              <w:bottom w:w="70" w:type="dxa"/>
              <w:right w:w="80" w:type="dxa"/>
            </w:tcMar>
            <w:vAlign w:val="center"/>
          </w:tcPr>
          <w:p w14:paraId="25EC460A" w14:textId="77777777" w:rsidR="00C67BFB" w:rsidRPr="007F13D6" w:rsidRDefault="00C67BFB"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Why it matters</w:t>
            </w:r>
          </w:p>
        </w:tc>
      </w:tr>
      <w:tr w:rsidR="00C67BFB" w:rsidRPr="007F13D6" w14:paraId="48CFE80D" w14:textId="77777777" w:rsidTr="00D27BFE">
        <w:trPr>
          <w:cantSplit/>
          <w:jc w:val="center"/>
        </w:trPr>
        <w:tc>
          <w:tcPr>
            <w:tcW w:w="1584" w:type="dxa"/>
            <w:tcBorders>
              <w:bottom w:val="single" w:sz="4" w:space="0" w:color="B7B7B7"/>
            </w:tcBorders>
            <w:shd w:val="clear" w:color="auto" w:fill="EAF3F8"/>
            <w:tcMar>
              <w:top w:w="70" w:type="dxa"/>
              <w:left w:w="80" w:type="dxa"/>
              <w:bottom w:w="70" w:type="dxa"/>
              <w:right w:w="80" w:type="dxa"/>
            </w:tcMar>
            <w:vAlign w:val="center"/>
          </w:tcPr>
          <w:p w14:paraId="7EB3F609" w14:textId="77777777" w:rsidR="00C67BFB" w:rsidRPr="007F13D6" w:rsidRDefault="00C67BFB" w:rsidP="00270375">
            <w:pPr>
              <w:spacing w:after="0" w:line="240" w:lineRule="auto"/>
              <w:rPr>
                <w:rFonts w:ascii="Arial" w:hAnsi="Arial" w:cs="Arial"/>
                <w:sz w:val="17"/>
                <w:szCs w:val="17"/>
              </w:rPr>
            </w:pPr>
            <w:r w:rsidRPr="007F13D6">
              <w:rPr>
                <w:rFonts w:ascii="Arial" w:hAnsi="Arial" w:cs="Arial"/>
                <w:color w:val="000000"/>
                <w:sz w:val="17"/>
                <w:szCs w:val="17"/>
              </w:rPr>
              <w:t>Current operations</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58F2A1BE" w14:textId="77777777" w:rsidR="00C67BFB" w:rsidRPr="007F13D6" w:rsidRDefault="00C67BFB" w:rsidP="00270375">
            <w:pPr>
              <w:spacing w:after="0" w:line="240" w:lineRule="auto"/>
              <w:rPr>
                <w:rFonts w:ascii="Arial" w:hAnsi="Arial" w:cs="Arial"/>
                <w:sz w:val="17"/>
                <w:szCs w:val="17"/>
              </w:rPr>
            </w:pPr>
            <w:r w:rsidRPr="007F13D6">
              <w:rPr>
                <w:rFonts w:ascii="Arial" w:hAnsi="Arial" w:cs="Arial"/>
                <w:color w:val="000000"/>
                <w:sz w:val="17"/>
                <w:szCs w:val="17"/>
              </w:rPr>
              <w:t>Custodial units for Buildings and Grounds Supervisor</w:t>
            </w:r>
          </w:p>
        </w:tc>
        <w:tc>
          <w:tcPr>
            <w:tcW w:w="1584" w:type="dxa"/>
            <w:tcBorders>
              <w:bottom w:val="single" w:sz="4" w:space="0" w:color="B7B7B7"/>
            </w:tcBorders>
            <w:shd w:val="clear" w:color="auto" w:fill="EAF3F8"/>
            <w:tcMar>
              <w:top w:w="70" w:type="dxa"/>
              <w:left w:w="80" w:type="dxa"/>
              <w:bottom w:w="70" w:type="dxa"/>
              <w:right w:w="80" w:type="dxa"/>
            </w:tcMar>
            <w:vAlign w:val="center"/>
          </w:tcPr>
          <w:p w14:paraId="6F33D435" w14:textId="77777777" w:rsidR="00C67BFB" w:rsidRPr="007F13D6" w:rsidRDefault="00C67BFB" w:rsidP="00270375">
            <w:pPr>
              <w:spacing w:after="0" w:line="240" w:lineRule="auto"/>
              <w:rPr>
                <w:rFonts w:ascii="Arial" w:hAnsi="Arial" w:cs="Arial"/>
                <w:sz w:val="17"/>
                <w:szCs w:val="17"/>
              </w:rPr>
            </w:pPr>
            <w:r w:rsidRPr="007F13D6">
              <w:rPr>
                <w:rFonts w:ascii="Arial" w:hAnsi="Arial" w:cs="Arial"/>
                <w:color w:val="000000"/>
                <w:sz w:val="17"/>
                <w:szCs w:val="17"/>
              </w:rPr>
              <w:t>Missing</w:t>
            </w:r>
          </w:p>
        </w:tc>
        <w:tc>
          <w:tcPr>
            <w:tcW w:w="3888" w:type="dxa"/>
            <w:tcBorders>
              <w:bottom w:val="single" w:sz="4" w:space="0" w:color="B7B7B7"/>
            </w:tcBorders>
            <w:shd w:val="clear" w:color="auto" w:fill="EAF3F8"/>
            <w:tcMar>
              <w:top w:w="70" w:type="dxa"/>
              <w:left w:w="80" w:type="dxa"/>
              <w:bottom w:w="70" w:type="dxa"/>
              <w:right w:w="80" w:type="dxa"/>
            </w:tcMar>
            <w:vAlign w:val="center"/>
          </w:tcPr>
          <w:p w14:paraId="3260DB75" w14:textId="77777777" w:rsidR="00C67BFB" w:rsidRPr="007F13D6" w:rsidRDefault="00C67BFB" w:rsidP="00270375">
            <w:pPr>
              <w:spacing w:after="0" w:line="240" w:lineRule="auto"/>
              <w:rPr>
                <w:rFonts w:ascii="Arial" w:hAnsi="Arial" w:cs="Arial"/>
                <w:sz w:val="17"/>
                <w:szCs w:val="17"/>
              </w:rPr>
            </w:pPr>
            <w:r w:rsidRPr="007F13D6">
              <w:rPr>
                <w:rFonts w:ascii="Arial" w:hAnsi="Arial" w:cs="Arial"/>
                <w:color w:val="000000"/>
                <w:sz w:val="17"/>
                <w:szCs w:val="17"/>
              </w:rPr>
              <w:t>Needed to apply the 95-custodial-unit eligibility threshold for 19 districts.</w:t>
            </w:r>
          </w:p>
        </w:tc>
      </w:tr>
      <w:tr w:rsidR="006C609F" w:rsidRPr="007F13D6" w14:paraId="39A904F7" w14:textId="77777777" w:rsidTr="00D27BFE">
        <w:trPr>
          <w:cantSplit/>
          <w:jc w:val="center"/>
        </w:trPr>
        <w:tc>
          <w:tcPr>
            <w:tcW w:w="1584" w:type="dxa"/>
            <w:tcBorders>
              <w:bottom w:val="single" w:sz="4" w:space="0" w:color="B7B7B7"/>
            </w:tcBorders>
            <w:tcMar>
              <w:top w:w="70" w:type="dxa"/>
              <w:left w:w="80" w:type="dxa"/>
              <w:bottom w:w="70" w:type="dxa"/>
              <w:right w:w="80" w:type="dxa"/>
            </w:tcMar>
            <w:vAlign w:val="center"/>
          </w:tcPr>
          <w:p w14:paraId="6B061EAD" w14:textId="77777777" w:rsidR="006C609F" w:rsidRPr="007F13D6" w:rsidRDefault="006C609F" w:rsidP="00270375">
            <w:pPr>
              <w:spacing w:after="0" w:line="240" w:lineRule="auto"/>
              <w:rPr>
                <w:rFonts w:ascii="Arial" w:hAnsi="Arial" w:cs="Arial"/>
                <w:color w:val="000000"/>
                <w:sz w:val="17"/>
                <w:szCs w:val="17"/>
              </w:rPr>
            </w:pPr>
            <w:r w:rsidRPr="007F13D6">
              <w:rPr>
                <w:rFonts w:ascii="Arial" w:hAnsi="Arial" w:cs="Arial"/>
                <w:color w:val="000000"/>
                <w:sz w:val="17"/>
                <w:szCs w:val="17"/>
              </w:rPr>
              <w:t>Food services</w:t>
            </w:r>
          </w:p>
        </w:tc>
        <w:tc>
          <w:tcPr>
            <w:tcW w:w="2592" w:type="dxa"/>
            <w:tcBorders>
              <w:bottom w:val="single" w:sz="4" w:space="0" w:color="B7B7B7"/>
            </w:tcBorders>
            <w:tcMar>
              <w:top w:w="70" w:type="dxa"/>
              <w:left w:w="80" w:type="dxa"/>
              <w:bottom w:w="70" w:type="dxa"/>
              <w:right w:w="80" w:type="dxa"/>
            </w:tcMar>
            <w:vAlign w:val="center"/>
          </w:tcPr>
          <w:p w14:paraId="64D3B886" w14:textId="77777777" w:rsidR="006C609F" w:rsidRPr="007F13D6" w:rsidRDefault="006C609F" w:rsidP="00270375">
            <w:pPr>
              <w:spacing w:after="0" w:line="240" w:lineRule="auto"/>
              <w:rPr>
                <w:rFonts w:ascii="Arial" w:hAnsi="Arial" w:cs="Arial"/>
                <w:color w:val="000000"/>
                <w:sz w:val="17"/>
                <w:szCs w:val="17"/>
              </w:rPr>
            </w:pPr>
            <w:r w:rsidRPr="007F13D6">
              <w:rPr>
                <w:rFonts w:ascii="Arial" w:hAnsi="Arial" w:cs="Arial"/>
                <w:color w:val="000000"/>
                <w:sz w:val="17"/>
                <w:szCs w:val="17"/>
              </w:rPr>
              <w:t>Lunch-program building counts</w:t>
            </w:r>
          </w:p>
        </w:tc>
        <w:tc>
          <w:tcPr>
            <w:tcW w:w="1584" w:type="dxa"/>
            <w:tcBorders>
              <w:bottom w:val="single" w:sz="4" w:space="0" w:color="B7B7B7"/>
            </w:tcBorders>
            <w:tcMar>
              <w:top w:w="70" w:type="dxa"/>
              <w:left w:w="80" w:type="dxa"/>
              <w:bottom w:w="70" w:type="dxa"/>
              <w:right w:w="80" w:type="dxa"/>
            </w:tcMar>
            <w:vAlign w:val="center"/>
          </w:tcPr>
          <w:p w14:paraId="295AD941" w14:textId="77777777" w:rsidR="006C609F" w:rsidRPr="007F13D6" w:rsidRDefault="006C609F" w:rsidP="00270375">
            <w:pPr>
              <w:spacing w:after="0" w:line="240" w:lineRule="auto"/>
              <w:rPr>
                <w:rFonts w:ascii="Arial" w:hAnsi="Arial" w:cs="Arial"/>
                <w:color w:val="000000"/>
                <w:sz w:val="17"/>
                <w:szCs w:val="17"/>
              </w:rPr>
            </w:pPr>
            <w:r w:rsidRPr="007F13D6">
              <w:rPr>
                <w:rFonts w:ascii="Arial" w:hAnsi="Arial" w:cs="Arial"/>
                <w:color w:val="000000"/>
                <w:sz w:val="17"/>
                <w:szCs w:val="17"/>
              </w:rPr>
              <w:t>Incomplete</w:t>
            </w:r>
          </w:p>
        </w:tc>
        <w:tc>
          <w:tcPr>
            <w:tcW w:w="3888" w:type="dxa"/>
            <w:tcBorders>
              <w:bottom w:val="single" w:sz="4" w:space="0" w:color="B7B7B7"/>
            </w:tcBorders>
            <w:tcMar>
              <w:top w:w="70" w:type="dxa"/>
              <w:left w:w="80" w:type="dxa"/>
              <w:bottom w:w="70" w:type="dxa"/>
              <w:right w:w="80" w:type="dxa"/>
            </w:tcMar>
            <w:vAlign w:val="center"/>
          </w:tcPr>
          <w:p w14:paraId="1D4D4DA9" w14:textId="77777777" w:rsidR="006C609F" w:rsidRPr="007F13D6" w:rsidRDefault="006C609F" w:rsidP="00270375">
            <w:pPr>
              <w:spacing w:after="0" w:line="240" w:lineRule="auto"/>
              <w:rPr>
                <w:rFonts w:ascii="Arial" w:hAnsi="Arial" w:cs="Arial"/>
                <w:color w:val="000000"/>
                <w:sz w:val="17"/>
                <w:szCs w:val="17"/>
              </w:rPr>
            </w:pPr>
            <w:r w:rsidRPr="007F13D6">
              <w:rPr>
                <w:rFonts w:ascii="Arial" w:hAnsi="Arial" w:cs="Arial"/>
                <w:color w:val="000000"/>
                <w:sz w:val="17"/>
                <w:szCs w:val="17"/>
              </w:rPr>
              <w:t>Needed to complete current Food Services Supervisor eligibility for 10 districts.</w:t>
            </w:r>
          </w:p>
        </w:tc>
      </w:tr>
      <w:tr w:rsidR="006C609F" w:rsidRPr="007F13D6" w14:paraId="1E746018" w14:textId="77777777" w:rsidTr="00D27BFE">
        <w:trPr>
          <w:cantSplit/>
          <w:jc w:val="center"/>
        </w:trPr>
        <w:tc>
          <w:tcPr>
            <w:tcW w:w="1584" w:type="dxa"/>
            <w:tcBorders>
              <w:bottom w:val="single" w:sz="4" w:space="0" w:color="B7B7B7"/>
            </w:tcBorders>
            <w:shd w:val="clear" w:color="auto" w:fill="EAF3F8"/>
            <w:tcMar>
              <w:top w:w="70" w:type="dxa"/>
              <w:left w:w="80" w:type="dxa"/>
              <w:bottom w:w="70" w:type="dxa"/>
              <w:right w:w="80" w:type="dxa"/>
            </w:tcMar>
            <w:vAlign w:val="center"/>
          </w:tcPr>
          <w:p w14:paraId="243056E4"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sz w:val="17"/>
                <w:szCs w:val="17"/>
              </w:rPr>
              <w:t>Weighted funding input</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6D823687"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sz w:val="17"/>
                <w:szCs w:val="17"/>
              </w:rPr>
              <w:t>Vocational-enrollment definition, business rules, and source</w:t>
            </w:r>
          </w:p>
        </w:tc>
        <w:tc>
          <w:tcPr>
            <w:tcW w:w="1584" w:type="dxa"/>
            <w:tcBorders>
              <w:bottom w:val="single" w:sz="4" w:space="0" w:color="B7B7B7"/>
            </w:tcBorders>
            <w:shd w:val="clear" w:color="auto" w:fill="EAF3F8"/>
            <w:tcMar>
              <w:top w:w="70" w:type="dxa"/>
              <w:left w:w="80" w:type="dxa"/>
              <w:bottom w:w="70" w:type="dxa"/>
              <w:right w:w="80" w:type="dxa"/>
            </w:tcMar>
            <w:vAlign w:val="center"/>
          </w:tcPr>
          <w:p w14:paraId="3772C0BF"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sz w:val="17"/>
                <w:szCs w:val="17"/>
              </w:rPr>
              <w:t>Not independently validated</w:t>
            </w:r>
          </w:p>
        </w:tc>
        <w:tc>
          <w:tcPr>
            <w:tcW w:w="3888" w:type="dxa"/>
            <w:tcBorders>
              <w:bottom w:val="single" w:sz="4" w:space="0" w:color="B7B7B7"/>
            </w:tcBorders>
            <w:shd w:val="clear" w:color="auto" w:fill="EAF3F8"/>
            <w:tcMar>
              <w:top w:w="70" w:type="dxa"/>
              <w:left w:w="80" w:type="dxa"/>
              <w:bottom w:w="70" w:type="dxa"/>
              <w:right w:w="80" w:type="dxa"/>
            </w:tcMar>
            <w:vAlign w:val="center"/>
          </w:tcPr>
          <w:p w14:paraId="485921D9"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sz w:val="17"/>
                <w:szCs w:val="17"/>
              </w:rPr>
              <w:t>Needed to confirm that the Operational Funding vocational count consistently identifies the intended student population.</w:t>
            </w:r>
          </w:p>
        </w:tc>
      </w:tr>
      <w:tr w:rsidR="006C609F" w:rsidRPr="007F13D6" w14:paraId="2CE08EB8" w14:textId="77777777" w:rsidTr="00D27BFE">
        <w:trPr>
          <w:cantSplit/>
          <w:jc w:val="center"/>
        </w:trPr>
        <w:tc>
          <w:tcPr>
            <w:tcW w:w="1584" w:type="dxa"/>
            <w:tcBorders>
              <w:bottom w:val="single" w:sz="4" w:space="0" w:color="B7B7B7"/>
            </w:tcBorders>
            <w:tcMar>
              <w:top w:w="70" w:type="dxa"/>
              <w:left w:w="80" w:type="dxa"/>
              <w:bottom w:w="70" w:type="dxa"/>
              <w:right w:w="80" w:type="dxa"/>
            </w:tcMar>
            <w:vAlign w:val="center"/>
          </w:tcPr>
          <w:p w14:paraId="71973F86"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Weighted funding</w:t>
            </w:r>
          </w:p>
        </w:tc>
        <w:tc>
          <w:tcPr>
            <w:tcW w:w="2592" w:type="dxa"/>
            <w:tcBorders>
              <w:bottom w:val="single" w:sz="4" w:space="0" w:color="B7B7B7"/>
            </w:tcBorders>
            <w:tcMar>
              <w:top w:w="70" w:type="dxa"/>
              <w:left w:w="80" w:type="dxa"/>
              <w:bottom w:w="70" w:type="dxa"/>
              <w:right w:w="80" w:type="dxa"/>
            </w:tcMar>
            <w:vAlign w:val="center"/>
          </w:tcPr>
          <w:p w14:paraId="526CEA78"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Current Opportunity allocations</w:t>
            </w:r>
          </w:p>
        </w:tc>
        <w:tc>
          <w:tcPr>
            <w:tcW w:w="1584" w:type="dxa"/>
            <w:tcBorders>
              <w:bottom w:val="single" w:sz="4" w:space="0" w:color="B7B7B7"/>
            </w:tcBorders>
            <w:tcMar>
              <w:top w:w="70" w:type="dxa"/>
              <w:left w:w="80" w:type="dxa"/>
              <w:bottom w:w="70" w:type="dxa"/>
              <w:right w:w="80" w:type="dxa"/>
            </w:tcMar>
            <w:vAlign w:val="center"/>
          </w:tcPr>
          <w:p w14:paraId="376BE1EC" w14:textId="0B564022" w:rsidR="006C609F" w:rsidRPr="007F13D6" w:rsidRDefault="0073297D" w:rsidP="00270375">
            <w:pPr>
              <w:spacing w:after="0" w:line="240" w:lineRule="auto"/>
              <w:rPr>
                <w:rFonts w:ascii="Arial" w:hAnsi="Arial" w:cs="Arial"/>
                <w:sz w:val="17"/>
                <w:szCs w:val="17"/>
              </w:rPr>
            </w:pPr>
            <w:r w:rsidRPr="007F13D6">
              <w:rPr>
                <w:rFonts w:ascii="Arial" w:hAnsi="Arial" w:cs="Arial"/>
                <w:color w:val="000000"/>
                <w:sz w:val="17"/>
                <w:szCs w:val="17"/>
              </w:rPr>
              <w:t>Not yet defined/confirmed</w:t>
            </w:r>
          </w:p>
        </w:tc>
        <w:tc>
          <w:tcPr>
            <w:tcW w:w="3888" w:type="dxa"/>
            <w:tcBorders>
              <w:bottom w:val="single" w:sz="4" w:space="0" w:color="B7B7B7"/>
            </w:tcBorders>
            <w:tcMar>
              <w:top w:w="70" w:type="dxa"/>
              <w:left w:w="80" w:type="dxa"/>
              <w:bottom w:w="70" w:type="dxa"/>
              <w:right w:w="80" w:type="dxa"/>
            </w:tcMar>
            <w:vAlign w:val="center"/>
          </w:tcPr>
          <w:p w14:paraId="40C6FCE4"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Needed for a current-versus-proposed Opportunity Funding comparison.</w:t>
            </w:r>
          </w:p>
        </w:tc>
      </w:tr>
      <w:tr w:rsidR="006C609F" w:rsidRPr="007F13D6" w14:paraId="385C6B7D" w14:textId="77777777" w:rsidTr="00D27BFE">
        <w:trPr>
          <w:cantSplit/>
          <w:jc w:val="center"/>
        </w:trPr>
        <w:tc>
          <w:tcPr>
            <w:tcW w:w="1584" w:type="dxa"/>
            <w:tcBorders>
              <w:bottom w:val="single" w:sz="4" w:space="0" w:color="B7B7B7"/>
            </w:tcBorders>
            <w:shd w:val="clear" w:color="auto" w:fill="EAF3F8"/>
            <w:tcMar>
              <w:top w:w="70" w:type="dxa"/>
              <w:left w:w="80" w:type="dxa"/>
              <w:bottom w:w="70" w:type="dxa"/>
              <w:right w:w="80" w:type="dxa"/>
            </w:tcMar>
            <w:vAlign w:val="center"/>
          </w:tcPr>
          <w:p w14:paraId="3DD00528"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Weighted funding</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7062A0FA"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Current Operational allocations</w:t>
            </w:r>
          </w:p>
        </w:tc>
        <w:tc>
          <w:tcPr>
            <w:tcW w:w="1584" w:type="dxa"/>
            <w:tcBorders>
              <w:bottom w:val="single" w:sz="4" w:space="0" w:color="B7B7B7"/>
            </w:tcBorders>
            <w:shd w:val="clear" w:color="auto" w:fill="EAF3F8"/>
            <w:tcMar>
              <w:top w:w="70" w:type="dxa"/>
              <w:left w:w="80" w:type="dxa"/>
              <w:bottom w:w="70" w:type="dxa"/>
              <w:right w:w="80" w:type="dxa"/>
            </w:tcMar>
            <w:vAlign w:val="center"/>
          </w:tcPr>
          <w:p w14:paraId="12C681AC" w14:textId="446D1590" w:rsidR="006C609F" w:rsidRPr="007F13D6" w:rsidRDefault="0073297D" w:rsidP="00270375">
            <w:pPr>
              <w:spacing w:after="0" w:line="240" w:lineRule="auto"/>
              <w:rPr>
                <w:rFonts w:ascii="Arial" w:hAnsi="Arial" w:cs="Arial"/>
                <w:sz w:val="17"/>
                <w:szCs w:val="17"/>
              </w:rPr>
            </w:pPr>
            <w:r w:rsidRPr="007F13D6">
              <w:rPr>
                <w:rFonts w:ascii="Arial" w:hAnsi="Arial" w:cs="Arial"/>
                <w:color w:val="000000"/>
                <w:sz w:val="17"/>
                <w:szCs w:val="17"/>
              </w:rPr>
              <w:t>Not yet defined/confirmed</w:t>
            </w:r>
          </w:p>
        </w:tc>
        <w:tc>
          <w:tcPr>
            <w:tcW w:w="3888" w:type="dxa"/>
            <w:tcBorders>
              <w:bottom w:val="single" w:sz="4" w:space="0" w:color="B7B7B7"/>
            </w:tcBorders>
            <w:shd w:val="clear" w:color="auto" w:fill="EAF3F8"/>
            <w:tcMar>
              <w:top w:w="70" w:type="dxa"/>
              <w:left w:w="80" w:type="dxa"/>
              <w:bottom w:w="70" w:type="dxa"/>
              <w:right w:w="80" w:type="dxa"/>
            </w:tcMar>
            <w:vAlign w:val="center"/>
          </w:tcPr>
          <w:p w14:paraId="646957DB"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Needed for a current-versus-proposed Operational Funding comparison.</w:t>
            </w:r>
          </w:p>
        </w:tc>
      </w:tr>
      <w:tr w:rsidR="006C609F" w:rsidRPr="007F13D6" w14:paraId="0B8E47FF" w14:textId="77777777" w:rsidTr="00D27BFE">
        <w:trPr>
          <w:cantSplit/>
          <w:jc w:val="center"/>
        </w:trPr>
        <w:tc>
          <w:tcPr>
            <w:tcW w:w="1584" w:type="dxa"/>
            <w:tcBorders>
              <w:bottom w:val="single" w:sz="4" w:space="0" w:color="B7B7B7"/>
            </w:tcBorders>
            <w:tcMar>
              <w:top w:w="70" w:type="dxa"/>
              <w:left w:w="80" w:type="dxa"/>
              <w:bottom w:w="70" w:type="dxa"/>
              <w:right w:w="80" w:type="dxa"/>
            </w:tcMar>
            <w:vAlign w:val="center"/>
          </w:tcPr>
          <w:p w14:paraId="4C9468B6"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Formula interpretation</w:t>
            </w:r>
          </w:p>
        </w:tc>
        <w:tc>
          <w:tcPr>
            <w:tcW w:w="2592" w:type="dxa"/>
            <w:tcBorders>
              <w:bottom w:val="single" w:sz="4" w:space="0" w:color="B7B7B7"/>
            </w:tcBorders>
            <w:tcMar>
              <w:top w:w="70" w:type="dxa"/>
              <w:left w:w="80" w:type="dxa"/>
              <w:bottom w:w="70" w:type="dxa"/>
              <w:right w:w="80" w:type="dxa"/>
            </w:tcMar>
            <w:vAlign w:val="center"/>
          </w:tcPr>
          <w:p w14:paraId="7481E0D6"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Current nurse fractional rule</w:t>
            </w:r>
          </w:p>
        </w:tc>
        <w:tc>
          <w:tcPr>
            <w:tcW w:w="1584" w:type="dxa"/>
            <w:tcBorders>
              <w:bottom w:val="single" w:sz="4" w:space="0" w:color="B7B7B7"/>
            </w:tcBorders>
            <w:tcMar>
              <w:top w:w="70" w:type="dxa"/>
              <w:left w:w="80" w:type="dxa"/>
              <w:bottom w:w="70" w:type="dxa"/>
              <w:right w:w="80" w:type="dxa"/>
            </w:tcMar>
            <w:vAlign w:val="center"/>
          </w:tcPr>
          <w:p w14:paraId="359B5FF6"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Unresolved</w:t>
            </w:r>
          </w:p>
        </w:tc>
        <w:tc>
          <w:tcPr>
            <w:tcW w:w="3888" w:type="dxa"/>
            <w:tcBorders>
              <w:bottom w:val="single" w:sz="4" w:space="0" w:color="B7B7B7"/>
            </w:tcBorders>
            <w:tcMar>
              <w:top w:w="70" w:type="dxa"/>
              <w:left w:w="80" w:type="dxa"/>
              <w:bottom w:w="70" w:type="dxa"/>
              <w:right w:w="80" w:type="dxa"/>
            </w:tcMar>
            <w:vAlign w:val="center"/>
          </w:tcPr>
          <w:p w14:paraId="24BD41B3"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Confirm whether the fractional unit earns 30% of a nurse position, as implemented in the IV&amp;V.</w:t>
            </w:r>
          </w:p>
        </w:tc>
      </w:tr>
      <w:tr w:rsidR="006C609F" w:rsidRPr="007F13D6" w14:paraId="0F3CD6DF" w14:textId="77777777" w:rsidTr="00D27BFE">
        <w:trPr>
          <w:cantSplit/>
          <w:jc w:val="center"/>
        </w:trPr>
        <w:tc>
          <w:tcPr>
            <w:tcW w:w="1584" w:type="dxa"/>
            <w:tcBorders>
              <w:bottom w:val="single" w:sz="4" w:space="0" w:color="B7B7B7"/>
            </w:tcBorders>
            <w:shd w:val="clear" w:color="auto" w:fill="EAF3F8"/>
            <w:tcMar>
              <w:top w:w="70" w:type="dxa"/>
              <w:left w:w="80" w:type="dxa"/>
              <w:bottom w:w="70" w:type="dxa"/>
              <w:right w:w="80" w:type="dxa"/>
            </w:tcMar>
            <w:vAlign w:val="center"/>
          </w:tcPr>
          <w:p w14:paraId="6C6CBE8D"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Formula interpretation</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22D71AEA"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Assistant Superintendent thresholds</w:t>
            </w:r>
          </w:p>
        </w:tc>
        <w:tc>
          <w:tcPr>
            <w:tcW w:w="1584" w:type="dxa"/>
            <w:tcBorders>
              <w:bottom w:val="single" w:sz="4" w:space="0" w:color="B7B7B7"/>
            </w:tcBorders>
            <w:shd w:val="clear" w:color="auto" w:fill="EAF3F8"/>
            <w:tcMar>
              <w:top w:w="70" w:type="dxa"/>
              <w:left w:w="80" w:type="dxa"/>
              <w:bottom w:w="70" w:type="dxa"/>
              <w:right w:w="80" w:type="dxa"/>
            </w:tcMar>
            <w:vAlign w:val="center"/>
          </w:tcPr>
          <w:p w14:paraId="313047DE"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Provisional</w:t>
            </w:r>
          </w:p>
        </w:tc>
        <w:tc>
          <w:tcPr>
            <w:tcW w:w="3888" w:type="dxa"/>
            <w:tcBorders>
              <w:bottom w:val="single" w:sz="4" w:space="0" w:color="B7B7B7"/>
            </w:tcBorders>
            <w:shd w:val="clear" w:color="auto" w:fill="EAF3F8"/>
            <w:tcMar>
              <w:top w:w="70" w:type="dxa"/>
              <w:left w:w="80" w:type="dxa"/>
              <w:bottom w:w="70" w:type="dxa"/>
              <w:right w:w="80" w:type="dxa"/>
            </w:tcMar>
            <w:vAlign w:val="center"/>
          </w:tcPr>
          <w:p w14:paraId="2441E6B8"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Confirm whether positions are awarded only at completed 300-position thresholds or proportionally between thresholds.</w:t>
            </w:r>
          </w:p>
        </w:tc>
      </w:tr>
      <w:tr w:rsidR="006C609F" w:rsidRPr="007F13D6" w14:paraId="63E99FD0" w14:textId="77777777" w:rsidTr="00D27BFE">
        <w:trPr>
          <w:cantSplit/>
          <w:jc w:val="center"/>
        </w:trPr>
        <w:tc>
          <w:tcPr>
            <w:tcW w:w="1584" w:type="dxa"/>
            <w:tcBorders>
              <w:bottom w:val="single" w:sz="4" w:space="0" w:color="B7B7B7"/>
            </w:tcBorders>
            <w:tcMar>
              <w:top w:w="70" w:type="dxa"/>
              <w:left w:w="80" w:type="dxa"/>
              <w:bottom w:w="70" w:type="dxa"/>
              <w:right w:w="80" w:type="dxa"/>
            </w:tcMar>
            <w:vAlign w:val="center"/>
          </w:tcPr>
          <w:p w14:paraId="2C0BDB11"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Fiscal interpretation</w:t>
            </w:r>
          </w:p>
        </w:tc>
        <w:tc>
          <w:tcPr>
            <w:tcW w:w="2592" w:type="dxa"/>
            <w:tcBorders>
              <w:bottom w:val="single" w:sz="4" w:space="0" w:color="B7B7B7"/>
            </w:tcBorders>
            <w:tcMar>
              <w:top w:w="70" w:type="dxa"/>
              <w:left w:w="80" w:type="dxa"/>
              <w:bottom w:w="70" w:type="dxa"/>
              <w:right w:w="80" w:type="dxa"/>
            </w:tcMar>
            <w:vAlign w:val="center"/>
          </w:tcPr>
          <w:p w14:paraId="5DDFDB8A"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Current-to-proposed appropriation crosswalk</w:t>
            </w:r>
          </w:p>
        </w:tc>
        <w:tc>
          <w:tcPr>
            <w:tcW w:w="1584" w:type="dxa"/>
            <w:tcBorders>
              <w:bottom w:val="single" w:sz="4" w:space="0" w:color="B7B7B7"/>
            </w:tcBorders>
            <w:tcMar>
              <w:top w:w="70" w:type="dxa"/>
              <w:left w:w="80" w:type="dxa"/>
              <w:bottom w:w="70" w:type="dxa"/>
              <w:right w:w="80" w:type="dxa"/>
            </w:tcMar>
            <w:vAlign w:val="center"/>
          </w:tcPr>
          <w:p w14:paraId="6FF61818"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Not complete</w:t>
            </w:r>
          </w:p>
        </w:tc>
        <w:tc>
          <w:tcPr>
            <w:tcW w:w="3888" w:type="dxa"/>
            <w:tcBorders>
              <w:bottom w:val="single" w:sz="4" w:space="0" w:color="B7B7B7"/>
            </w:tcBorders>
            <w:tcMar>
              <w:top w:w="70" w:type="dxa"/>
              <w:left w:w="80" w:type="dxa"/>
              <w:bottom w:w="70" w:type="dxa"/>
              <w:right w:w="80" w:type="dxa"/>
            </w:tcMar>
            <w:vAlign w:val="center"/>
          </w:tcPr>
          <w:p w14:paraId="4F073E30" w14:textId="77777777" w:rsidR="006C609F" w:rsidRPr="007F13D6" w:rsidRDefault="006C609F" w:rsidP="00270375">
            <w:pPr>
              <w:spacing w:after="0" w:line="240" w:lineRule="auto"/>
              <w:rPr>
                <w:rFonts w:ascii="Arial" w:hAnsi="Arial" w:cs="Arial"/>
                <w:sz w:val="17"/>
                <w:szCs w:val="17"/>
              </w:rPr>
            </w:pPr>
            <w:r w:rsidRPr="007F13D6">
              <w:rPr>
                <w:rFonts w:ascii="Arial" w:hAnsi="Arial" w:cs="Arial"/>
                <w:color w:val="000000"/>
                <w:sz w:val="17"/>
                <w:szCs w:val="17"/>
              </w:rPr>
              <w:t>Needed before any gross modeled difference can be interpreted as a net fiscal effect.</w:t>
            </w:r>
          </w:p>
        </w:tc>
      </w:tr>
    </w:tbl>
    <w:p w14:paraId="14A4C961" w14:textId="77777777" w:rsidR="00726538" w:rsidRPr="007F13D6" w:rsidRDefault="00954852" w:rsidP="00CE7AFC">
      <w:pPr>
        <w:spacing w:before="120" w:after="120" w:line="240" w:lineRule="auto"/>
        <w:rPr>
          <w:rFonts w:ascii="Arial" w:hAnsi="Arial" w:cs="Arial"/>
          <w:i/>
          <w:color w:val="666666"/>
          <w:sz w:val="16"/>
        </w:rPr>
      </w:pPr>
      <w:r w:rsidRPr="007F13D6">
        <w:rPr>
          <w:rFonts w:ascii="Arial" w:hAnsi="Arial" w:cs="Arial"/>
          <w:i/>
          <w:color w:val="666666"/>
          <w:sz w:val="16"/>
        </w:rPr>
        <w:t>Source: 11_open_items_and_assumptions.csv; 11_final_readiness.csv.</w:t>
      </w:r>
    </w:p>
    <w:tbl>
      <w:tblPr>
        <w:tblW w:w="0" w:type="auto"/>
        <w:jc w:val="center"/>
        <w:tblLook w:val="04A0" w:firstRow="1" w:lastRow="0" w:firstColumn="1" w:lastColumn="0" w:noHBand="0" w:noVBand="1"/>
      </w:tblPr>
      <w:tblGrid>
        <w:gridCol w:w="9340"/>
      </w:tblGrid>
      <w:tr w:rsidR="00726538" w:rsidRPr="007F13D6" w14:paraId="25BAB040" w14:textId="77777777" w:rsidTr="00BD1A22">
        <w:trPr>
          <w:jc w:val="center"/>
        </w:trPr>
        <w:tc>
          <w:tcPr>
            <w:tcW w:w="9640" w:type="dxa"/>
            <w:tcBorders>
              <w:top w:val="single" w:sz="8" w:space="0" w:color="D6A84B"/>
              <w:left w:val="single" w:sz="8" w:space="0" w:color="D6A84B"/>
              <w:bottom w:val="single" w:sz="8" w:space="0" w:color="D6A84B"/>
              <w:right w:val="single" w:sz="8" w:space="0" w:color="D6A84B"/>
            </w:tcBorders>
            <w:shd w:val="clear" w:color="auto" w:fill="FFF4CE"/>
            <w:tcMar>
              <w:top w:w="110" w:type="dxa"/>
              <w:left w:w="140" w:type="dxa"/>
              <w:bottom w:w="110" w:type="dxa"/>
              <w:right w:w="140" w:type="dxa"/>
            </w:tcMar>
          </w:tcPr>
          <w:p w14:paraId="10CE4769" w14:textId="77777777" w:rsidR="00726538" w:rsidRPr="007F13D6" w:rsidRDefault="00954852" w:rsidP="00CE7AFC">
            <w:pPr>
              <w:spacing w:before="120" w:after="120" w:line="240" w:lineRule="auto"/>
              <w:rPr>
                <w:rFonts w:ascii="Arial" w:hAnsi="Arial" w:cs="Arial"/>
              </w:rPr>
            </w:pPr>
            <w:r w:rsidRPr="007F13D6">
              <w:rPr>
                <w:rFonts w:ascii="Arial" w:hAnsi="Arial" w:cs="Arial"/>
                <w:b/>
                <w:color w:val="1F4E78"/>
              </w:rPr>
              <w:t>Readiness status</w:t>
            </w:r>
          </w:p>
          <w:p w14:paraId="54965153" w14:textId="6B1D2C8E" w:rsidR="00726538" w:rsidRPr="007F13D6" w:rsidRDefault="00224AC8" w:rsidP="00CE7AFC">
            <w:pPr>
              <w:spacing w:before="120" w:after="120" w:line="240" w:lineRule="auto"/>
              <w:rPr>
                <w:rFonts w:ascii="Arial" w:hAnsi="Arial" w:cs="Arial"/>
              </w:rPr>
            </w:pPr>
            <w:r w:rsidRPr="007F13D6">
              <w:rPr>
                <w:rFonts w:ascii="Arial" w:hAnsi="Arial" w:cs="Arial"/>
                <w:color w:val="000000"/>
                <w:sz w:val="19"/>
              </w:rPr>
              <w:t xml:space="preserve">The working staffing comparison and PEFC workbook reconciliation are available and reproducible. Within the comparable-amount staffing subtotal, 17 of 18 categories have confirmed mappings, quantities, and common rates. Food Services Supervisor remains provisional because current quantities are incomplete, while Buildings and Grounds Supervisor remains excluded because the required current custodial-unit data are unavailable. </w:t>
            </w:r>
            <w:r w:rsidR="00A86731" w:rsidRPr="007F13D6">
              <w:rPr>
                <w:rFonts w:ascii="Arial" w:hAnsi="Arial" w:cs="Arial"/>
                <w:color w:val="000000"/>
                <w:sz w:val="19"/>
              </w:rPr>
              <w:t>Current-versus-proposed comparisons for Opportunity and Operational Funding remain not yet estimable because an authoritative mapping of existing funding streams to the proposed categories has not yet been established</w:t>
            </w:r>
            <w:r w:rsidRPr="007F13D6">
              <w:rPr>
                <w:rFonts w:ascii="Arial" w:hAnsi="Arial" w:cs="Arial"/>
                <w:color w:val="000000"/>
                <w:sz w:val="19"/>
              </w:rPr>
              <w:t>. The project is ready to support technical and policy discussion, but not a final determination of net fiscal impact</w:t>
            </w:r>
            <w:r w:rsidR="007261F8" w:rsidRPr="007F13D6">
              <w:rPr>
                <w:rFonts w:ascii="Arial" w:hAnsi="Arial" w:cs="Arial"/>
                <w:color w:val="000000"/>
                <w:sz w:val="19"/>
              </w:rPr>
              <w:t>.</w:t>
            </w:r>
          </w:p>
        </w:tc>
      </w:tr>
    </w:tbl>
    <w:p w14:paraId="38586AB1" w14:textId="77777777" w:rsidR="00270375" w:rsidRPr="007F13D6" w:rsidRDefault="00270375" w:rsidP="00CE7AFC">
      <w:pPr>
        <w:pStyle w:val="Heading1"/>
        <w:spacing w:before="120" w:after="120" w:line="240" w:lineRule="auto"/>
        <w:rPr>
          <w:rFonts w:ascii="Arial" w:hAnsi="Arial" w:cs="Arial"/>
        </w:rPr>
      </w:pPr>
    </w:p>
    <w:p w14:paraId="6A83EE4A" w14:textId="77777777" w:rsidR="00270375" w:rsidRPr="007F13D6" w:rsidRDefault="00270375" w:rsidP="00270375">
      <w:pPr>
        <w:rPr>
          <w:rFonts w:ascii="Arial" w:hAnsi="Arial" w:cs="Arial"/>
        </w:rPr>
      </w:pPr>
    </w:p>
    <w:p w14:paraId="06084B97" w14:textId="57F04A1F" w:rsidR="00726538" w:rsidRPr="007F13D6" w:rsidRDefault="00D97DDD" w:rsidP="00CE7AFC">
      <w:pPr>
        <w:pStyle w:val="Heading1"/>
        <w:spacing w:before="120" w:after="120" w:line="240" w:lineRule="auto"/>
        <w:rPr>
          <w:rFonts w:ascii="Arial" w:hAnsi="Arial" w:cs="Arial"/>
        </w:rPr>
      </w:pPr>
      <w:bookmarkStart w:id="35" w:name="_Toc237512570"/>
      <w:r w:rsidRPr="007F13D6">
        <w:rPr>
          <w:rFonts w:ascii="Arial" w:hAnsi="Arial" w:cs="Arial"/>
        </w:rPr>
        <w:lastRenderedPageBreak/>
        <w:t>7.</w:t>
      </w:r>
      <w:r w:rsidR="00954852" w:rsidRPr="007F13D6">
        <w:rPr>
          <w:rFonts w:ascii="Arial" w:hAnsi="Arial" w:cs="Arial"/>
        </w:rPr>
        <w:t xml:space="preserve"> How Was the Analysis Built and Validated?</w:t>
      </w:r>
      <w:bookmarkEnd w:id="35"/>
    </w:p>
    <w:p w14:paraId="07488626" w14:textId="77777777" w:rsidR="00E350FC" w:rsidRPr="007F13D6" w:rsidRDefault="00E350FC" w:rsidP="00CE7AFC">
      <w:pPr>
        <w:pStyle w:val="BodyText"/>
        <w:keepLines/>
        <w:spacing w:before="120" w:line="240" w:lineRule="auto"/>
        <w:rPr>
          <w:rFonts w:ascii="Arial" w:hAnsi="Arial" w:cs="Arial"/>
        </w:rPr>
      </w:pPr>
      <w:r w:rsidRPr="007F13D6">
        <w:rPr>
          <w:rFonts w:ascii="Arial" w:hAnsi="Arial" w:cs="Arial"/>
        </w:rPr>
        <w:t>The project uses a linear, auditable pipeline that separates source preparation, current-model calculations, proposed-model calculations, model comparison, workbook validation, and final reporting. Quantities are calculated and reviewed before rates are applied, and detailed school-, calculation-unit-, and LEA-level outputs remain available behind the statewide summaries.</w:t>
      </w:r>
    </w:p>
    <w:p w14:paraId="541E9E47" w14:textId="54653F3F" w:rsidR="00781F47" w:rsidRPr="007F13D6" w:rsidRDefault="00781F47" w:rsidP="00CE7AFC">
      <w:pPr>
        <w:pStyle w:val="BodyText"/>
        <w:keepLines/>
        <w:spacing w:before="120" w:line="240" w:lineRule="auto"/>
        <w:rPr>
          <w:rFonts w:ascii="Arial" w:hAnsi="Arial" w:cs="Arial"/>
        </w:rPr>
      </w:pPr>
      <w:r w:rsidRPr="007F13D6">
        <w:rPr>
          <w:rFonts w:ascii="Arial" w:hAnsi="Arial" w:cs="Arial"/>
        </w:rPr>
        <w:t>Validation is built into each stage through input reconciliation, maintained scope and entity crosswalks, formula and component comparisons, detailed audit outputs, and final integrity and readiness checks.</w:t>
      </w:r>
    </w:p>
    <w:p w14:paraId="044F0C51" w14:textId="54E2BBE7" w:rsidR="00726538" w:rsidRPr="007F13D6" w:rsidRDefault="00954852" w:rsidP="00CE7AFC">
      <w:pPr>
        <w:keepNext/>
        <w:spacing w:before="120" w:after="120" w:line="240" w:lineRule="auto"/>
        <w:rPr>
          <w:rFonts w:ascii="Arial" w:hAnsi="Arial" w:cs="Arial"/>
        </w:rPr>
      </w:pPr>
      <w:r w:rsidRPr="007F13D6">
        <w:rPr>
          <w:rFonts w:ascii="Arial" w:hAnsi="Arial" w:cs="Arial"/>
          <w:b/>
          <w:color w:val="1F4E78"/>
          <w:sz w:val="18"/>
        </w:rPr>
        <w:t>Exhibit 1</w:t>
      </w:r>
      <w:r w:rsidR="009728D0" w:rsidRPr="007F13D6">
        <w:rPr>
          <w:rFonts w:ascii="Arial" w:hAnsi="Arial" w:cs="Arial"/>
          <w:b/>
          <w:color w:val="1F4E78"/>
          <w:sz w:val="18"/>
        </w:rPr>
        <w:t>6</w:t>
      </w:r>
      <w:r w:rsidRPr="007F13D6">
        <w:rPr>
          <w:rFonts w:ascii="Arial" w:hAnsi="Arial" w:cs="Arial"/>
          <w:b/>
          <w:color w:val="1F4E78"/>
          <w:sz w:val="18"/>
        </w:rPr>
        <w:t>. Pipeline from source data to final IV&amp;V outputs</w:t>
      </w:r>
    </w:p>
    <w:tbl>
      <w:tblPr>
        <w:tblW w:w="9576" w:type="dxa"/>
        <w:jc w:val="center"/>
        <w:tblLayout w:type="fixed"/>
        <w:tblLook w:val="04A0" w:firstRow="1" w:lastRow="0" w:firstColumn="1" w:lastColumn="0" w:noHBand="0" w:noVBand="1"/>
      </w:tblPr>
      <w:tblGrid>
        <w:gridCol w:w="792"/>
        <w:gridCol w:w="2736"/>
        <w:gridCol w:w="6048"/>
      </w:tblGrid>
      <w:tr w:rsidR="006848B9" w:rsidRPr="007F13D6" w14:paraId="5A36C729" w14:textId="77777777" w:rsidTr="00276636">
        <w:trPr>
          <w:cantSplit/>
          <w:tblHeader/>
          <w:jc w:val="center"/>
        </w:trPr>
        <w:tc>
          <w:tcPr>
            <w:tcW w:w="792" w:type="dxa"/>
            <w:tcBorders>
              <w:bottom w:val="single" w:sz="8" w:space="0" w:color="FFFFFF"/>
            </w:tcBorders>
            <w:shd w:val="clear" w:color="auto" w:fill="1F4E78"/>
            <w:tcMar>
              <w:top w:w="70" w:type="dxa"/>
              <w:left w:w="80" w:type="dxa"/>
              <w:bottom w:w="70" w:type="dxa"/>
              <w:right w:w="80" w:type="dxa"/>
            </w:tcMar>
            <w:vAlign w:val="center"/>
          </w:tcPr>
          <w:p w14:paraId="67982EDA" w14:textId="77777777" w:rsidR="006848B9" w:rsidRPr="007F13D6" w:rsidRDefault="006848B9"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Step</w:t>
            </w:r>
          </w:p>
        </w:tc>
        <w:tc>
          <w:tcPr>
            <w:tcW w:w="2736" w:type="dxa"/>
            <w:tcBorders>
              <w:bottom w:val="single" w:sz="8" w:space="0" w:color="FFFFFF"/>
            </w:tcBorders>
            <w:shd w:val="clear" w:color="auto" w:fill="1F4E78"/>
            <w:tcMar>
              <w:top w:w="70" w:type="dxa"/>
              <w:left w:w="80" w:type="dxa"/>
              <w:bottom w:w="70" w:type="dxa"/>
              <w:right w:w="80" w:type="dxa"/>
            </w:tcMar>
            <w:vAlign w:val="center"/>
          </w:tcPr>
          <w:p w14:paraId="544A6093" w14:textId="77777777" w:rsidR="006848B9" w:rsidRPr="007F13D6" w:rsidRDefault="006848B9"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Purpose</w:t>
            </w:r>
          </w:p>
        </w:tc>
        <w:tc>
          <w:tcPr>
            <w:tcW w:w="6048" w:type="dxa"/>
            <w:tcBorders>
              <w:bottom w:val="single" w:sz="8" w:space="0" w:color="FFFFFF"/>
            </w:tcBorders>
            <w:shd w:val="clear" w:color="auto" w:fill="1F4E78"/>
            <w:tcMar>
              <w:top w:w="70" w:type="dxa"/>
              <w:left w:w="80" w:type="dxa"/>
              <w:bottom w:w="70" w:type="dxa"/>
              <w:right w:w="80" w:type="dxa"/>
            </w:tcMar>
            <w:vAlign w:val="center"/>
          </w:tcPr>
          <w:p w14:paraId="4467B926" w14:textId="77777777" w:rsidR="006848B9" w:rsidRPr="007F13D6" w:rsidRDefault="006848B9" w:rsidP="00270375">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Validation role</w:t>
            </w:r>
          </w:p>
        </w:tc>
      </w:tr>
      <w:tr w:rsidR="006848B9" w:rsidRPr="007F13D6" w14:paraId="6E534080" w14:textId="77777777" w:rsidTr="00276636">
        <w:trPr>
          <w:cantSplit/>
          <w:jc w:val="center"/>
        </w:trPr>
        <w:tc>
          <w:tcPr>
            <w:tcW w:w="792" w:type="dxa"/>
            <w:tcBorders>
              <w:bottom w:val="single" w:sz="4" w:space="0" w:color="B7B7B7"/>
            </w:tcBorders>
            <w:tcMar>
              <w:top w:w="70" w:type="dxa"/>
              <w:left w:w="80" w:type="dxa"/>
              <w:bottom w:w="70" w:type="dxa"/>
              <w:right w:w="80" w:type="dxa"/>
            </w:tcMar>
            <w:vAlign w:val="center"/>
          </w:tcPr>
          <w:p w14:paraId="0283605E"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01</w:t>
            </w:r>
          </w:p>
        </w:tc>
        <w:tc>
          <w:tcPr>
            <w:tcW w:w="2736" w:type="dxa"/>
            <w:tcBorders>
              <w:bottom w:val="single" w:sz="4" w:space="0" w:color="B7B7B7"/>
            </w:tcBorders>
            <w:tcMar>
              <w:top w:w="70" w:type="dxa"/>
              <w:left w:w="80" w:type="dxa"/>
              <w:bottom w:w="70" w:type="dxa"/>
              <w:right w:w="80" w:type="dxa"/>
            </w:tcMar>
            <w:vAlign w:val="center"/>
          </w:tcPr>
          <w:p w14:paraId="05149BEB"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Student-count SQL export</w:t>
            </w:r>
          </w:p>
        </w:tc>
        <w:tc>
          <w:tcPr>
            <w:tcW w:w="6048" w:type="dxa"/>
            <w:tcBorders>
              <w:bottom w:val="single" w:sz="4" w:space="0" w:color="B7B7B7"/>
            </w:tcBorders>
            <w:tcMar>
              <w:top w:w="70" w:type="dxa"/>
              <w:left w:w="80" w:type="dxa"/>
              <w:bottom w:w="70" w:type="dxa"/>
              <w:right w:w="80" w:type="dxa"/>
            </w:tcMar>
            <w:vAlign w:val="center"/>
          </w:tcPr>
          <w:p w14:paraId="02AE2878"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Creates enrollment, low-income, active multilingual learner, K–8, and Grade 10 counts.</w:t>
            </w:r>
          </w:p>
        </w:tc>
      </w:tr>
      <w:tr w:rsidR="006848B9" w:rsidRPr="007F13D6" w14:paraId="773C31A2" w14:textId="77777777" w:rsidTr="00276636">
        <w:trPr>
          <w:cantSplit/>
          <w:jc w:val="center"/>
        </w:trPr>
        <w:tc>
          <w:tcPr>
            <w:tcW w:w="792" w:type="dxa"/>
            <w:tcBorders>
              <w:bottom w:val="single" w:sz="4" w:space="0" w:color="B7B7B7"/>
            </w:tcBorders>
            <w:shd w:val="clear" w:color="auto" w:fill="EAF3F8"/>
            <w:tcMar>
              <w:top w:w="70" w:type="dxa"/>
              <w:left w:w="80" w:type="dxa"/>
              <w:bottom w:w="70" w:type="dxa"/>
              <w:right w:w="80" w:type="dxa"/>
            </w:tcMar>
            <w:vAlign w:val="center"/>
          </w:tcPr>
          <w:p w14:paraId="0ADE52F0"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02</w:t>
            </w:r>
          </w:p>
        </w:tc>
        <w:tc>
          <w:tcPr>
            <w:tcW w:w="2736" w:type="dxa"/>
            <w:tcBorders>
              <w:bottom w:val="single" w:sz="4" w:space="0" w:color="B7B7B7"/>
            </w:tcBorders>
            <w:shd w:val="clear" w:color="auto" w:fill="EAF3F8"/>
            <w:tcMar>
              <w:top w:w="70" w:type="dxa"/>
              <w:left w:w="80" w:type="dxa"/>
              <w:bottom w:w="70" w:type="dxa"/>
              <w:right w:w="80" w:type="dxa"/>
            </w:tcMar>
            <w:vAlign w:val="center"/>
          </w:tcPr>
          <w:p w14:paraId="0E207C02"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Shared validated input</w:t>
            </w:r>
          </w:p>
        </w:tc>
        <w:tc>
          <w:tcPr>
            <w:tcW w:w="6048" w:type="dxa"/>
            <w:tcBorders>
              <w:bottom w:val="single" w:sz="4" w:space="0" w:color="B7B7B7"/>
            </w:tcBorders>
            <w:shd w:val="clear" w:color="auto" w:fill="EAF3F8"/>
            <w:tcMar>
              <w:top w:w="70" w:type="dxa"/>
              <w:left w:w="80" w:type="dxa"/>
              <w:bottom w:w="70" w:type="dxa"/>
              <w:right w:w="80" w:type="dxa"/>
            </w:tcMar>
            <w:vAlign w:val="center"/>
          </w:tcPr>
          <w:p w14:paraId="0F4222C2"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Reconciles student counts to Unit Count and establishes a common school, LEA, and statewide universe.</w:t>
            </w:r>
          </w:p>
        </w:tc>
      </w:tr>
      <w:tr w:rsidR="006848B9" w:rsidRPr="007F13D6" w14:paraId="7A98EFC3" w14:textId="77777777" w:rsidTr="00276636">
        <w:trPr>
          <w:cantSplit/>
          <w:jc w:val="center"/>
        </w:trPr>
        <w:tc>
          <w:tcPr>
            <w:tcW w:w="792" w:type="dxa"/>
            <w:tcBorders>
              <w:bottom w:val="single" w:sz="4" w:space="0" w:color="B7B7B7"/>
            </w:tcBorders>
            <w:tcMar>
              <w:top w:w="70" w:type="dxa"/>
              <w:left w:w="80" w:type="dxa"/>
              <w:bottom w:w="70" w:type="dxa"/>
              <w:right w:w="80" w:type="dxa"/>
            </w:tcMar>
            <w:vAlign w:val="center"/>
          </w:tcPr>
          <w:p w14:paraId="5B4906CA"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03–05</w:t>
            </w:r>
          </w:p>
        </w:tc>
        <w:tc>
          <w:tcPr>
            <w:tcW w:w="2736" w:type="dxa"/>
            <w:tcBorders>
              <w:bottom w:val="single" w:sz="4" w:space="0" w:color="B7B7B7"/>
            </w:tcBorders>
            <w:tcMar>
              <w:top w:w="70" w:type="dxa"/>
              <w:left w:w="80" w:type="dxa"/>
              <w:bottom w:w="70" w:type="dxa"/>
              <w:right w:w="80" w:type="dxa"/>
            </w:tcMar>
            <w:vAlign w:val="center"/>
          </w:tcPr>
          <w:p w14:paraId="1B9665CD"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Recreated current staffing rules</w:t>
            </w:r>
          </w:p>
        </w:tc>
        <w:tc>
          <w:tcPr>
            <w:tcW w:w="6048" w:type="dxa"/>
            <w:tcBorders>
              <w:bottom w:val="single" w:sz="4" w:space="0" w:color="B7B7B7"/>
            </w:tcBorders>
            <w:tcMar>
              <w:top w:w="70" w:type="dxa"/>
              <w:left w:w="80" w:type="dxa"/>
              <w:bottom w:w="70" w:type="dxa"/>
              <w:right w:w="80" w:type="dxa"/>
            </w:tcMar>
            <w:vAlign w:val="center"/>
          </w:tcPr>
          <w:p w14:paraId="73CC2AF5"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Prepares current inputs, calculates positions, applies comparison rates, and records missing or provisional items.</w:t>
            </w:r>
          </w:p>
        </w:tc>
      </w:tr>
      <w:tr w:rsidR="006848B9" w:rsidRPr="007F13D6" w14:paraId="2B04CF92" w14:textId="77777777" w:rsidTr="00276636">
        <w:trPr>
          <w:cantSplit/>
          <w:jc w:val="center"/>
        </w:trPr>
        <w:tc>
          <w:tcPr>
            <w:tcW w:w="792" w:type="dxa"/>
            <w:tcBorders>
              <w:bottom w:val="single" w:sz="4" w:space="0" w:color="B7B7B7"/>
            </w:tcBorders>
            <w:shd w:val="clear" w:color="auto" w:fill="EAF3F8"/>
            <w:tcMar>
              <w:top w:w="70" w:type="dxa"/>
              <w:left w:w="80" w:type="dxa"/>
              <w:bottom w:w="70" w:type="dxa"/>
              <w:right w:w="80" w:type="dxa"/>
            </w:tcMar>
            <w:vAlign w:val="center"/>
          </w:tcPr>
          <w:p w14:paraId="5833084B"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06–08</w:t>
            </w:r>
          </w:p>
        </w:tc>
        <w:tc>
          <w:tcPr>
            <w:tcW w:w="2736" w:type="dxa"/>
            <w:tcBorders>
              <w:bottom w:val="single" w:sz="4" w:space="0" w:color="B7B7B7"/>
            </w:tcBorders>
            <w:shd w:val="clear" w:color="auto" w:fill="EAF3F8"/>
            <w:tcMar>
              <w:top w:w="70" w:type="dxa"/>
              <w:left w:w="80" w:type="dxa"/>
              <w:bottom w:w="70" w:type="dxa"/>
              <w:right w:w="80" w:type="dxa"/>
            </w:tcMar>
            <w:vAlign w:val="center"/>
          </w:tcPr>
          <w:p w14:paraId="38D21A36"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IV&amp;V proposed model</w:t>
            </w:r>
          </w:p>
        </w:tc>
        <w:tc>
          <w:tcPr>
            <w:tcW w:w="6048" w:type="dxa"/>
            <w:tcBorders>
              <w:bottom w:val="single" w:sz="4" w:space="0" w:color="B7B7B7"/>
            </w:tcBorders>
            <w:shd w:val="clear" w:color="auto" w:fill="EAF3F8"/>
            <w:tcMar>
              <w:top w:w="70" w:type="dxa"/>
              <w:left w:w="80" w:type="dxa"/>
              <w:bottom w:w="70" w:type="dxa"/>
              <w:right w:w="80" w:type="dxa"/>
            </w:tcMar>
            <w:vAlign w:val="center"/>
          </w:tcPr>
          <w:p w14:paraId="6F4451D8"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Creates calculation units, allocates charter counts, calculates staffing and weighted units, and applies rates.</w:t>
            </w:r>
          </w:p>
        </w:tc>
      </w:tr>
      <w:tr w:rsidR="006848B9" w:rsidRPr="007F13D6" w14:paraId="74AE9940" w14:textId="77777777" w:rsidTr="00276636">
        <w:trPr>
          <w:cantSplit/>
          <w:jc w:val="center"/>
        </w:trPr>
        <w:tc>
          <w:tcPr>
            <w:tcW w:w="792" w:type="dxa"/>
            <w:tcBorders>
              <w:bottom w:val="single" w:sz="4" w:space="0" w:color="B7B7B7"/>
            </w:tcBorders>
            <w:tcMar>
              <w:top w:w="70" w:type="dxa"/>
              <w:left w:w="80" w:type="dxa"/>
              <w:bottom w:w="70" w:type="dxa"/>
              <w:right w:w="80" w:type="dxa"/>
            </w:tcMar>
            <w:vAlign w:val="center"/>
          </w:tcPr>
          <w:p w14:paraId="729BD081"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09</w:t>
            </w:r>
          </w:p>
        </w:tc>
        <w:tc>
          <w:tcPr>
            <w:tcW w:w="2736" w:type="dxa"/>
            <w:tcBorders>
              <w:bottom w:val="single" w:sz="4" w:space="0" w:color="B7B7B7"/>
            </w:tcBorders>
            <w:tcMar>
              <w:top w:w="70" w:type="dxa"/>
              <w:left w:w="80" w:type="dxa"/>
              <w:bottom w:w="70" w:type="dxa"/>
              <w:right w:w="80" w:type="dxa"/>
            </w:tcMar>
            <w:vAlign w:val="center"/>
          </w:tcPr>
          <w:p w14:paraId="5E9AD51B"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Current-versus-proposed comparison</w:t>
            </w:r>
          </w:p>
        </w:tc>
        <w:tc>
          <w:tcPr>
            <w:tcW w:w="6048" w:type="dxa"/>
            <w:tcBorders>
              <w:bottom w:val="single" w:sz="4" w:space="0" w:color="B7B7B7"/>
            </w:tcBorders>
            <w:tcMar>
              <w:top w:w="70" w:type="dxa"/>
              <w:left w:w="80" w:type="dxa"/>
              <w:bottom w:w="70" w:type="dxa"/>
              <w:right w:w="80" w:type="dxa"/>
            </w:tcMar>
            <w:vAlign w:val="center"/>
          </w:tcPr>
          <w:p w14:paraId="74EE4A8A"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Produces staffing comparisons and separate Opportunity and Operational comparison files.</w:t>
            </w:r>
          </w:p>
        </w:tc>
      </w:tr>
      <w:tr w:rsidR="006848B9" w:rsidRPr="007F13D6" w14:paraId="6E4DE643" w14:textId="77777777" w:rsidTr="00276636">
        <w:trPr>
          <w:cantSplit/>
          <w:jc w:val="center"/>
        </w:trPr>
        <w:tc>
          <w:tcPr>
            <w:tcW w:w="792" w:type="dxa"/>
            <w:tcBorders>
              <w:bottom w:val="single" w:sz="4" w:space="0" w:color="B7B7B7"/>
            </w:tcBorders>
            <w:shd w:val="clear" w:color="auto" w:fill="EAF3F8"/>
            <w:tcMar>
              <w:top w:w="70" w:type="dxa"/>
              <w:left w:w="80" w:type="dxa"/>
              <w:bottom w:w="70" w:type="dxa"/>
              <w:right w:w="80" w:type="dxa"/>
            </w:tcMar>
            <w:vAlign w:val="center"/>
          </w:tcPr>
          <w:p w14:paraId="693A15AC"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10</w:t>
            </w:r>
          </w:p>
        </w:tc>
        <w:tc>
          <w:tcPr>
            <w:tcW w:w="2736" w:type="dxa"/>
            <w:tcBorders>
              <w:bottom w:val="single" w:sz="4" w:space="0" w:color="B7B7B7"/>
            </w:tcBorders>
            <w:shd w:val="clear" w:color="auto" w:fill="EAF3F8"/>
            <w:tcMar>
              <w:top w:w="70" w:type="dxa"/>
              <w:left w:w="80" w:type="dxa"/>
              <w:bottom w:w="70" w:type="dxa"/>
              <w:right w:w="80" w:type="dxa"/>
            </w:tcMar>
            <w:vAlign w:val="center"/>
          </w:tcPr>
          <w:p w14:paraId="745E5733"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PEFC workbook comparison</w:t>
            </w:r>
          </w:p>
        </w:tc>
        <w:tc>
          <w:tcPr>
            <w:tcW w:w="6048" w:type="dxa"/>
            <w:tcBorders>
              <w:bottom w:val="single" w:sz="4" w:space="0" w:color="B7B7B7"/>
            </w:tcBorders>
            <w:shd w:val="clear" w:color="auto" w:fill="EAF3F8"/>
            <w:tcMar>
              <w:top w:w="70" w:type="dxa"/>
              <w:left w:w="80" w:type="dxa"/>
              <w:bottom w:w="70" w:type="dxa"/>
              <w:right w:w="80" w:type="dxa"/>
            </w:tcMar>
            <w:vAlign w:val="center"/>
          </w:tcPr>
          <w:p w14:paraId="6244390F"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Compares the workbook as presented with the independently implemented proposed model.</w:t>
            </w:r>
          </w:p>
        </w:tc>
      </w:tr>
      <w:tr w:rsidR="006848B9" w:rsidRPr="007F13D6" w14:paraId="7FB388F8" w14:textId="77777777" w:rsidTr="00276636">
        <w:trPr>
          <w:cantSplit/>
          <w:jc w:val="center"/>
        </w:trPr>
        <w:tc>
          <w:tcPr>
            <w:tcW w:w="792" w:type="dxa"/>
            <w:tcBorders>
              <w:bottom w:val="single" w:sz="4" w:space="0" w:color="B7B7B7"/>
            </w:tcBorders>
            <w:tcMar>
              <w:top w:w="70" w:type="dxa"/>
              <w:left w:w="80" w:type="dxa"/>
              <w:bottom w:w="70" w:type="dxa"/>
              <w:right w:w="80" w:type="dxa"/>
            </w:tcMar>
            <w:vAlign w:val="center"/>
          </w:tcPr>
          <w:p w14:paraId="3D87952C"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11</w:t>
            </w:r>
          </w:p>
        </w:tc>
        <w:tc>
          <w:tcPr>
            <w:tcW w:w="2736" w:type="dxa"/>
            <w:tcBorders>
              <w:bottom w:val="single" w:sz="4" w:space="0" w:color="B7B7B7"/>
            </w:tcBorders>
            <w:tcMar>
              <w:top w:w="70" w:type="dxa"/>
              <w:left w:w="80" w:type="dxa"/>
              <w:bottom w:w="70" w:type="dxa"/>
              <w:right w:w="80" w:type="dxa"/>
            </w:tcMar>
            <w:vAlign w:val="center"/>
          </w:tcPr>
          <w:p w14:paraId="15728424"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Final outputs and readiness</w:t>
            </w:r>
          </w:p>
        </w:tc>
        <w:tc>
          <w:tcPr>
            <w:tcW w:w="6048" w:type="dxa"/>
            <w:tcBorders>
              <w:bottom w:val="single" w:sz="4" w:space="0" w:color="B7B7B7"/>
            </w:tcBorders>
            <w:tcMar>
              <w:top w:w="70" w:type="dxa"/>
              <w:left w:w="80" w:type="dxa"/>
              <w:bottom w:w="70" w:type="dxa"/>
              <w:right w:w="80" w:type="dxa"/>
            </w:tcMar>
            <w:vAlign w:val="center"/>
          </w:tcPr>
          <w:p w14:paraId="654413AC" w14:textId="77777777" w:rsidR="006848B9" w:rsidRPr="007F13D6" w:rsidRDefault="006848B9" w:rsidP="00270375">
            <w:pPr>
              <w:spacing w:after="0" w:line="240" w:lineRule="auto"/>
              <w:rPr>
                <w:rFonts w:ascii="Arial" w:hAnsi="Arial" w:cs="Arial"/>
                <w:sz w:val="17"/>
                <w:szCs w:val="17"/>
              </w:rPr>
            </w:pPr>
            <w:r w:rsidRPr="007F13D6">
              <w:rPr>
                <w:rFonts w:ascii="Arial" w:hAnsi="Arial" w:cs="Arial"/>
                <w:color w:val="000000"/>
                <w:sz w:val="17"/>
                <w:szCs w:val="17"/>
              </w:rPr>
              <w:t>Packages report-ready comparisons, assumptions, technical QC, reconciliation results, and readiness status.</w:t>
            </w:r>
          </w:p>
        </w:tc>
      </w:tr>
    </w:tbl>
    <w:p w14:paraId="259A89FB" w14:textId="77777777" w:rsidR="00726538" w:rsidRPr="007F13D6" w:rsidRDefault="00954852" w:rsidP="00CE7AFC">
      <w:pPr>
        <w:spacing w:before="120" w:after="120" w:line="240" w:lineRule="auto"/>
        <w:rPr>
          <w:rFonts w:ascii="Arial" w:hAnsi="Arial" w:cs="Arial"/>
        </w:rPr>
      </w:pPr>
      <w:r w:rsidRPr="007F13D6">
        <w:rPr>
          <w:rFonts w:ascii="Arial" w:hAnsi="Arial" w:cs="Arial"/>
          <w:i/>
          <w:color w:val="666666"/>
          <w:sz w:val="16"/>
        </w:rPr>
        <w:t>Source: README.md; RUN_PIPELINE.R; scripts 00–11.</w:t>
      </w:r>
    </w:p>
    <w:p w14:paraId="34AC2DA3" w14:textId="03ABAE6F" w:rsidR="006848B9" w:rsidRPr="007F13D6" w:rsidRDefault="00D97DDD" w:rsidP="00CE7AFC">
      <w:pPr>
        <w:pStyle w:val="Heading2"/>
        <w:spacing w:before="120" w:after="120" w:line="240" w:lineRule="auto"/>
        <w:rPr>
          <w:rFonts w:ascii="Arial" w:hAnsi="Arial" w:cs="Arial"/>
        </w:rPr>
      </w:pPr>
      <w:bookmarkStart w:id="36" w:name="_Toc237512571"/>
      <w:r w:rsidRPr="007F13D6">
        <w:rPr>
          <w:rFonts w:ascii="Arial" w:hAnsi="Arial" w:cs="Arial"/>
        </w:rPr>
        <w:t>7.</w:t>
      </w:r>
      <w:r w:rsidR="006848B9" w:rsidRPr="007F13D6">
        <w:rPr>
          <w:rFonts w:ascii="Arial" w:hAnsi="Arial" w:cs="Arial"/>
        </w:rPr>
        <w:t>1 Technical documentation and audit trail</w:t>
      </w:r>
      <w:bookmarkEnd w:id="36"/>
    </w:p>
    <w:p w14:paraId="4C5F9CAF" w14:textId="2D802F27" w:rsidR="006848B9" w:rsidRPr="007F13D6" w:rsidRDefault="006848B9" w:rsidP="00CE7AFC">
      <w:pPr>
        <w:pStyle w:val="BodyText"/>
        <w:spacing w:before="120" w:line="240" w:lineRule="auto"/>
        <w:rPr>
          <w:rFonts w:ascii="Arial" w:hAnsi="Arial" w:cs="Arial"/>
        </w:rPr>
      </w:pPr>
      <w:r w:rsidRPr="007F13D6">
        <w:rPr>
          <w:rFonts w:ascii="Arial" w:hAnsi="Arial" w:cs="Arial"/>
        </w:rPr>
        <w:t>The analysis scripts, maintained inputs, generated outputs, and technical documentation are available in the School Funding Models GitHub repository. The Delaware School Funding Model Pipeline Definitions document provides the detailed source lineage, implemented calculation rules, comparison mappings, open items, and PEFC reconciliation framework underlying this report. The Delaware School Funding Formula Technical Reference is the governed rule record for the companion calculator: its Rule Context Matrix separates current, proposed, and locked treatments; its Rule Register records formulas and evidence status; and its recommendation tracker identifies the governing action required for PEFC proposals.</w:t>
      </w:r>
    </w:p>
    <w:p w14:paraId="0B0AB095" w14:textId="431D645C" w:rsidR="00D906B5" w:rsidRPr="007F13D6" w:rsidRDefault="00D97DDD" w:rsidP="00CE7AFC">
      <w:pPr>
        <w:pStyle w:val="Heading2"/>
        <w:spacing w:before="120" w:after="120" w:line="240" w:lineRule="auto"/>
        <w:rPr>
          <w:rFonts w:ascii="Arial" w:hAnsi="Arial" w:cs="Arial"/>
        </w:rPr>
      </w:pPr>
      <w:bookmarkStart w:id="37" w:name="_Toc237512572"/>
      <w:r w:rsidRPr="007F13D6">
        <w:rPr>
          <w:rFonts w:ascii="Arial" w:hAnsi="Arial" w:cs="Arial"/>
        </w:rPr>
        <w:t>7.</w:t>
      </w:r>
      <w:r w:rsidR="002D0CB1" w:rsidRPr="007F13D6">
        <w:rPr>
          <w:rFonts w:ascii="Arial" w:hAnsi="Arial" w:cs="Arial"/>
        </w:rPr>
        <w:t>2 HFM Calculator: Interactive Implementation of the Technical Reference</w:t>
      </w:r>
      <w:bookmarkEnd w:id="37"/>
    </w:p>
    <w:p w14:paraId="5A45AF45" w14:textId="77777777" w:rsidR="00FA05B8" w:rsidRPr="007F13D6" w:rsidRDefault="00FA05B8" w:rsidP="00CE7AFC">
      <w:pPr>
        <w:pStyle w:val="BodyText"/>
        <w:spacing w:before="120" w:line="240" w:lineRule="auto"/>
        <w:rPr>
          <w:rFonts w:ascii="Arial" w:hAnsi="Arial" w:cs="Arial"/>
        </w:rPr>
      </w:pPr>
      <w:r w:rsidRPr="007F13D6">
        <w:rPr>
          <w:rFonts w:ascii="Arial" w:hAnsi="Arial" w:cs="Arial"/>
        </w:rPr>
        <w:t>The HFM Calculator is a point-in-time analytical implementation of the Delaware School Funding Formula Technical Reference. It documents the established statutory and operational rules used to recreate the current staffing baseline, reproduces the available FY2025–26 reference-workbook treatment, and provides an interactive environment for examining documented PEFC recommendations and alternative funding assumptions.</w:t>
      </w:r>
    </w:p>
    <w:p w14:paraId="4C2EB8B4" w14:textId="796D6683" w:rsidR="00FA05B8" w:rsidRPr="007F13D6" w:rsidRDefault="00D651FD" w:rsidP="00CE7AFC">
      <w:pPr>
        <w:pStyle w:val="BodyText"/>
        <w:spacing w:before="120" w:line="240" w:lineRule="auto"/>
        <w:rPr>
          <w:rFonts w:ascii="Arial" w:hAnsi="Arial" w:cs="Arial"/>
        </w:rPr>
      </w:pPr>
      <w:r w:rsidRPr="007F13D6">
        <w:rPr>
          <w:rFonts w:ascii="Arial" w:hAnsi="Arial" w:cs="Arial"/>
        </w:rPr>
        <w:t>The calculator carries forward the Technical Reference’s model contexts and evidence/adoption statuses. Users can distinguish a verified current statutory rule from a reproduced workbook treatment, a value reconciled with its formula still open, a documented PEFC recommendation requiring governing action, or an unresolved discrepancy. Inclusion of a rule or formula does not mean that the treatment has been enacted, funded, approved, or independently established as current policy.</w:t>
      </w:r>
    </w:p>
    <w:p w14:paraId="5DC1797E" w14:textId="77777777" w:rsidR="00D651FD" w:rsidRPr="007F13D6" w:rsidRDefault="002D628E" w:rsidP="00CE7AFC">
      <w:pPr>
        <w:pStyle w:val="BodyText"/>
        <w:spacing w:before="120" w:line="240" w:lineRule="auto"/>
        <w:rPr>
          <w:rFonts w:ascii="Arial" w:hAnsi="Arial" w:cs="Arial"/>
        </w:rPr>
      </w:pPr>
      <w:r w:rsidRPr="007F13D6">
        <w:rPr>
          <w:rFonts w:ascii="Arial" w:hAnsi="Arial" w:cs="Arial"/>
        </w:rPr>
        <w:t xml:space="preserve">The calculator </w:t>
      </w:r>
      <w:r w:rsidR="004C298C" w:rsidRPr="007F13D6">
        <w:rPr>
          <w:rFonts w:ascii="Arial" w:hAnsi="Arial" w:cs="Arial"/>
        </w:rPr>
        <w:t>separates into</w:t>
      </w:r>
      <w:r w:rsidRPr="007F13D6">
        <w:rPr>
          <w:rFonts w:ascii="Arial" w:hAnsi="Arial" w:cs="Arial"/>
        </w:rPr>
        <w:t xml:space="preserve"> four related functions:</w:t>
      </w:r>
    </w:p>
    <w:p w14:paraId="7CA36348" w14:textId="77777777" w:rsidR="00D651FD" w:rsidRPr="007F13D6" w:rsidRDefault="00D651FD" w:rsidP="00CE7AFC">
      <w:pPr>
        <w:pStyle w:val="BodyText"/>
        <w:numPr>
          <w:ilvl w:val="0"/>
          <w:numId w:val="24"/>
        </w:numPr>
        <w:spacing w:before="120" w:line="240" w:lineRule="auto"/>
        <w:rPr>
          <w:rFonts w:ascii="Arial" w:hAnsi="Arial" w:cs="Arial"/>
          <w:bCs/>
        </w:rPr>
      </w:pPr>
      <w:r w:rsidRPr="007F13D6">
        <w:rPr>
          <w:rFonts w:ascii="Arial" w:hAnsi="Arial" w:cs="Arial"/>
          <w:b/>
          <w:bCs/>
        </w:rPr>
        <w:lastRenderedPageBreak/>
        <w:t>Current Law/Operations</w:t>
      </w:r>
      <w:r w:rsidRPr="007F13D6">
        <w:rPr>
          <w:rFonts w:ascii="Arial" w:hAnsi="Arial" w:cs="Arial"/>
        </w:rPr>
        <w:t>. Documents the statutory and operational rules used to recreate the current staffing baseline, along with their citations, current-law evidence status, crosswalk limitations, missing inputs, and unresolved interpretations. This function provides context for evaluating proposed changes; it is not a separate, complete current-law funding calculator.</w:t>
      </w:r>
    </w:p>
    <w:p w14:paraId="1F94F63F" w14:textId="77777777" w:rsidR="00D651FD" w:rsidRPr="007F13D6" w:rsidRDefault="00D651FD" w:rsidP="00CE7AFC">
      <w:pPr>
        <w:pStyle w:val="BodyText"/>
        <w:numPr>
          <w:ilvl w:val="0"/>
          <w:numId w:val="24"/>
        </w:numPr>
        <w:spacing w:before="120" w:line="240" w:lineRule="auto"/>
        <w:rPr>
          <w:rFonts w:ascii="Arial" w:hAnsi="Arial" w:cs="Arial"/>
          <w:bCs/>
        </w:rPr>
      </w:pPr>
      <w:r w:rsidRPr="007F13D6">
        <w:rPr>
          <w:rFonts w:ascii="Arial" w:hAnsi="Arial" w:cs="Arial"/>
          <w:b/>
          <w:bCs/>
        </w:rPr>
        <w:t xml:space="preserve">Locked FY2025–26 Workbook. </w:t>
      </w:r>
      <w:r w:rsidRPr="007F13D6">
        <w:rPr>
          <w:rFonts w:ascii="Arial" w:hAnsi="Arial" w:cs="Arial"/>
        </w:rPr>
        <w:t xml:space="preserve">Reproduces the available FY2025–26 reference-workbook treatment using the supplied school- and LEA-level data. It shows what the reference workbook calculates and labels that treatment as workbook reproduction, without </w:t>
      </w:r>
      <w:proofErr w:type="gramStart"/>
      <w:r w:rsidRPr="007F13D6">
        <w:rPr>
          <w:rFonts w:ascii="Arial" w:hAnsi="Arial" w:cs="Arial"/>
        </w:rPr>
        <w:t>assuming that</w:t>
      </w:r>
      <w:proofErr w:type="gramEnd"/>
      <w:r w:rsidRPr="007F13D6">
        <w:rPr>
          <w:rFonts w:ascii="Arial" w:hAnsi="Arial" w:cs="Arial"/>
        </w:rPr>
        <w:t xml:space="preserve"> it represents current law or approved policy.</w:t>
      </w:r>
    </w:p>
    <w:p w14:paraId="29B6F485" w14:textId="3333EEFA" w:rsidR="00D651FD" w:rsidRPr="007F13D6" w:rsidRDefault="00D651FD" w:rsidP="00CE7AFC">
      <w:pPr>
        <w:pStyle w:val="BodyText"/>
        <w:numPr>
          <w:ilvl w:val="0"/>
          <w:numId w:val="24"/>
        </w:numPr>
        <w:spacing w:before="120" w:line="240" w:lineRule="auto"/>
        <w:rPr>
          <w:rFonts w:ascii="Arial" w:hAnsi="Arial" w:cs="Arial"/>
          <w:bCs/>
        </w:rPr>
      </w:pPr>
      <w:r w:rsidRPr="007F13D6">
        <w:rPr>
          <w:rFonts w:ascii="Arial" w:hAnsi="Arial" w:cs="Arial"/>
          <w:b/>
          <w:bCs/>
        </w:rPr>
        <w:t xml:space="preserve">Proposed/What-If Model. </w:t>
      </w:r>
      <w:r w:rsidRPr="007F13D6">
        <w:rPr>
          <w:rFonts w:ascii="Arial" w:hAnsi="Arial" w:cs="Arial"/>
        </w:rPr>
        <w:t>Tests documented PEFC recommendations, alternative interpretations, and user-defined enrollment, rate, and funding-pool assumptions without changing the locked workbook baseline. Recommended formulas remain labeled as requiring governing action, and pattern-derived or unresolved formulas remain identified as analytical estimates rather than established rules.</w:t>
      </w:r>
    </w:p>
    <w:p w14:paraId="3F00140C" w14:textId="79D349A1" w:rsidR="00415476" w:rsidRPr="007F13D6" w:rsidRDefault="00D651FD" w:rsidP="00276636">
      <w:pPr>
        <w:pStyle w:val="BodyText"/>
        <w:numPr>
          <w:ilvl w:val="0"/>
          <w:numId w:val="24"/>
        </w:numPr>
        <w:spacing w:before="120" w:line="240" w:lineRule="auto"/>
        <w:rPr>
          <w:rFonts w:ascii="Arial" w:hAnsi="Arial" w:cs="Arial"/>
          <w:bCs/>
        </w:rPr>
      </w:pPr>
      <w:r w:rsidRPr="007F13D6">
        <w:rPr>
          <w:rFonts w:ascii="Arial" w:hAnsi="Arial" w:cs="Arial"/>
          <w:b/>
          <w:bCs/>
        </w:rPr>
        <w:t xml:space="preserve">Plan Forward. </w:t>
      </w:r>
      <w:r w:rsidRPr="007F13D6">
        <w:rPr>
          <w:rFonts w:ascii="Arial" w:hAnsi="Arial" w:cs="Arial"/>
        </w:rPr>
        <w:t>Identifies the statutory, appropriation, regulatory, policy, data, and implementation actions needed to reconcile open treatments, adopt or revise recommendations, and prepare the model for future validation and use.</w:t>
      </w:r>
    </w:p>
    <w:p w14:paraId="14D9396A" w14:textId="1ECC7531" w:rsidR="00DF33E8" w:rsidRPr="007F13D6" w:rsidRDefault="00DF33E8" w:rsidP="00CE7AFC">
      <w:pPr>
        <w:pStyle w:val="ListBullet"/>
        <w:numPr>
          <w:ilvl w:val="0"/>
          <w:numId w:val="0"/>
        </w:numPr>
        <w:spacing w:before="120" w:after="120" w:line="240" w:lineRule="auto"/>
        <w:contextualSpacing w:val="0"/>
        <w:rPr>
          <w:rFonts w:ascii="Arial" w:hAnsi="Arial" w:cs="Arial"/>
        </w:rPr>
      </w:pPr>
      <w:r w:rsidRPr="007F13D6">
        <w:rPr>
          <w:rFonts w:ascii="Arial" w:hAnsi="Arial" w:cs="Arial"/>
        </w:rPr>
        <w:t>Because the calculator is downstream of the Technical Reference, it should be reviewed whenever the governing rule record changes. Clarifications to citations, source documentation, model context, or evidence/adoption status may require only documentation or labeling updates. Computational logic should be revised only when an established or reconciled decision changes a formula, eligibility rule, calculation base, threshold, rate, or calculation unit.</w:t>
      </w:r>
    </w:p>
    <w:p w14:paraId="76B75E54" w14:textId="7FC68FF0" w:rsidR="00DF33E8" w:rsidRPr="007F13D6" w:rsidRDefault="00DF33E8" w:rsidP="00CE7AFC">
      <w:pPr>
        <w:pStyle w:val="ListBullet"/>
        <w:numPr>
          <w:ilvl w:val="0"/>
          <w:numId w:val="0"/>
        </w:numPr>
        <w:spacing w:before="120" w:after="120" w:line="240" w:lineRule="auto"/>
        <w:contextualSpacing w:val="0"/>
        <w:rPr>
          <w:rFonts w:ascii="Arial" w:hAnsi="Arial" w:cs="Arial"/>
        </w:rPr>
      </w:pPr>
      <w:r w:rsidRPr="007F13D6">
        <w:rPr>
          <w:rFonts w:ascii="Arial" w:hAnsi="Arial" w:cs="Arial"/>
        </w:rPr>
        <w:t>The calculator should therefore be understood as a point-in-time product of the laws, appropriations, documented PEFC recommendations, reference-workbook calculations, operational practices, and evidence available when it was built. Its principal purpose is to make the proposed funding structure and its assumptions transparent and testable while preserving the recreated current staffing rules as a comparison baseline.</w:t>
      </w:r>
    </w:p>
    <w:p w14:paraId="3B864544" w14:textId="77777777" w:rsidR="00DF33E8" w:rsidRPr="007F13D6" w:rsidRDefault="00DF33E8" w:rsidP="00CE7AFC">
      <w:pPr>
        <w:pStyle w:val="ListBullet"/>
        <w:numPr>
          <w:ilvl w:val="0"/>
          <w:numId w:val="0"/>
        </w:numPr>
        <w:spacing w:before="120" w:after="120" w:line="240" w:lineRule="auto"/>
        <w:contextualSpacing w:val="0"/>
        <w:rPr>
          <w:rFonts w:ascii="Arial" w:hAnsi="Arial" w:cs="Arial"/>
        </w:rPr>
      </w:pPr>
      <w:r w:rsidRPr="007F13D6">
        <w:rPr>
          <w:rFonts w:ascii="Arial" w:hAnsi="Arial" w:cs="Arial"/>
        </w:rPr>
        <w:t>The calculator can be used by DDOE, districts, charter schools, policymakers, analysts, and the public to review assumptions and test scenarios. It does not resolve conflicts among sources, convert a recommendation into law or approved policy, calculate a complete current-law fiscal baseline, or function as an official DDOE Hybrid Funding Formula calculator.</w:t>
      </w:r>
    </w:p>
    <w:p w14:paraId="0958FF32" w14:textId="526BFA4D" w:rsidR="007C6E96" w:rsidRPr="007F13D6" w:rsidRDefault="002D628E" w:rsidP="00CE7AFC">
      <w:pPr>
        <w:pStyle w:val="BodyText"/>
        <w:spacing w:before="120" w:line="240" w:lineRule="auto"/>
        <w:rPr>
          <w:rFonts w:ascii="Arial" w:hAnsi="Arial" w:cs="Arial"/>
        </w:rPr>
      </w:pPr>
      <w:hyperlink r:id="rId16">
        <w:r w:rsidRPr="007F13D6">
          <w:rPr>
            <w:rFonts w:ascii="Arial" w:hAnsi="Arial" w:cs="Arial"/>
            <w:color w:val="0563C1"/>
            <w:u w:val="single"/>
          </w:rPr>
          <w:t>Access the interactive HFM Calculator</w:t>
        </w:r>
      </w:hyperlink>
    </w:p>
    <w:p w14:paraId="3642E460" w14:textId="68F495FA" w:rsidR="00726538" w:rsidRPr="007F13D6" w:rsidRDefault="00D97DDD" w:rsidP="00CE7AFC">
      <w:pPr>
        <w:pStyle w:val="Heading2"/>
        <w:spacing w:before="120" w:after="120" w:line="240" w:lineRule="auto"/>
        <w:rPr>
          <w:rFonts w:ascii="Arial" w:hAnsi="Arial" w:cs="Arial"/>
        </w:rPr>
      </w:pPr>
      <w:bookmarkStart w:id="38" w:name="_Toc237512573"/>
      <w:r w:rsidRPr="007F13D6">
        <w:rPr>
          <w:rFonts w:ascii="Arial" w:hAnsi="Arial" w:cs="Arial"/>
        </w:rPr>
        <w:t>7.</w:t>
      </w:r>
      <w:r w:rsidR="00954852" w:rsidRPr="007F13D6">
        <w:rPr>
          <w:rFonts w:ascii="Arial" w:hAnsi="Arial" w:cs="Arial"/>
        </w:rPr>
        <w:t>3 Conclusion</w:t>
      </w:r>
      <w:bookmarkEnd w:id="38"/>
    </w:p>
    <w:p w14:paraId="4B098ABC" w14:textId="77777777" w:rsidR="00AB1A86" w:rsidRPr="007F13D6" w:rsidRDefault="00AB1A86" w:rsidP="00CE7AFC">
      <w:pPr>
        <w:pStyle w:val="BodyText"/>
        <w:keepLines/>
        <w:spacing w:before="120" w:line="240" w:lineRule="auto"/>
        <w:rPr>
          <w:rFonts w:ascii="Arial" w:hAnsi="Arial" w:cs="Arial"/>
        </w:rPr>
      </w:pPr>
      <w:r w:rsidRPr="007F13D6">
        <w:rPr>
          <w:rFonts w:ascii="Arial" w:hAnsi="Arial" w:cs="Arial"/>
        </w:rPr>
        <w:t>The IV&amp;V establishes a reproducible basis for understanding the proposed funding structure and comparing it with the recreated current staffing rules. It identifies where the largest modeled staffing changes occur, clarifies the importance of school calculation units, reproduces the proposed weighted funding pools, and documents differences among established current rules, documented PEFC recommendations, and the FY2025–26 reference-workbook implementation.</w:t>
      </w:r>
    </w:p>
    <w:p w14:paraId="481C1C99" w14:textId="77777777" w:rsidR="00AB1A86" w:rsidRPr="007F13D6" w:rsidRDefault="00AB1A86" w:rsidP="00CE7AFC">
      <w:pPr>
        <w:pStyle w:val="BodyText"/>
        <w:keepLines/>
        <w:spacing w:before="120" w:line="240" w:lineRule="auto"/>
        <w:rPr>
          <w:rFonts w:ascii="Arial" w:hAnsi="Arial" w:cs="Arial"/>
        </w:rPr>
      </w:pPr>
      <w:r w:rsidRPr="007F13D6">
        <w:rPr>
          <w:rFonts w:ascii="Arial" w:hAnsi="Arial" w:cs="Arial"/>
        </w:rPr>
        <w:t>The Technical Reference and HFM Calculator extend this work by creating a transparent and maintainable record of the available laws, appropriations, recommendations, business rules, formulas, interpretations, model contexts, and evidence/adoption statuses. The calculator documents the current statutory and operational comparison baseline, reproduces the locked reference-workbook treatment, and demonstrates how proposed changes and alternative assumptions can be operationalized and tested without presenting them as enacted policy.</w:t>
      </w:r>
    </w:p>
    <w:p w14:paraId="7981EC4D" w14:textId="77777777" w:rsidR="00AB1A86" w:rsidRPr="007F13D6" w:rsidRDefault="00AB1A86" w:rsidP="00CE7AFC">
      <w:pPr>
        <w:pStyle w:val="BodyText"/>
        <w:keepLines/>
        <w:spacing w:before="120" w:line="240" w:lineRule="auto"/>
        <w:rPr>
          <w:rFonts w:ascii="Arial" w:hAnsi="Arial" w:cs="Arial"/>
        </w:rPr>
      </w:pPr>
      <w:r w:rsidRPr="007F13D6">
        <w:rPr>
          <w:rFonts w:ascii="Arial" w:hAnsi="Arial" w:cs="Arial"/>
        </w:rPr>
        <w:t>The analysis is technically ready to support review and policy discussion, but it is not a final net fiscal assessment. Current Opportunity and Operational allocations or defensible program crosswalks remain unavailable, and several formula interpretations, eligibility decisions, calculation-unit definitions, and appropriation relationships still require confirmation. Missing current amounts should therefore remain unidentified rather than being treated as zero.</w:t>
      </w:r>
    </w:p>
    <w:p w14:paraId="08533432" w14:textId="77777777" w:rsidR="00AB1A86" w:rsidRPr="007F13D6" w:rsidRDefault="00AB1A86" w:rsidP="00CE7AFC">
      <w:pPr>
        <w:pStyle w:val="BodyText"/>
        <w:keepLines/>
        <w:spacing w:before="120" w:line="240" w:lineRule="auto"/>
        <w:rPr>
          <w:rFonts w:ascii="Arial" w:hAnsi="Arial" w:cs="Arial"/>
        </w:rPr>
      </w:pPr>
      <w:r w:rsidRPr="007F13D6">
        <w:rPr>
          <w:rFonts w:ascii="Arial" w:hAnsi="Arial" w:cs="Arial"/>
        </w:rPr>
        <w:lastRenderedPageBreak/>
        <w:t>As recommendations are adopted, revised, or reconciled, the Technical Reference should be updated first to record the governing authority, effective date, and approved rule. The calculator’s labels, documentation, logic, and data should then be adjusted as necessary, and its outputs revalidated against approved sources and expected reconciliation totals. Once the proposed rules are approved and the remaining inputs are resolved, the calculator can provide DDOE, school districts, charter schools, policymakers, analysts, and the public with a consistent and accessible tool for applying the approved funding structure and evaluating future scenarios.</w:t>
      </w:r>
    </w:p>
    <w:p w14:paraId="43614D62" w14:textId="1B70A228" w:rsidR="00726538" w:rsidRPr="007F13D6" w:rsidRDefault="00954852" w:rsidP="00CE7AFC">
      <w:pPr>
        <w:pStyle w:val="Heading1"/>
        <w:spacing w:before="120" w:after="120" w:line="240" w:lineRule="auto"/>
        <w:rPr>
          <w:rFonts w:ascii="Arial" w:hAnsi="Arial" w:cs="Arial"/>
        </w:rPr>
      </w:pPr>
      <w:r w:rsidRPr="007F13D6">
        <w:rPr>
          <w:rFonts w:ascii="Arial" w:hAnsi="Arial" w:cs="Arial"/>
        </w:rPr>
        <w:br w:type="page"/>
      </w:r>
      <w:bookmarkStart w:id="39" w:name="_Toc237512574"/>
      <w:r w:rsidRPr="007F13D6">
        <w:rPr>
          <w:rFonts w:ascii="Arial" w:hAnsi="Arial" w:cs="Arial"/>
        </w:rPr>
        <w:lastRenderedPageBreak/>
        <w:t>Technical Appendices</w:t>
      </w:r>
      <w:bookmarkEnd w:id="39"/>
    </w:p>
    <w:p w14:paraId="06E29015" w14:textId="06AB9762" w:rsidR="00726538" w:rsidRPr="007F13D6" w:rsidRDefault="008F3F38" w:rsidP="00CE7AFC">
      <w:pPr>
        <w:pStyle w:val="BodyText"/>
        <w:keepLines/>
        <w:spacing w:before="120" w:line="240" w:lineRule="auto"/>
        <w:rPr>
          <w:rFonts w:ascii="Arial" w:hAnsi="Arial" w:cs="Arial"/>
        </w:rPr>
      </w:pPr>
      <w:r w:rsidRPr="007F13D6">
        <w:rPr>
          <w:rFonts w:ascii="Arial" w:hAnsi="Arial" w:cs="Arial"/>
        </w:rPr>
        <w:t>The appendices provide concise technical support for the narrative. The complete project retains more detailed school-, calculation-unit-, LEA-, component-, audit-, and QC-level files than are reproduced here. The full analysis scripts, outputs, and supporting documentation are available in the </w:t>
      </w:r>
      <w:hyperlink r:id="rId17" w:tgtFrame="_new" w:history="1">
        <w:r w:rsidRPr="007F13D6">
          <w:rPr>
            <w:rStyle w:val="Hyperlink"/>
            <w:rFonts w:ascii="Arial" w:hAnsi="Arial" w:cs="Arial"/>
          </w:rPr>
          <w:t>School Funding Models GitHub repository</w:t>
        </w:r>
      </w:hyperlink>
      <w:r w:rsidRPr="007F13D6">
        <w:rPr>
          <w:rFonts w:ascii="Arial" w:hAnsi="Arial" w:cs="Arial"/>
        </w:rPr>
        <w:t>. The </w:t>
      </w:r>
      <w:r w:rsidRPr="007F13D6">
        <w:rPr>
          <w:rFonts w:ascii="Arial" w:hAnsi="Arial" w:cs="Arial"/>
          <w:i/>
          <w:iCs/>
        </w:rPr>
        <w:t>Delaware School Funding Model Pipeline Definitions</w:t>
      </w:r>
      <w:r w:rsidRPr="007F13D6">
        <w:rPr>
          <w:rFonts w:ascii="Arial" w:hAnsi="Arial" w:cs="Arial"/>
        </w:rPr>
        <w:t> document provides the complete source lineage, implemented rules, comparison mappings, evidence labels, and readiness framework</w:t>
      </w:r>
      <w:r w:rsidR="00954852" w:rsidRPr="007F13D6">
        <w:rPr>
          <w:rFonts w:ascii="Arial" w:hAnsi="Arial" w:cs="Arial"/>
        </w:rPr>
        <w:t>.</w:t>
      </w:r>
    </w:p>
    <w:p w14:paraId="3CBE2330" w14:textId="77777777" w:rsidR="00726538" w:rsidRPr="007F13D6" w:rsidRDefault="00954852" w:rsidP="00CE7AFC">
      <w:pPr>
        <w:pStyle w:val="Heading2"/>
        <w:spacing w:before="120" w:after="120" w:line="240" w:lineRule="auto"/>
        <w:rPr>
          <w:rFonts w:ascii="Arial" w:hAnsi="Arial" w:cs="Arial"/>
        </w:rPr>
      </w:pPr>
      <w:bookmarkStart w:id="40" w:name="_Toc237512575"/>
      <w:r w:rsidRPr="007F13D6">
        <w:rPr>
          <w:rFonts w:ascii="Arial" w:hAnsi="Arial" w:cs="Arial"/>
        </w:rPr>
        <w:t xml:space="preserve">Appendix </w:t>
      </w:r>
      <w:r w:rsidR="007E572D" w:rsidRPr="007F13D6">
        <w:rPr>
          <w:rFonts w:ascii="Arial" w:hAnsi="Arial" w:cs="Arial"/>
        </w:rPr>
        <w:t>A</w:t>
      </w:r>
      <w:r w:rsidRPr="007F13D6">
        <w:rPr>
          <w:rFonts w:ascii="Arial" w:hAnsi="Arial" w:cs="Arial"/>
        </w:rPr>
        <w:t>. Selected staffing rules</w:t>
      </w:r>
      <w:bookmarkEnd w:id="40"/>
    </w:p>
    <w:tbl>
      <w:tblPr>
        <w:tblW w:w="9648" w:type="dxa"/>
        <w:jc w:val="center"/>
        <w:tblLayout w:type="fixed"/>
        <w:tblLook w:val="04A0" w:firstRow="1" w:lastRow="0" w:firstColumn="1" w:lastColumn="0" w:noHBand="0" w:noVBand="1"/>
      </w:tblPr>
      <w:tblGrid>
        <w:gridCol w:w="1440"/>
        <w:gridCol w:w="2304"/>
        <w:gridCol w:w="2592"/>
        <w:gridCol w:w="3312"/>
      </w:tblGrid>
      <w:tr w:rsidR="00E05D2C" w:rsidRPr="007F13D6" w14:paraId="33633165" w14:textId="77777777" w:rsidTr="00D27BFE">
        <w:trPr>
          <w:cantSplit/>
          <w:tblHeader/>
          <w:jc w:val="center"/>
        </w:trPr>
        <w:tc>
          <w:tcPr>
            <w:tcW w:w="1440" w:type="dxa"/>
            <w:tcBorders>
              <w:bottom w:val="single" w:sz="8" w:space="0" w:color="FFFFFF"/>
            </w:tcBorders>
            <w:shd w:val="clear" w:color="auto" w:fill="1F4E78"/>
            <w:tcMar>
              <w:top w:w="70" w:type="dxa"/>
              <w:left w:w="80" w:type="dxa"/>
              <w:bottom w:w="70" w:type="dxa"/>
              <w:right w:w="80" w:type="dxa"/>
            </w:tcMar>
            <w:vAlign w:val="center"/>
          </w:tcPr>
          <w:p w14:paraId="6558ACB2" w14:textId="77777777" w:rsidR="00E05D2C" w:rsidRPr="007F13D6" w:rsidRDefault="00E05D2C" w:rsidP="00276636">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Category</w:t>
            </w:r>
          </w:p>
        </w:tc>
        <w:tc>
          <w:tcPr>
            <w:tcW w:w="2304" w:type="dxa"/>
            <w:tcBorders>
              <w:bottom w:val="single" w:sz="8" w:space="0" w:color="FFFFFF"/>
            </w:tcBorders>
            <w:shd w:val="clear" w:color="auto" w:fill="1F4E78"/>
            <w:tcMar>
              <w:top w:w="70" w:type="dxa"/>
              <w:left w:w="80" w:type="dxa"/>
              <w:bottom w:w="70" w:type="dxa"/>
              <w:right w:w="80" w:type="dxa"/>
            </w:tcMar>
            <w:vAlign w:val="center"/>
          </w:tcPr>
          <w:p w14:paraId="15E614B7" w14:textId="77777777" w:rsidR="00E05D2C" w:rsidRPr="007F13D6" w:rsidRDefault="00E05D2C" w:rsidP="00276636">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Recreated current rule</w:t>
            </w:r>
          </w:p>
        </w:tc>
        <w:tc>
          <w:tcPr>
            <w:tcW w:w="2592" w:type="dxa"/>
            <w:tcBorders>
              <w:bottom w:val="single" w:sz="8" w:space="0" w:color="FFFFFF"/>
            </w:tcBorders>
            <w:shd w:val="clear" w:color="auto" w:fill="1F4E78"/>
            <w:tcMar>
              <w:top w:w="70" w:type="dxa"/>
              <w:left w:w="80" w:type="dxa"/>
              <w:bottom w:w="70" w:type="dxa"/>
              <w:right w:w="80" w:type="dxa"/>
            </w:tcMar>
            <w:vAlign w:val="center"/>
          </w:tcPr>
          <w:p w14:paraId="36B5611C" w14:textId="77777777" w:rsidR="00E05D2C" w:rsidRPr="007F13D6" w:rsidRDefault="00E05D2C" w:rsidP="00276636">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IV&amp;V proposed rule</w:t>
            </w:r>
          </w:p>
        </w:tc>
        <w:tc>
          <w:tcPr>
            <w:tcW w:w="3312" w:type="dxa"/>
            <w:tcBorders>
              <w:bottom w:val="single" w:sz="8" w:space="0" w:color="FFFFFF"/>
            </w:tcBorders>
            <w:shd w:val="clear" w:color="auto" w:fill="1F4E78"/>
            <w:tcMar>
              <w:top w:w="70" w:type="dxa"/>
              <w:left w:w="80" w:type="dxa"/>
              <w:bottom w:w="70" w:type="dxa"/>
              <w:right w:w="80" w:type="dxa"/>
            </w:tcMar>
            <w:vAlign w:val="center"/>
          </w:tcPr>
          <w:p w14:paraId="675B4497" w14:textId="77777777" w:rsidR="00E05D2C" w:rsidRPr="007F13D6" w:rsidRDefault="00E05D2C" w:rsidP="00276636">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 xml:space="preserve">Comparison </w:t>
            </w:r>
            <w:proofErr w:type="gramStart"/>
            <w:r w:rsidRPr="007F13D6">
              <w:rPr>
                <w:rFonts w:ascii="Arial" w:hAnsi="Arial" w:cs="Arial"/>
                <w:b/>
                <w:bCs/>
                <w:color w:val="FFFFFF" w:themeColor="background1"/>
                <w:sz w:val="17"/>
                <w:szCs w:val="17"/>
              </w:rPr>
              <w:t>note</w:t>
            </w:r>
            <w:proofErr w:type="gramEnd"/>
          </w:p>
        </w:tc>
      </w:tr>
      <w:tr w:rsidR="007E572D" w:rsidRPr="007F13D6" w14:paraId="521CBA51" w14:textId="77777777" w:rsidTr="00D27BFE">
        <w:trPr>
          <w:cantSplit/>
          <w:jc w:val="center"/>
        </w:trPr>
        <w:tc>
          <w:tcPr>
            <w:tcW w:w="1440" w:type="dxa"/>
            <w:tcBorders>
              <w:bottom w:val="single" w:sz="4" w:space="0" w:color="B7B7B7"/>
            </w:tcBorders>
            <w:tcMar>
              <w:top w:w="70" w:type="dxa"/>
              <w:left w:w="80" w:type="dxa"/>
              <w:bottom w:w="70" w:type="dxa"/>
              <w:right w:w="80" w:type="dxa"/>
            </w:tcMar>
            <w:vAlign w:val="center"/>
          </w:tcPr>
          <w:p w14:paraId="7F6AAFAD"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b/>
                <w:sz w:val="17"/>
                <w:szCs w:val="17"/>
              </w:rPr>
              <w:t>Core teaching</w:t>
            </w:r>
          </w:p>
        </w:tc>
        <w:tc>
          <w:tcPr>
            <w:tcW w:w="2304" w:type="dxa"/>
            <w:tcBorders>
              <w:bottom w:val="single" w:sz="4" w:space="0" w:color="B7B7B7"/>
            </w:tcBorders>
            <w:tcMar>
              <w:top w:w="70" w:type="dxa"/>
              <w:left w:w="80" w:type="dxa"/>
              <w:bottom w:w="70" w:type="dxa"/>
              <w:right w:w="80" w:type="dxa"/>
            </w:tcMar>
            <w:vAlign w:val="center"/>
          </w:tcPr>
          <w:p w14:paraId="3AE284B2"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Uses reported Unit Count Division I teaching quantities.</w:t>
            </w:r>
          </w:p>
        </w:tc>
        <w:tc>
          <w:tcPr>
            <w:tcW w:w="2592" w:type="dxa"/>
            <w:tcBorders>
              <w:bottom w:val="single" w:sz="4" w:space="0" w:color="B7B7B7"/>
            </w:tcBorders>
            <w:tcMar>
              <w:top w:w="70" w:type="dxa"/>
              <w:left w:w="80" w:type="dxa"/>
              <w:bottom w:w="70" w:type="dxa"/>
              <w:right w:w="80" w:type="dxa"/>
            </w:tcMar>
            <w:vAlign w:val="center"/>
          </w:tcPr>
          <w:p w14:paraId="1F097C74"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Divides enrollment by the proposed staffing ratios for each student category.</w:t>
            </w:r>
          </w:p>
        </w:tc>
        <w:tc>
          <w:tcPr>
            <w:tcW w:w="3312" w:type="dxa"/>
            <w:tcBorders>
              <w:bottom w:val="single" w:sz="4" w:space="0" w:color="B7B7B7"/>
            </w:tcBorders>
            <w:tcMar>
              <w:top w:w="70" w:type="dxa"/>
              <w:left w:w="80" w:type="dxa"/>
              <w:bottom w:w="70" w:type="dxa"/>
              <w:right w:w="80" w:type="dxa"/>
            </w:tcMar>
            <w:vAlign w:val="center"/>
          </w:tcPr>
          <w:p w14:paraId="49F8352C"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Statewide current and proposed quantities are closely aligned.</w:t>
            </w:r>
          </w:p>
        </w:tc>
      </w:tr>
      <w:tr w:rsidR="007E572D" w:rsidRPr="007F13D6" w14:paraId="5B9C9910" w14:textId="77777777" w:rsidTr="00D27BFE">
        <w:trPr>
          <w:cantSplit/>
          <w:jc w:val="center"/>
        </w:trPr>
        <w:tc>
          <w:tcPr>
            <w:tcW w:w="1440" w:type="dxa"/>
            <w:tcBorders>
              <w:bottom w:val="single" w:sz="4" w:space="0" w:color="B7B7B7"/>
            </w:tcBorders>
            <w:shd w:val="clear" w:color="auto" w:fill="EAF3F8"/>
            <w:tcMar>
              <w:top w:w="70" w:type="dxa"/>
              <w:left w:w="80" w:type="dxa"/>
              <w:bottom w:w="70" w:type="dxa"/>
              <w:right w:w="80" w:type="dxa"/>
            </w:tcMar>
            <w:vAlign w:val="center"/>
          </w:tcPr>
          <w:p w14:paraId="33248D65"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b/>
                <w:sz w:val="17"/>
                <w:szCs w:val="17"/>
              </w:rPr>
              <w:t>Principal</w:t>
            </w:r>
          </w:p>
        </w:tc>
        <w:tc>
          <w:tcPr>
            <w:tcW w:w="2304" w:type="dxa"/>
            <w:tcBorders>
              <w:bottom w:val="single" w:sz="4" w:space="0" w:color="B7B7B7"/>
            </w:tcBorders>
            <w:shd w:val="clear" w:color="auto" w:fill="EAF3F8"/>
            <w:tcMar>
              <w:top w:w="70" w:type="dxa"/>
              <w:left w:w="80" w:type="dxa"/>
              <w:bottom w:w="70" w:type="dxa"/>
              <w:right w:w="80" w:type="dxa"/>
            </w:tcMar>
            <w:vAlign w:val="center"/>
          </w:tcPr>
          <w:p w14:paraId="1C51189C"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position when a coded school has at least 15 current Division I units.</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6E29E5FF"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position per school calculation unit.</w:t>
            </w:r>
          </w:p>
        </w:tc>
        <w:tc>
          <w:tcPr>
            <w:tcW w:w="3312" w:type="dxa"/>
            <w:tcBorders>
              <w:bottom w:val="single" w:sz="4" w:space="0" w:color="B7B7B7"/>
            </w:tcBorders>
            <w:shd w:val="clear" w:color="auto" w:fill="EAF3F8"/>
            <w:tcMar>
              <w:top w:w="70" w:type="dxa"/>
              <w:left w:w="80" w:type="dxa"/>
              <w:bottom w:w="70" w:type="dxa"/>
              <w:right w:w="80" w:type="dxa"/>
            </w:tcMar>
            <w:vAlign w:val="center"/>
          </w:tcPr>
          <w:p w14:paraId="586952DC"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The proposed result depends on the calculation-unit universe and removes the current 15-unit threshold.</w:t>
            </w:r>
          </w:p>
        </w:tc>
      </w:tr>
      <w:tr w:rsidR="007E572D" w:rsidRPr="007F13D6" w14:paraId="62E3F3E6" w14:textId="77777777" w:rsidTr="00D27BFE">
        <w:trPr>
          <w:cantSplit/>
          <w:jc w:val="center"/>
        </w:trPr>
        <w:tc>
          <w:tcPr>
            <w:tcW w:w="1440" w:type="dxa"/>
            <w:tcBorders>
              <w:bottom w:val="single" w:sz="4" w:space="0" w:color="B7B7B7"/>
            </w:tcBorders>
            <w:shd w:val="clear" w:color="auto" w:fill="EAF3F8"/>
            <w:tcMar>
              <w:top w:w="70" w:type="dxa"/>
              <w:left w:w="80" w:type="dxa"/>
              <w:bottom w:w="70" w:type="dxa"/>
              <w:right w:w="80" w:type="dxa"/>
            </w:tcMar>
            <w:vAlign w:val="center"/>
          </w:tcPr>
          <w:p w14:paraId="21A8DE2B"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b/>
                <w:sz w:val="17"/>
                <w:szCs w:val="17"/>
              </w:rPr>
              <w:t>Assistant Principal</w:t>
            </w:r>
          </w:p>
        </w:tc>
        <w:tc>
          <w:tcPr>
            <w:tcW w:w="2304" w:type="dxa"/>
            <w:tcBorders>
              <w:bottom w:val="single" w:sz="4" w:space="0" w:color="B7B7B7"/>
            </w:tcBorders>
            <w:shd w:val="clear" w:color="auto" w:fill="EAF3F8"/>
            <w:tcMar>
              <w:top w:w="70" w:type="dxa"/>
              <w:left w:w="80" w:type="dxa"/>
              <w:bottom w:w="70" w:type="dxa"/>
              <w:right w:w="80" w:type="dxa"/>
            </w:tcMar>
            <w:vAlign w:val="center"/>
          </w:tcPr>
          <w:p w14:paraId="665FEBEA"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Applies the current 25-, 30-, 50-, 55-, and additional 20-unit thresholds.</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08EA571D"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Applies the proposed thresholds to the school-level calculation base and retains the documented 0.65 and 1.65 fractional awards.</w:t>
            </w:r>
          </w:p>
        </w:tc>
        <w:tc>
          <w:tcPr>
            <w:tcW w:w="3312" w:type="dxa"/>
            <w:tcBorders>
              <w:bottom w:val="single" w:sz="4" w:space="0" w:color="B7B7B7"/>
            </w:tcBorders>
            <w:shd w:val="clear" w:color="auto" w:fill="EAF3F8"/>
            <w:tcMar>
              <w:top w:w="70" w:type="dxa"/>
              <w:left w:w="80" w:type="dxa"/>
              <w:bottom w:w="70" w:type="dxa"/>
              <w:right w:w="80" w:type="dxa"/>
            </w:tcMar>
            <w:vAlign w:val="center"/>
          </w:tcPr>
          <w:p w14:paraId="211CA49E"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Produces one of the larger confirmed staffing differences. The PEFC workbook rounds the fractional awards down.</w:t>
            </w:r>
          </w:p>
        </w:tc>
      </w:tr>
      <w:tr w:rsidR="007E572D" w:rsidRPr="007F13D6" w14:paraId="7548C298" w14:textId="77777777" w:rsidTr="00D27BFE">
        <w:trPr>
          <w:cantSplit/>
          <w:jc w:val="center"/>
        </w:trPr>
        <w:tc>
          <w:tcPr>
            <w:tcW w:w="1440" w:type="dxa"/>
            <w:tcBorders>
              <w:bottom w:val="single" w:sz="4" w:space="0" w:color="B7B7B7"/>
            </w:tcBorders>
            <w:shd w:val="clear" w:color="auto" w:fill="EAF3F8"/>
            <w:tcMar>
              <w:top w:w="70" w:type="dxa"/>
              <w:left w:w="80" w:type="dxa"/>
              <w:bottom w:w="70" w:type="dxa"/>
              <w:right w:w="80" w:type="dxa"/>
            </w:tcMar>
            <w:vAlign w:val="center"/>
          </w:tcPr>
          <w:p w14:paraId="5E10A8BA"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b/>
                <w:sz w:val="17"/>
                <w:szCs w:val="17"/>
              </w:rPr>
              <w:t>Administrative support</w:t>
            </w:r>
          </w:p>
        </w:tc>
        <w:tc>
          <w:tcPr>
            <w:tcW w:w="2304" w:type="dxa"/>
            <w:tcBorders>
              <w:bottom w:val="single" w:sz="4" w:space="0" w:color="B7B7B7"/>
            </w:tcBorders>
            <w:shd w:val="clear" w:color="auto" w:fill="EAF3F8"/>
            <w:tcMar>
              <w:top w:w="70" w:type="dxa"/>
              <w:left w:w="80" w:type="dxa"/>
              <w:bottom w:w="70" w:type="dxa"/>
              <w:right w:w="80" w:type="dxa"/>
            </w:tcMar>
            <w:vAlign w:val="center"/>
          </w:tcPr>
          <w:p w14:paraId="4025D02C"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Secretary formula: one per 10 positions through 100, then one per completed 12 positions.</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05AFF158"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Administrative Support Professionals formula using the same tiered structure.</w:t>
            </w:r>
          </w:p>
        </w:tc>
        <w:tc>
          <w:tcPr>
            <w:tcW w:w="3312" w:type="dxa"/>
            <w:tcBorders>
              <w:bottom w:val="single" w:sz="4" w:space="0" w:color="B7B7B7"/>
            </w:tcBorders>
            <w:shd w:val="clear" w:color="auto" w:fill="EAF3F8"/>
            <w:tcMar>
              <w:top w:w="70" w:type="dxa"/>
              <w:left w:w="80" w:type="dxa"/>
              <w:bottom w:w="70" w:type="dxa"/>
              <w:right w:w="80" w:type="dxa"/>
            </w:tcMar>
            <w:vAlign w:val="center"/>
          </w:tcPr>
          <w:p w14:paraId="49CA69C7"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The Secretary-to-Administrative Support Professionals functional mapping and $74,017 common rate are externally confirmed; the categories are not identical.</w:t>
            </w:r>
          </w:p>
        </w:tc>
      </w:tr>
      <w:tr w:rsidR="007E572D" w:rsidRPr="007F13D6" w14:paraId="54F7D5B5" w14:textId="77777777" w:rsidTr="00D27BFE">
        <w:trPr>
          <w:cantSplit/>
          <w:jc w:val="center"/>
        </w:trPr>
        <w:tc>
          <w:tcPr>
            <w:tcW w:w="1440" w:type="dxa"/>
            <w:tcBorders>
              <w:bottom w:val="single" w:sz="4" w:space="0" w:color="B7B7B7"/>
            </w:tcBorders>
            <w:shd w:val="clear" w:color="auto" w:fill="EAF3F8"/>
            <w:tcMar>
              <w:top w:w="70" w:type="dxa"/>
              <w:left w:w="80" w:type="dxa"/>
              <w:bottom w:w="70" w:type="dxa"/>
              <w:right w:w="80" w:type="dxa"/>
            </w:tcMar>
            <w:vAlign w:val="center"/>
          </w:tcPr>
          <w:p w14:paraId="035E301E"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b/>
                <w:sz w:val="17"/>
                <w:szCs w:val="17"/>
              </w:rPr>
              <w:t>Instructional supports</w:t>
            </w:r>
          </w:p>
        </w:tc>
        <w:tc>
          <w:tcPr>
            <w:tcW w:w="2304" w:type="dxa"/>
            <w:tcBorders>
              <w:bottom w:val="single" w:sz="4" w:space="0" w:color="B7B7B7"/>
            </w:tcBorders>
            <w:shd w:val="clear" w:color="auto" w:fill="EAF3F8"/>
            <w:tcMar>
              <w:top w:w="70" w:type="dxa"/>
              <w:left w:w="80" w:type="dxa"/>
              <w:bottom w:w="70" w:type="dxa"/>
              <w:right w:w="80" w:type="dxa"/>
            </w:tcMar>
            <w:vAlign w:val="center"/>
          </w:tcPr>
          <w:p w14:paraId="4F689BC8"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Models separate counselors, psychologists, nurses, Academic Excellence positions, driver education teachers, related-services specialists, and visiting teachers.</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7B2D19ED"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Provides Instructional Supports equal to 20% of Base Division I positions.</w:t>
            </w:r>
          </w:p>
        </w:tc>
        <w:tc>
          <w:tcPr>
            <w:tcW w:w="3312" w:type="dxa"/>
            <w:tcBorders>
              <w:bottom w:val="single" w:sz="4" w:space="0" w:color="B7B7B7"/>
            </w:tcBorders>
            <w:shd w:val="clear" w:color="auto" w:fill="EAF3F8"/>
            <w:tcMar>
              <w:top w:w="70" w:type="dxa"/>
              <w:left w:w="80" w:type="dxa"/>
              <w:bottom w:w="70" w:type="dxa"/>
              <w:right w:w="80" w:type="dxa"/>
            </w:tcMar>
            <w:vAlign w:val="center"/>
          </w:tcPr>
          <w:p w14:paraId="0C4883E0"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The functional mapping and $96,155 common rate are confirmed, but this remains a broad comparison rather than a one-to-one position match.</w:t>
            </w:r>
          </w:p>
        </w:tc>
      </w:tr>
      <w:tr w:rsidR="007E572D" w:rsidRPr="007F13D6" w14:paraId="23B132FF" w14:textId="77777777" w:rsidTr="00D27BFE">
        <w:trPr>
          <w:cantSplit/>
          <w:jc w:val="center"/>
        </w:trPr>
        <w:tc>
          <w:tcPr>
            <w:tcW w:w="1440" w:type="dxa"/>
            <w:tcBorders>
              <w:bottom w:val="single" w:sz="4" w:space="0" w:color="B7B7B7"/>
            </w:tcBorders>
            <w:tcMar>
              <w:top w:w="70" w:type="dxa"/>
              <w:left w:w="80" w:type="dxa"/>
              <w:bottom w:w="70" w:type="dxa"/>
              <w:right w:w="80" w:type="dxa"/>
            </w:tcMar>
            <w:vAlign w:val="center"/>
          </w:tcPr>
          <w:p w14:paraId="42CE5679"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b/>
                <w:sz w:val="17"/>
                <w:szCs w:val="17"/>
              </w:rPr>
              <w:t>Superintendent</w:t>
            </w:r>
          </w:p>
        </w:tc>
        <w:tc>
          <w:tcPr>
            <w:tcW w:w="2304" w:type="dxa"/>
            <w:tcBorders>
              <w:bottom w:val="single" w:sz="4" w:space="0" w:color="B7B7B7"/>
            </w:tcBorders>
            <w:tcMar>
              <w:top w:w="70" w:type="dxa"/>
              <w:left w:w="80" w:type="dxa"/>
              <w:bottom w:w="70" w:type="dxa"/>
              <w:right w:w="80" w:type="dxa"/>
            </w:tcMar>
            <w:vAlign w:val="center"/>
          </w:tcPr>
          <w:p w14:paraId="00D83202"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per district; charters are ineligible.</w:t>
            </w:r>
          </w:p>
        </w:tc>
        <w:tc>
          <w:tcPr>
            <w:tcW w:w="2592" w:type="dxa"/>
            <w:tcBorders>
              <w:bottom w:val="single" w:sz="4" w:space="0" w:color="B7B7B7"/>
            </w:tcBorders>
            <w:tcMar>
              <w:top w:w="70" w:type="dxa"/>
              <w:left w:w="80" w:type="dxa"/>
              <w:bottom w:w="70" w:type="dxa"/>
              <w:right w:w="80" w:type="dxa"/>
            </w:tcMar>
            <w:vAlign w:val="center"/>
          </w:tcPr>
          <w:p w14:paraId="0103263C"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per included LEA.</w:t>
            </w:r>
          </w:p>
        </w:tc>
        <w:tc>
          <w:tcPr>
            <w:tcW w:w="3312" w:type="dxa"/>
            <w:tcBorders>
              <w:bottom w:val="single" w:sz="4" w:space="0" w:color="B7B7B7"/>
            </w:tcBorders>
            <w:tcMar>
              <w:top w:w="70" w:type="dxa"/>
              <w:left w:w="80" w:type="dxa"/>
              <w:bottom w:w="70" w:type="dxa"/>
              <w:right w:w="80" w:type="dxa"/>
            </w:tcMar>
            <w:vAlign w:val="center"/>
          </w:tcPr>
          <w:p w14:paraId="70DE856A"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Expands eligibility to charter LEAs.</w:t>
            </w:r>
          </w:p>
        </w:tc>
      </w:tr>
      <w:tr w:rsidR="007E572D" w:rsidRPr="007F13D6" w14:paraId="4D59FDA8" w14:textId="77777777" w:rsidTr="00D27BFE">
        <w:trPr>
          <w:cantSplit/>
          <w:jc w:val="center"/>
        </w:trPr>
        <w:tc>
          <w:tcPr>
            <w:tcW w:w="1440" w:type="dxa"/>
            <w:tcBorders>
              <w:bottom w:val="single" w:sz="4" w:space="0" w:color="B7B7B7"/>
            </w:tcBorders>
            <w:shd w:val="clear" w:color="auto" w:fill="EAF3F8"/>
            <w:tcMar>
              <w:top w:w="70" w:type="dxa"/>
              <w:left w:w="80" w:type="dxa"/>
              <w:bottom w:w="70" w:type="dxa"/>
              <w:right w:w="80" w:type="dxa"/>
            </w:tcMar>
            <w:vAlign w:val="center"/>
          </w:tcPr>
          <w:p w14:paraId="5FFE3920"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b/>
                <w:sz w:val="17"/>
                <w:szCs w:val="17"/>
              </w:rPr>
              <w:t>Administrative Assistant</w:t>
            </w:r>
          </w:p>
        </w:tc>
        <w:tc>
          <w:tcPr>
            <w:tcW w:w="2304" w:type="dxa"/>
            <w:tcBorders>
              <w:bottom w:val="single" w:sz="4" w:space="0" w:color="B7B7B7"/>
            </w:tcBorders>
            <w:shd w:val="clear" w:color="auto" w:fill="EAF3F8"/>
            <w:tcMar>
              <w:top w:w="70" w:type="dxa"/>
              <w:left w:w="80" w:type="dxa"/>
              <w:bottom w:w="70" w:type="dxa"/>
              <w:right w:w="80" w:type="dxa"/>
            </w:tcMar>
            <w:vAlign w:val="center"/>
          </w:tcPr>
          <w:p w14:paraId="36E26E52"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per included LEA.</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27AF16A2"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per included LEA.</w:t>
            </w:r>
          </w:p>
        </w:tc>
        <w:tc>
          <w:tcPr>
            <w:tcW w:w="3312" w:type="dxa"/>
            <w:tcBorders>
              <w:bottom w:val="single" w:sz="4" w:space="0" w:color="B7B7B7"/>
            </w:tcBorders>
            <w:shd w:val="clear" w:color="auto" w:fill="EAF3F8"/>
            <w:tcMar>
              <w:top w:w="70" w:type="dxa"/>
              <w:left w:w="80" w:type="dxa"/>
              <w:bottom w:w="70" w:type="dxa"/>
              <w:right w:w="80" w:type="dxa"/>
            </w:tcMar>
            <w:vAlign w:val="center"/>
          </w:tcPr>
          <w:p w14:paraId="03040C56"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The quantity is unchanged between models.</w:t>
            </w:r>
          </w:p>
        </w:tc>
      </w:tr>
      <w:tr w:rsidR="007E572D" w:rsidRPr="007F13D6" w14:paraId="77C71FEF" w14:textId="77777777" w:rsidTr="00D27BFE">
        <w:trPr>
          <w:cantSplit/>
          <w:jc w:val="center"/>
        </w:trPr>
        <w:tc>
          <w:tcPr>
            <w:tcW w:w="1440" w:type="dxa"/>
            <w:tcBorders>
              <w:bottom w:val="single" w:sz="4" w:space="0" w:color="B7B7B7"/>
            </w:tcBorders>
            <w:tcMar>
              <w:top w:w="70" w:type="dxa"/>
              <w:left w:w="80" w:type="dxa"/>
              <w:bottom w:w="70" w:type="dxa"/>
              <w:right w:w="80" w:type="dxa"/>
            </w:tcMar>
            <w:vAlign w:val="center"/>
          </w:tcPr>
          <w:p w14:paraId="1064FBA4"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b/>
                <w:sz w:val="17"/>
                <w:szCs w:val="17"/>
              </w:rPr>
              <w:t>Assistant Superintendent</w:t>
            </w:r>
          </w:p>
        </w:tc>
        <w:tc>
          <w:tcPr>
            <w:tcW w:w="2304" w:type="dxa"/>
            <w:tcBorders>
              <w:bottom w:val="single" w:sz="4" w:space="0" w:color="B7B7B7"/>
            </w:tcBorders>
            <w:tcMar>
              <w:top w:w="70" w:type="dxa"/>
              <w:left w:w="80" w:type="dxa"/>
              <w:bottom w:w="70" w:type="dxa"/>
              <w:right w:w="80" w:type="dxa"/>
            </w:tcMar>
            <w:vAlign w:val="center"/>
          </w:tcPr>
          <w:p w14:paraId="0D167263"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per completed 300 current Division I units, capped at two; districts only.</w:t>
            </w:r>
          </w:p>
        </w:tc>
        <w:tc>
          <w:tcPr>
            <w:tcW w:w="2592" w:type="dxa"/>
            <w:tcBorders>
              <w:bottom w:val="single" w:sz="4" w:space="0" w:color="B7B7B7"/>
            </w:tcBorders>
            <w:tcMar>
              <w:top w:w="70" w:type="dxa"/>
              <w:left w:w="80" w:type="dxa"/>
              <w:bottom w:w="70" w:type="dxa"/>
              <w:right w:w="80" w:type="dxa"/>
            </w:tcMar>
            <w:vAlign w:val="center"/>
          </w:tcPr>
          <w:p w14:paraId="312EEF19"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per completed 300 Total Base positions, capped at two.</w:t>
            </w:r>
          </w:p>
        </w:tc>
        <w:tc>
          <w:tcPr>
            <w:tcW w:w="3312" w:type="dxa"/>
            <w:tcBorders>
              <w:bottom w:val="single" w:sz="4" w:space="0" w:color="B7B7B7"/>
            </w:tcBorders>
            <w:tcMar>
              <w:top w:w="70" w:type="dxa"/>
              <w:left w:w="80" w:type="dxa"/>
              <w:bottom w:w="70" w:type="dxa"/>
              <w:right w:w="80" w:type="dxa"/>
            </w:tcMar>
            <w:vAlign w:val="center"/>
          </w:tcPr>
          <w:p w14:paraId="70974F39"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The IV&amp;V applies completed whole-position thresholds pending confirmation that proportional fractions are not intended.</w:t>
            </w:r>
          </w:p>
        </w:tc>
      </w:tr>
      <w:tr w:rsidR="007E572D" w:rsidRPr="007F13D6" w14:paraId="39C9FEB5" w14:textId="77777777" w:rsidTr="00D27BFE">
        <w:trPr>
          <w:cantSplit/>
          <w:jc w:val="center"/>
        </w:trPr>
        <w:tc>
          <w:tcPr>
            <w:tcW w:w="1440" w:type="dxa"/>
            <w:tcBorders>
              <w:bottom w:val="single" w:sz="4" w:space="0" w:color="B7B7B7"/>
            </w:tcBorders>
            <w:shd w:val="clear" w:color="auto" w:fill="EAF3F8"/>
            <w:tcMar>
              <w:top w:w="70" w:type="dxa"/>
              <w:left w:w="80" w:type="dxa"/>
              <w:bottom w:w="70" w:type="dxa"/>
              <w:right w:w="80" w:type="dxa"/>
            </w:tcMar>
            <w:vAlign w:val="center"/>
          </w:tcPr>
          <w:p w14:paraId="2D211920"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b/>
                <w:sz w:val="17"/>
                <w:szCs w:val="17"/>
              </w:rPr>
              <w:t>Director</w:t>
            </w:r>
          </w:p>
        </w:tc>
        <w:tc>
          <w:tcPr>
            <w:tcW w:w="2304" w:type="dxa"/>
            <w:tcBorders>
              <w:bottom w:val="single" w:sz="4" w:space="0" w:color="B7B7B7"/>
            </w:tcBorders>
            <w:shd w:val="clear" w:color="auto" w:fill="EAF3F8"/>
            <w:tcMar>
              <w:top w:w="70" w:type="dxa"/>
              <w:left w:w="80" w:type="dxa"/>
              <w:bottom w:w="70" w:type="dxa"/>
              <w:right w:w="80" w:type="dxa"/>
            </w:tcMar>
            <w:vAlign w:val="center"/>
          </w:tcPr>
          <w:p w14:paraId="69CD997E"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at 200 current Division I units, plus one per completed additional 100 units, capped at six.</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0F8671CF"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Applies the same thresholds to Total Base positions.</w:t>
            </w:r>
          </w:p>
        </w:tc>
        <w:tc>
          <w:tcPr>
            <w:tcW w:w="3312" w:type="dxa"/>
            <w:tcBorders>
              <w:bottom w:val="single" w:sz="4" w:space="0" w:color="B7B7B7"/>
            </w:tcBorders>
            <w:shd w:val="clear" w:color="auto" w:fill="EAF3F8"/>
            <w:tcMar>
              <w:top w:w="70" w:type="dxa"/>
              <w:left w:w="80" w:type="dxa"/>
              <w:bottom w:w="70" w:type="dxa"/>
              <w:right w:w="80" w:type="dxa"/>
            </w:tcMar>
            <w:vAlign w:val="center"/>
          </w:tcPr>
          <w:p w14:paraId="33C8CF6B"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The proposed rule uses a broader position base.</w:t>
            </w:r>
          </w:p>
        </w:tc>
      </w:tr>
      <w:tr w:rsidR="007E572D" w:rsidRPr="007F13D6" w14:paraId="6A757A38" w14:textId="77777777" w:rsidTr="00D27BFE">
        <w:trPr>
          <w:cantSplit/>
          <w:jc w:val="center"/>
        </w:trPr>
        <w:tc>
          <w:tcPr>
            <w:tcW w:w="1440" w:type="dxa"/>
            <w:tcBorders>
              <w:bottom w:val="single" w:sz="4" w:space="0" w:color="B7B7B7"/>
            </w:tcBorders>
            <w:tcMar>
              <w:top w:w="70" w:type="dxa"/>
              <w:left w:w="80" w:type="dxa"/>
              <w:bottom w:w="70" w:type="dxa"/>
              <w:right w:w="80" w:type="dxa"/>
            </w:tcMar>
            <w:vAlign w:val="center"/>
          </w:tcPr>
          <w:p w14:paraId="153D407F"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b/>
                <w:sz w:val="17"/>
                <w:szCs w:val="17"/>
              </w:rPr>
              <w:t>11-Month Supervisor</w:t>
            </w:r>
          </w:p>
        </w:tc>
        <w:tc>
          <w:tcPr>
            <w:tcW w:w="2304" w:type="dxa"/>
            <w:tcBorders>
              <w:bottom w:val="single" w:sz="4" w:space="0" w:color="B7B7B7"/>
            </w:tcBorders>
            <w:tcMar>
              <w:top w:w="70" w:type="dxa"/>
              <w:left w:w="80" w:type="dxa"/>
              <w:bottom w:w="70" w:type="dxa"/>
              <w:right w:w="80" w:type="dxa"/>
            </w:tcMar>
            <w:vAlign w:val="center"/>
          </w:tcPr>
          <w:p w14:paraId="69DFFA56"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Current Division I units divided by 150.</w:t>
            </w:r>
          </w:p>
        </w:tc>
        <w:tc>
          <w:tcPr>
            <w:tcW w:w="2592" w:type="dxa"/>
            <w:tcBorders>
              <w:bottom w:val="single" w:sz="4" w:space="0" w:color="B7B7B7"/>
            </w:tcBorders>
            <w:tcMar>
              <w:top w:w="70" w:type="dxa"/>
              <w:left w:w="80" w:type="dxa"/>
              <w:bottom w:w="70" w:type="dxa"/>
              <w:right w:w="80" w:type="dxa"/>
            </w:tcMar>
            <w:vAlign w:val="center"/>
          </w:tcPr>
          <w:p w14:paraId="5093A9E8"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Total Base positions divided by 150.</w:t>
            </w:r>
          </w:p>
        </w:tc>
        <w:tc>
          <w:tcPr>
            <w:tcW w:w="3312" w:type="dxa"/>
            <w:tcBorders>
              <w:bottom w:val="single" w:sz="4" w:space="0" w:color="B7B7B7"/>
            </w:tcBorders>
            <w:tcMar>
              <w:top w:w="70" w:type="dxa"/>
              <w:left w:w="80" w:type="dxa"/>
              <w:bottom w:w="70" w:type="dxa"/>
              <w:right w:w="80" w:type="dxa"/>
            </w:tcMar>
            <w:vAlign w:val="center"/>
          </w:tcPr>
          <w:p w14:paraId="4BE9FC00"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Fractions are retained under both implementations, but the proposed calculation uses a broader base.</w:t>
            </w:r>
          </w:p>
        </w:tc>
      </w:tr>
      <w:tr w:rsidR="007E572D" w:rsidRPr="007F13D6" w14:paraId="5E9E3799" w14:textId="77777777" w:rsidTr="00D27BFE">
        <w:trPr>
          <w:cantSplit/>
          <w:jc w:val="center"/>
        </w:trPr>
        <w:tc>
          <w:tcPr>
            <w:tcW w:w="1440" w:type="dxa"/>
            <w:tcBorders>
              <w:bottom w:val="single" w:sz="4" w:space="0" w:color="B7B7B7"/>
            </w:tcBorders>
            <w:shd w:val="clear" w:color="auto" w:fill="EAF3F8"/>
            <w:tcMar>
              <w:top w:w="70" w:type="dxa"/>
              <w:left w:w="80" w:type="dxa"/>
              <w:bottom w:w="70" w:type="dxa"/>
              <w:right w:w="80" w:type="dxa"/>
            </w:tcMar>
            <w:vAlign w:val="center"/>
          </w:tcPr>
          <w:p w14:paraId="37DE979A"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b/>
                <w:sz w:val="17"/>
                <w:szCs w:val="17"/>
              </w:rPr>
              <w:t>Transportation Supervisor</w:t>
            </w:r>
          </w:p>
        </w:tc>
        <w:tc>
          <w:tcPr>
            <w:tcW w:w="2304" w:type="dxa"/>
            <w:tcBorders>
              <w:bottom w:val="single" w:sz="4" w:space="0" w:color="B7B7B7"/>
            </w:tcBorders>
            <w:shd w:val="clear" w:color="auto" w:fill="EAF3F8"/>
            <w:tcMar>
              <w:top w:w="70" w:type="dxa"/>
              <w:left w:w="80" w:type="dxa"/>
              <w:bottom w:w="70" w:type="dxa"/>
              <w:right w:w="80" w:type="dxa"/>
            </w:tcMar>
            <w:vAlign w:val="center"/>
          </w:tcPr>
          <w:p w14:paraId="716ABFF1"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Enrollment divided by 7,500; fractions retained.</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275267F4"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Enrollment divided by 7,500; fractions retained.</w:t>
            </w:r>
          </w:p>
        </w:tc>
        <w:tc>
          <w:tcPr>
            <w:tcW w:w="3312" w:type="dxa"/>
            <w:tcBorders>
              <w:bottom w:val="single" w:sz="4" w:space="0" w:color="B7B7B7"/>
            </w:tcBorders>
            <w:shd w:val="clear" w:color="auto" w:fill="EAF3F8"/>
            <w:tcMar>
              <w:top w:w="70" w:type="dxa"/>
              <w:left w:w="80" w:type="dxa"/>
              <w:bottom w:w="70" w:type="dxa"/>
              <w:right w:w="80" w:type="dxa"/>
            </w:tcMar>
            <w:vAlign w:val="center"/>
          </w:tcPr>
          <w:p w14:paraId="1F6AC898"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The formula is unchanged between models.</w:t>
            </w:r>
          </w:p>
        </w:tc>
      </w:tr>
      <w:tr w:rsidR="007E572D" w:rsidRPr="007F13D6" w14:paraId="45AE9690" w14:textId="77777777" w:rsidTr="00D27BFE">
        <w:trPr>
          <w:cantSplit/>
          <w:jc w:val="center"/>
        </w:trPr>
        <w:tc>
          <w:tcPr>
            <w:tcW w:w="1440" w:type="dxa"/>
            <w:tcBorders>
              <w:bottom w:val="single" w:sz="4" w:space="0" w:color="B7B7B7"/>
            </w:tcBorders>
            <w:tcMar>
              <w:top w:w="70" w:type="dxa"/>
              <w:left w:w="80" w:type="dxa"/>
              <w:bottom w:w="70" w:type="dxa"/>
              <w:right w:w="80" w:type="dxa"/>
            </w:tcMar>
            <w:vAlign w:val="center"/>
          </w:tcPr>
          <w:p w14:paraId="76C7D440"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b/>
                <w:sz w:val="17"/>
                <w:szCs w:val="17"/>
              </w:rPr>
              <w:t>Reading Cadre</w:t>
            </w:r>
          </w:p>
        </w:tc>
        <w:tc>
          <w:tcPr>
            <w:tcW w:w="2304" w:type="dxa"/>
            <w:tcBorders>
              <w:bottom w:val="single" w:sz="4" w:space="0" w:color="B7B7B7"/>
            </w:tcBorders>
            <w:tcMar>
              <w:top w:w="70" w:type="dxa"/>
              <w:left w:w="80" w:type="dxa"/>
              <w:bottom w:w="70" w:type="dxa"/>
              <w:right w:w="80" w:type="dxa"/>
            </w:tcMar>
            <w:vAlign w:val="center"/>
          </w:tcPr>
          <w:p w14:paraId="6B269C20"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per district; charters are ineligible.</w:t>
            </w:r>
          </w:p>
        </w:tc>
        <w:tc>
          <w:tcPr>
            <w:tcW w:w="2592" w:type="dxa"/>
            <w:tcBorders>
              <w:bottom w:val="single" w:sz="4" w:space="0" w:color="B7B7B7"/>
            </w:tcBorders>
            <w:tcMar>
              <w:top w:w="70" w:type="dxa"/>
              <w:left w:w="80" w:type="dxa"/>
              <w:bottom w:w="70" w:type="dxa"/>
              <w:right w:w="80" w:type="dxa"/>
            </w:tcMar>
            <w:vAlign w:val="center"/>
          </w:tcPr>
          <w:p w14:paraId="434061A6"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per included LEA.</w:t>
            </w:r>
          </w:p>
        </w:tc>
        <w:tc>
          <w:tcPr>
            <w:tcW w:w="3312" w:type="dxa"/>
            <w:tcBorders>
              <w:bottom w:val="single" w:sz="4" w:space="0" w:color="B7B7B7"/>
            </w:tcBorders>
            <w:tcMar>
              <w:top w:w="70" w:type="dxa"/>
              <w:left w:w="80" w:type="dxa"/>
              <w:bottom w:w="70" w:type="dxa"/>
              <w:right w:w="80" w:type="dxa"/>
            </w:tcMar>
            <w:vAlign w:val="center"/>
          </w:tcPr>
          <w:p w14:paraId="17EEF80C"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Expands eligibility to charter LEAs.</w:t>
            </w:r>
          </w:p>
        </w:tc>
      </w:tr>
      <w:tr w:rsidR="007E572D" w:rsidRPr="007F13D6" w14:paraId="52293CB6" w14:textId="77777777" w:rsidTr="00D27BFE">
        <w:trPr>
          <w:cantSplit/>
          <w:jc w:val="center"/>
        </w:trPr>
        <w:tc>
          <w:tcPr>
            <w:tcW w:w="1440" w:type="dxa"/>
            <w:tcBorders>
              <w:bottom w:val="single" w:sz="4" w:space="0" w:color="B7B7B7"/>
            </w:tcBorders>
            <w:shd w:val="clear" w:color="auto" w:fill="EAF3F8"/>
            <w:tcMar>
              <w:top w:w="70" w:type="dxa"/>
              <w:left w:w="80" w:type="dxa"/>
              <w:bottom w:w="70" w:type="dxa"/>
              <w:right w:w="80" w:type="dxa"/>
            </w:tcMar>
            <w:vAlign w:val="center"/>
          </w:tcPr>
          <w:p w14:paraId="55D2E09D"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b/>
                <w:sz w:val="17"/>
                <w:szCs w:val="17"/>
              </w:rPr>
              <w:lastRenderedPageBreak/>
              <w:t>Food Services Supervisor</w:t>
            </w:r>
          </w:p>
        </w:tc>
        <w:tc>
          <w:tcPr>
            <w:tcW w:w="2304" w:type="dxa"/>
            <w:tcBorders>
              <w:bottom w:val="single" w:sz="4" w:space="0" w:color="B7B7B7"/>
            </w:tcBorders>
            <w:shd w:val="clear" w:color="auto" w:fill="EAF3F8"/>
            <w:tcMar>
              <w:top w:w="70" w:type="dxa"/>
              <w:left w:w="80" w:type="dxa"/>
              <w:bottom w:w="70" w:type="dxa"/>
              <w:right w:w="80" w:type="dxa"/>
            </w:tcMar>
            <w:vAlign w:val="center"/>
          </w:tcPr>
          <w:p w14:paraId="15FFB9C2"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One per district at 500 Division I units or at least four lunch-program buildings.</w:t>
            </w:r>
          </w:p>
        </w:tc>
        <w:tc>
          <w:tcPr>
            <w:tcW w:w="2592" w:type="dxa"/>
            <w:tcBorders>
              <w:bottom w:val="single" w:sz="4" w:space="0" w:color="B7B7B7"/>
            </w:tcBorders>
            <w:shd w:val="clear" w:color="auto" w:fill="EAF3F8"/>
            <w:tcMar>
              <w:top w:w="70" w:type="dxa"/>
              <w:left w:w="80" w:type="dxa"/>
              <w:bottom w:w="70" w:type="dxa"/>
              <w:right w:w="80" w:type="dxa"/>
            </w:tcMar>
            <w:vAlign w:val="center"/>
          </w:tcPr>
          <w:p w14:paraId="0E860F56"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One per LEA, plus one per completed 500 Base Division I positions beyond the first 500.</w:t>
            </w:r>
          </w:p>
        </w:tc>
        <w:tc>
          <w:tcPr>
            <w:tcW w:w="3312" w:type="dxa"/>
            <w:tcBorders>
              <w:bottom w:val="single" w:sz="4" w:space="0" w:color="B7B7B7"/>
            </w:tcBorders>
            <w:shd w:val="clear" w:color="auto" w:fill="EAF3F8"/>
            <w:tcMar>
              <w:top w:w="70" w:type="dxa"/>
              <w:left w:w="80" w:type="dxa"/>
              <w:bottom w:w="70" w:type="dxa"/>
              <w:right w:w="80" w:type="dxa"/>
            </w:tcMar>
            <w:vAlign w:val="center"/>
          </w:tcPr>
          <w:p w14:paraId="48071123" w14:textId="77777777" w:rsidR="007E572D" w:rsidRPr="007F13D6" w:rsidRDefault="007E572D" w:rsidP="00276636">
            <w:pPr>
              <w:spacing w:after="0" w:line="240" w:lineRule="auto"/>
              <w:rPr>
                <w:rFonts w:ascii="Arial" w:hAnsi="Arial" w:cs="Arial"/>
                <w:color w:val="000000"/>
                <w:sz w:val="17"/>
                <w:szCs w:val="17"/>
              </w:rPr>
            </w:pPr>
            <w:r w:rsidRPr="007F13D6">
              <w:rPr>
                <w:rFonts w:ascii="Arial" w:hAnsi="Arial" w:cs="Arial"/>
                <w:sz w:val="17"/>
                <w:szCs w:val="17"/>
              </w:rPr>
              <w:t>The current quantity remains incomplete for 10 districts because lunch-program building counts are unavailable.</w:t>
            </w:r>
          </w:p>
        </w:tc>
      </w:tr>
      <w:tr w:rsidR="007E572D" w:rsidRPr="007F13D6" w14:paraId="3206CA82" w14:textId="77777777" w:rsidTr="00D27BFE">
        <w:trPr>
          <w:cantSplit/>
          <w:jc w:val="center"/>
        </w:trPr>
        <w:tc>
          <w:tcPr>
            <w:tcW w:w="1440" w:type="dxa"/>
            <w:tcBorders>
              <w:bottom w:val="single" w:sz="4" w:space="0" w:color="B7B7B7"/>
            </w:tcBorders>
            <w:tcMar>
              <w:top w:w="70" w:type="dxa"/>
              <w:left w:w="80" w:type="dxa"/>
              <w:bottom w:w="70" w:type="dxa"/>
              <w:right w:w="80" w:type="dxa"/>
            </w:tcMar>
            <w:vAlign w:val="center"/>
          </w:tcPr>
          <w:p w14:paraId="130AF985"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b/>
                <w:sz w:val="17"/>
                <w:szCs w:val="17"/>
              </w:rPr>
              <w:t>Buildings and Grounds Supervisor</w:t>
            </w:r>
          </w:p>
        </w:tc>
        <w:tc>
          <w:tcPr>
            <w:tcW w:w="2304" w:type="dxa"/>
            <w:tcBorders>
              <w:bottom w:val="single" w:sz="4" w:space="0" w:color="B7B7B7"/>
            </w:tcBorders>
            <w:tcMar>
              <w:top w:w="70" w:type="dxa"/>
              <w:left w:w="80" w:type="dxa"/>
              <w:bottom w:w="70" w:type="dxa"/>
              <w:right w:w="80" w:type="dxa"/>
            </w:tcMar>
            <w:vAlign w:val="center"/>
          </w:tcPr>
          <w:p w14:paraId="27133045"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position when current custodial units reach 95.</w:t>
            </w:r>
          </w:p>
        </w:tc>
        <w:tc>
          <w:tcPr>
            <w:tcW w:w="2592" w:type="dxa"/>
            <w:tcBorders>
              <w:bottom w:val="single" w:sz="4" w:space="0" w:color="B7B7B7"/>
            </w:tcBorders>
            <w:tcMar>
              <w:top w:w="70" w:type="dxa"/>
              <w:left w:w="80" w:type="dxa"/>
              <w:bottom w:w="70" w:type="dxa"/>
              <w:right w:w="80" w:type="dxa"/>
            </w:tcMar>
            <w:vAlign w:val="center"/>
          </w:tcPr>
          <w:p w14:paraId="262F8F73"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One position per included LEA.</w:t>
            </w:r>
          </w:p>
        </w:tc>
        <w:tc>
          <w:tcPr>
            <w:tcW w:w="3312" w:type="dxa"/>
            <w:tcBorders>
              <w:bottom w:val="single" w:sz="4" w:space="0" w:color="B7B7B7"/>
            </w:tcBorders>
            <w:tcMar>
              <w:top w:w="70" w:type="dxa"/>
              <w:left w:w="80" w:type="dxa"/>
              <w:bottom w:w="70" w:type="dxa"/>
              <w:right w:w="80" w:type="dxa"/>
            </w:tcMar>
            <w:vAlign w:val="center"/>
          </w:tcPr>
          <w:p w14:paraId="099EF417" w14:textId="77777777" w:rsidR="007E572D" w:rsidRPr="007F13D6" w:rsidRDefault="007E572D" w:rsidP="00276636">
            <w:pPr>
              <w:spacing w:after="0" w:line="240" w:lineRule="auto"/>
              <w:rPr>
                <w:rFonts w:ascii="Arial" w:hAnsi="Arial" w:cs="Arial"/>
                <w:sz w:val="17"/>
                <w:szCs w:val="17"/>
              </w:rPr>
            </w:pPr>
            <w:r w:rsidRPr="007F13D6">
              <w:rPr>
                <w:rFonts w:ascii="Arial" w:hAnsi="Arial" w:cs="Arial"/>
                <w:sz w:val="17"/>
                <w:szCs w:val="17"/>
              </w:rPr>
              <w:t>The current quantity is not yet estimable because custodial-unit inputs are missing.</w:t>
            </w:r>
          </w:p>
        </w:tc>
      </w:tr>
    </w:tbl>
    <w:p w14:paraId="4993A0E3" w14:textId="77777777" w:rsidR="00990385" w:rsidRPr="007F13D6" w:rsidRDefault="006764D8" w:rsidP="00CE7AFC">
      <w:pPr>
        <w:spacing w:before="120" w:after="120" w:line="240" w:lineRule="auto"/>
        <w:rPr>
          <w:rFonts w:ascii="Arial" w:hAnsi="Arial" w:cs="Arial"/>
        </w:rPr>
      </w:pPr>
      <w:r w:rsidRPr="007F13D6">
        <w:rPr>
          <w:rFonts w:ascii="Arial" w:hAnsi="Arial" w:cs="Arial"/>
          <w:i/>
          <w:color w:val="666666"/>
          <w:sz w:val="16"/>
        </w:rPr>
        <w:t>Source: 04_current_model_rules.csv; 07_proposed_model_rules.csv; model_comparison_crosswalk.csv; Delaware School Funding Model Pipeline Definitions</w:t>
      </w:r>
      <w:r w:rsidR="00954852" w:rsidRPr="007F13D6">
        <w:rPr>
          <w:rFonts w:ascii="Arial" w:hAnsi="Arial" w:cs="Arial"/>
          <w:i/>
          <w:color w:val="666666"/>
          <w:sz w:val="16"/>
        </w:rPr>
        <w:t>.</w:t>
      </w:r>
      <w:r w:rsidRPr="007F13D6">
        <w:rPr>
          <w:rFonts w:ascii="Arial" w:hAnsi="Arial" w:cs="Arial"/>
          <w:i/>
          <w:color w:val="666666"/>
          <w:sz w:val="16"/>
        </w:rPr>
        <w:t xml:space="preserve"> </w:t>
      </w:r>
    </w:p>
    <w:p w14:paraId="3F8FFF21" w14:textId="77777777" w:rsidR="00726538" w:rsidRPr="007F13D6" w:rsidRDefault="00954852" w:rsidP="00CE7AFC">
      <w:pPr>
        <w:pStyle w:val="Heading2"/>
        <w:spacing w:before="120" w:after="120" w:line="240" w:lineRule="auto"/>
        <w:rPr>
          <w:rFonts w:ascii="Arial" w:hAnsi="Arial" w:cs="Arial"/>
        </w:rPr>
      </w:pPr>
      <w:bookmarkStart w:id="41" w:name="_Toc237512576"/>
      <w:r w:rsidRPr="007F13D6">
        <w:rPr>
          <w:rFonts w:ascii="Arial" w:hAnsi="Arial" w:cs="Arial"/>
        </w:rPr>
        <w:t xml:space="preserve">Appendix </w:t>
      </w:r>
      <w:r w:rsidR="007E572D" w:rsidRPr="007F13D6">
        <w:rPr>
          <w:rFonts w:ascii="Arial" w:hAnsi="Arial" w:cs="Arial"/>
        </w:rPr>
        <w:t>B</w:t>
      </w:r>
      <w:r w:rsidRPr="007F13D6">
        <w:rPr>
          <w:rFonts w:ascii="Arial" w:hAnsi="Arial" w:cs="Arial"/>
        </w:rPr>
        <w:t>. Report exhibit traceability</w:t>
      </w:r>
      <w:bookmarkEnd w:id="41"/>
    </w:p>
    <w:tbl>
      <w:tblPr>
        <w:tblW w:w="9216" w:type="dxa"/>
        <w:jc w:val="center"/>
        <w:tblLayout w:type="fixed"/>
        <w:tblLook w:val="04A0" w:firstRow="1" w:lastRow="0" w:firstColumn="1" w:lastColumn="0" w:noHBand="0" w:noVBand="1"/>
      </w:tblPr>
      <w:tblGrid>
        <w:gridCol w:w="3024"/>
        <w:gridCol w:w="6192"/>
      </w:tblGrid>
      <w:tr w:rsidR="006764D8" w:rsidRPr="007F13D6" w14:paraId="793B955A" w14:textId="77777777" w:rsidTr="00276636">
        <w:trPr>
          <w:cantSplit/>
          <w:tblHeader/>
          <w:jc w:val="center"/>
        </w:trPr>
        <w:tc>
          <w:tcPr>
            <w:tcW w:w="3024" w:type="dxa"/>
            <w:tcBorders>
              <w:bottom w:val="single" w:sz="8" w:space="0" w:color="FFFFFF"/>
            </w:tcBorders>
            <w:shd w:val="clear" w:color="auto" w:fill="1F4E78"/>
            <w:tcMar>
              <w:top w:w="70" w:type="dxa"/>
              <w:left w:w="80" w:type="dxa"/>
              <w:bottom w:w="70" w:type="dxa"/>
              <w:right w:w="80" w:type="dxa"/>
            </w:tcMar>
            <w:vAlign w:val="center"/>
          </w:tcPr>
          <w:p w14:paraId="123B6697" w14:textId="77777777" w:rsidR="006764D8" w:rsidRPr="007F13D6" w:rsidRDefault="006764D8" w:rsidP="00276636">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Report topic</w:t>
            </w:r>
          </w:p>
        </w:tc>
        <w:tc>
          <w:tcPr>
            <w:tcW w:w="6192" w:type="dxa"/>
            <w:tcBorders>
              <w:bottom w:val="single" w:sz="8" w:space="0" w:color="FFFFFF"/>
            </w:tcBorders>
            <w:shd w:val="clear" w:color="auto" w:fill="1F4E78"/>
            <w:tcMar>
              <w:top w:w="70" w:type="dxa"/>
              <w:left w:w="80" w:type="dxa"/>
              <w:bottom w:w="70" w:type="dxa"/>
              <w:right w:w="80" w:type="dxa"/>
            </w:tcMar>
            <w:vAlign w:val="center"/>
          </w:tcPr>
          <w:p w14:paraId="0BDB5AEB" w14:textId="77777777" w:rsidR="006764D8" w:rsidRPr="007F13D6" w:rsidRDefault="006764D8" w:rsidP="00276636">
            <w:pPr>
              <w:spacing w:after="0" w:line="240" w:lineRule="auto"/>
              <w:rPr>
                <w:rFonts w:ascii="Arial" w:hAnsi="Arial" w:cs="Arial"/>
                <w:color w:val="FFFFFF" w:themeColor="background1"/>
                <w:sz w:val="17"/>
                <w:szCs w:val="17"/>
              </w:rPr>
            </w:pPr>
            <w:r w:rsidRPr="007F13D6">
              <w:rPr>
                <w:rFonts w:ascii="Arial" w:hAnsi="Arial" w:cs="Arial"/>
                <w:b/>
                <w:bCs/>
                <w:color w:val="FFFFFF" w:themeColor="background1"/>
                <w:sz w:val="17"/>
                <w:szCs w:val="17"/>
              </w:rPr>
              <w:t>Primary project output</w:t>
            </w:r>
          </w:p>
        </w:tc>
      </w:tr>
      <w:tr w:rsidR="006764D8" w:rsidRPr="007F13D6" w14:paraId="6FF23F60" w14:textId="77777777" w:rsidTr="0027663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7DDD8F6F" w14:textId="77777777" w:rsidR="006764D8" w:rsidRPr="007F13D6" w:rsidRDefault="006764D8" w:rsidP="00276636">
            <w:pPr>
              <w:spacing w:after="0" w:line="240" w:lineRule="auto"/>
              <w:rPr>
                <w:rFonts w:ascii="Arial" w:hAnsi="Arial" w:cs="Arial"/>
                <w:color w:val="000000"/>
                <w:sz w:val="17"/>
                <w:szCs w:val="17"/>
              </w:rPr>
            </w:pPr>
            <w:r w:rsidRPr="007F13D6">
              <w:rPr>
                <w:rFonts w:ascii="Arial" w:hAnsi="Arial" w:cs="Arial"/>
                <w:color w:val="000000"/>
                <w:sz w:val="17"/>
                <w:szCs w:val="17"/>
              </w:rPr>
              <w:t>Staffing statewide views</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37D48B56" w14:textId="77777777" w:rsidR="006764D8" w:rsidRPr="007F13D6" w:rsidRDefault="006764D8" w:rsidP="00276636">
            <w:pPr>
              <w:spacing w:after="0" w:line="240" w:lineRule="auto"/>
              <w:rPr>
                <w:rFonts w:ascii="Arial" w:hAnsi="Arial" w:cs="Arial"/>
                <w:color w:val="000000"/>
                <w:sz w:val="17"/>
                <w:szCs w:val="17"/>
              </w:rPr>
            </w:pPr>
            <w:r w:rsidRPr="007F13D6">
              <w:rPr>
                <w:rStyle w:val="HTMLCode"/>
                <w:rFonts w:ascii="Arial" w:eastAsia="Carlito" w:hAnsi="Arial" w:cs="Arial"/>
                <w:color w:val="000000"/>
                <w:sz w:val="17"/>
                <w:szCs w:val="17"/>
              </w:rPr>
              <w:t>11_staffing_statewide_comparison.csv</w:t>
            </w:r>
          </w:p>
        </w:tc>
      </w:tr>
      <w:tr w:rsidR="006764D8" w:rsidRPr="007F13D6" w14:paraId="574B58AC" w14:textId="77777777" w:rsidTr="00276636">
        <w:trPr>
          <w:cantSplit/>
          <w:jc w:val="center"/>
        </w:trPr>
        <w:tc>
          <w:tcPr>
            <w:tcW w:w="3024" w:type="dxa"/>
            <w:tcBorders>
              <w:bottom w:val="single" w:sz="4" w:space="0" w:color="B7B7B7"/>
            </w:tcBorders>
            <w:tcMar>
              <w:top w:w="70" w:type="dxa"/>
              <w:left w:w="80" w:type="dxa"/>
              <w:bottom w:w="70" w:type="dxa"/>
              <w:right w:w="80" w:type="dxa"/>
            </w:tcMar>
            <w:vAlign w:val="center"/>
          </w:tcPr>
          <w:p w14:paraId="3B763D9C" w14:textId="77777777" w:rsidR="006764D8" w:rsidRPr="007F13D6" w:rsidRDefault="006764D8" w:rsidP="00276636">
            <w:pPr>
              <w:spacing w:after="0" w:line="240" w:lineRule="auto"/>
              <w:rPr>
                <w:rFonts w:ascii="Arial" w:hAnsi="Arial" w:cs="Arial"/>
                <w:sz w:val="17"/>
                <w:szCs w:val="17"/>
              </w:rPr>
            </w:pPr>
            <w:r w:rsidRPr="007F13D6">
              <w:rPr>
                <w:rFonts w:ascii="Arial" w:hAnsi="Arial" w:cs="Arial"/>
                <w:color w:val="000000"/>
                <w:sz w:val="17"/>
                <w:szCs w:val="17"/>
              </w:rPr>
              <w:t>Staffing categories and drivers</w:t>
            </w:r>
          </w:p>
        </w:tc>
        <w:tc>
          <w:tcPr>
            <w:tcW w:w="6192" w:type="dxa"/>
            <w:tcBorders>
              <w:bottom w:val="single" w:sz="4" w:space="0" w:color="B7B7B7"/>
            </w:tcBorders>
            <w:tcMar>
              <w:top w:w="70" w:type="dxa"/>
              <w:left w:w="80" w:type="dxa"/>
              <w:bottom w:w="70" w:type="dxa"/>
              <w:right w:w="80" w:type="dxa"/>
            </w:tcMar>
            <w:vAlign w:val="center"/>
          </w:tcPr>
          <w:p w14:paraId="42266DB4" w14:textId="77777777" w:rsidR="006764D8" w:rsidRPr="007F13D6" w:rsidRDefault="006764D8"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11_staffing_component_comparison.csv</w:t>
            </w:r>
          </w:p>
        </w:tc>
      </w:tr>
      <w:tr w:rsidR="006764D8" w:rsidRPr="007F13D6" w14:paraId="1307ABD6" w14:textId="77777777" w:rsidTr="0027663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0095A6DD" w14:textId="77777777" w:rsidR="006764D8" w:rsidRPr="007F13D6" w:rsidRDefault="006764D8" w:rsidP="00276636">
            <w:pPr>
              <w:spacing w:after="0" w:line="240" w:lineRule="auto"/>
              <w:rPr>
                <w:rFonts w:ascii="Arial" w:hAnsi="Arial" w:cs="Arial"/>
                <w:sz w:val="17"/>
                <w:szCs w:val="17"/>
              </w:rPr>
            </w:pPr>
            <w:r w:rsidRPr="007F13D6">
              <w:rPr>
                <w:rFonts w:ascii="Arial" w:hAnsi="Arial" w:cs="Arial"/>
                <w:color w:val="000000"/>
                <w:sz w:val="17"/>
                <w:szCs w:val="17"/>
              </w:rPr>
              <w:t>LEA staffing distribution</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082F20BD" w14:textId="77777777" w:rsidR="006764D8" w:rsidRPr="007F13D6" w:rsidRDefault="006764D8"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11_staffing_lea_comparison.csv</w:t>
            </w:r>
          </w:p>
        </w:tc>
      </w:tr>
      <w:tr w:rsidR="006764D8" w:rsidRPr="007F13D6" w14:paraId="5BD81FE9" w14:textId="77777777" w:rsidTr="00276636">
        <w:trPr>
          <w:cantSplit/>
          <w:jc w:val="center"/>
        </w:trPr>
        <w:tc>
          <w:tcPr>
            <w:tcW w:w="3024" w:type="dxa"/>
            <w:tcBorders>
              <w:bottom w:val="single" w:sz="4" w:space="0" w:color="B7B7B7"/>
            </w:tcBorders>
            <w:tcMar>
              <w:top w:w="70" w:type="dxa"/>
              <w:left w:w="80" w:type="dxa"/>
              <w:bottom w:w="70" w:type="dxa"/>
              <w:right w:w="80" w:type="dxa"/>
            </w:tcMar>
            <w:vAlign w:val="center"/>
          </w:tcPr>
          <w:p w14:paraId="2857E010" w14:textId="77777777" w:rsidR="006764D8" w:rsidRPr="007F13D6" w:rsidRDefault="006764D8" w:rsidP="00276636">
            <w:pPr>
              <w:spacing w:after="0" w:line="240" w:lineRule="auto"/>
              <w:rPr>
                <w:rFonts w:ascii="Arial" w:hAnsi="Arial" w:cs="Arial"/>
                <w:sz w:val="17"/>
                <w:szCs w:val="17"/>
              </w:rPr>
            </w:pPr>
            <w:r w:rsidRPr="007F13D6">
              <w:rPr>
                <w:rFonts w:ascii="Arial" w:hAnsi="Arial" w:cs="Arial"/>
                <w:color w:val="000000"/>
                <w:sz w:val="17"/>
                <w:szCs w:val="17"/>
              </w:rPr>
              <w:t>Opportunity and Operational comparison status</w:t>
            </w:r>
          </w:p>
        </w:tc>
        <w:tc>
          <w:tcPr>
            <w:tcW w:w="6192" w:type="dxa"/>
            <w:tcBorders>
              <w:bottom w:val="single" w:sz="4" w:space="0" w:color="B7B7B7"/>
            </w:tcBorders>
            <w:tcMar>
              <w:top w:w="70" w:type="dxa"/>
              <w:left w:w="80" w:type="dxa"/>
              <w:bottom w:w="70" w:type="dxa"/>
              <w:right w:w="80" w:type="dxa"/>
            </w:tcMar>
            <w:vAlign w:val="center"/>
          </w:tcPr>
          <w:p w14:paraId="4E3B8131" w14:textId="77777777" w:rsidR="006764D8" w:rsidRPr="007F13D6" w:rsidRDefault="006764D8"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11_opportunity_operational_comparison.csv</w:t>
            </w:r>
          </w:p>
        </w:tc>
      </w:tr>
      <w:tr w:rsidR="006764D8" w:rsidRPr="007F13D6" w14:paraId="2F14A699" w14:textId="77777777" w:rsidTr="0027663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0D4D0D68" w14:textId="77777777" w:rsidR="006764D8" w:rsidRPr="007F13D6" w:rsidRDefault="00A91392" w:rsidP="00276636">
            <w:pPr>
              <w:spacing w:after="0" w:line="240" w:lineRule="auto"/>
              <w:rPr>
                <w:rFonts w:ascii="Arial" w:hAnsi="Arial" w:cs="Arial"/>
                <w:sz w:val="17"/>
                <w:szCs w:val="17"/>
              </w:rPr>
            </w:pPr>
            <w:r w:rsidRPr="007F13D6">
              <w:rPr>
                <w:rFonts w:ascii="Arial" w:hAnsi="Arial" w:cs="Arial"/>
                <w:color w:val="000000"/>
                <w:sz w:val="17"/>
                <w:szCs w:val="17"/>
              </w:rPr>
              <w:t>Weighted-funding component, sector, and LEA allocations</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60080780" w14:textId="77777777" w:rsidR="006764D8" w:rsidRPr="007F13D6" w:rsidRDefault="00A91392"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08_proposed_model_funding_detail.csv; 11_opportunity_operational_comparison.csv; 11_opportunity_operational_lea_comparison.csv</w:t>
            </w:r>
          </w:p>
        </w:tc>
      </w:tr>
      <w:tr w:rsidR="006764D8" w:rsidRPr="007F13D6" w14:paraId="29019869" w14:textId="77777777" w:rsidTr="00276636">
        <w:trPr>
          <w:cantSplit/>
          <w:jc w:val="center"/>
        </w:trPr>
        <w:tc>
          <w:tcPr>
            <w:tcW w:w="3024" w:type="dxa"/>
            <w:tcBorders>
              <w:bottom w:val="single" w:sz="4" w:space="0" w:color="B7B7B7"/>
            </w:tcBorders>
            <w:tcMar>
              <w:top w:w="70" w:type="dxa"/>
              <w:left w:w="80" w:type="dxa"/>
              <w:bottom w:w="70" w:type="dxa"/>
              <w:right w:w="80" w:type="dxa"/>
            </w:tcMar>
            <w:vAlign w:val="center"/>
          </w:tcPr>
          <w:p w14:paraId="4648010A" w14:textId="77777777" w:rsidR="006764D8" w:rsidRPr="007F13D6" w:rsidRDefault="006764D8" w:rsidP="00276636">
            <w:pPr>
              <w:spacing w:after="0" w:line="240" w:lineRule="auto"/>
              <w:rPr>
                <w:rFonts w:ascii="Arial" w:hAnsi="Arial" w:cs="Arial"/>
                <w:sz w:val="17"/>
                <w:szCs w:val="17"/>
              </w:rPr>
            </w:pPr>
            <w:r w:rsidRPr="007F13D6">
              <w:rPr>
                <w:rFonts w:ascii="Arial" w:hAnsi="Arial" w:cs="Arial"/>
                <w:color w:val="000000"/>
                <w:sz w:val="17"/>
                <w:szCs w:val="17"/>
              </w:rPr>
              <w:t>PEFC statewide reconciliation</w:t>
            </w:r>
          </w:p>
        </w:tc>
        <w:tc>
          <w:tcPr>
            <w:tcW w:w="6192" w:type="dxa"/>
            <w:tcBorders>
              <w:bottom w:val="single" w:sz="4" w:space="0" w:color="B7B7B7"/>
            </w:tcBorders>
            <w:tcMar>
              <w:top w:w="70" w:type="dxa"/>
              <w:left w:w="80" w:type="dxa"/>
              <w:bottom w:w="70" w:type="dxa"/>
              <w:right w:w="80" w:type="dxa"/>
            </w:tcMar>
            <w:vAlign w:val="center"/>
          </w:tcPr>
          <w:p w14:paraId="535CC515" w14:textId="77777777" w:rsidR="006764D8" w:rsidRPr="007F13D6" w:rsidRDefault="006764D8"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11_pefc_reconciliation_summary.csv; 11_pefc_dafb_scope_discrepancy.csv</w:t>
            </w:r>
          </w:p>
        </w:tc>
      </w:tr>
      <w:tr w:rsidR="006764D8" w:rsidRPr="007F13D6" w14:paraId="6C94036F" w14:textId="77777777" w:rsidTr="0027663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3D40CF8F" w14:textId="77777777" w:rsidR="006764D8" w:rsidRPr="007F13D6" w:rsidRDefault="006764D8" w:rsidP="00276636">
            <w:pPr>
              <w:spacing w:after="0" w:line="240" w:lineRule="auto"/>
              <w:rPr>
                <w:rFonts w:ascii="Arial" w:hAnsi="Arial" w:cs="Arial"/>
                <w:sz w:val="17"/>
                <w:szCs w:val="17"/>
              </w:rPr>
            </w:pPr>
            <w:r w:rsidRPr="007F13D6">
              <w:rPr>
                <w:rFonts w:ascii="Arial" w:hAnsi="Arial" w:cs="Arial"/>
                <w:color w:val="000000"/>
                <w:sz w:val="17"/>
                <w:szCs w:val="17"/>
              </w:rPr>
              <w:t>Detailed PEFC component comparison</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7A676B80" w14:textId="77777777" w:rsidR="006764D8" w:rsidRPr="007F13D6" w:rsidRDefault="006764D8"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10_pefc_component_comparison.csv</w:t>
            </w:r>
          </w:p>
        </w:tc>
      </w:tr>
      <w:tr w:rsidR="006764D8" w:rsidRPr="007F13D6" w14:paraId="73DAE7FC" w14:textId="77777777" w:rsidTr="00276636">
        <w:trPr>
          <w:cantSplit/>
          <w:jc w:val="center"/>
        </w:trPr>
        <w:tc>
          <w:tcPr>
            <w:tcW w:w="3024" w:type="dxa"/>
            <w:tcBorders>
              <w:bottom w:val="single" w:sz="4" w:space="0" w:color="B7B7B7"/>
            </w:tcBorders>
            <w:tcMar>
              <w:top w:w="70" w:type="dxa"/>
              <w:left w:w="80" w:type="dxa"/>
              <w:bottom w:w="70" w:type="dxa"/>
              <w:right w:w="80" w:type="dxa"/>
            </w:tcMar>
            <w:vAlign w:val="center"/>
          </w:tcPr>
          <w:p w14:paraId="0554B5EF" w14:textId="77777777" w:rsidR="006764D8" w:rsidRPr="007F13D6" w:rsidRDefault="006764D8" w:rsidP="00276636">
            <w:pPr>
              <w:spacing w:after="0" w:line="240" w:lineRule="auto"/>
              <w:rPr>
                <w:rFonts w:ascii="Arial" w:hAnsi="Arial" w:cs="Arial"/>
                <w:sz w:val="17"/>
                <w:szCs w:val="17"/>
              </w:rPr>
            </w:pPr>
            <w:r w:rsidRPr="007F13D6">
              <w:rPr>
                <w:rFonts w:ascii="Arial" w:hAnsi="Arial" w:cs="Arial"/>
                <w:color w:val="000000"/>
                <w:sz w:val="17"/>
                <w:szCs w:val="17"/>
              </w:rPr>
              <w:t>Charter building treatment</w:t>
            </w:r>
          </w:p>
        </w:tc>
        <w:tc>
          <w:tcPr>
            <w:tcW w:w="6192" w:type="dxa"/>
            <w:tcBorders>
              <w:bottom w:val="single" w:sz="4" w:space="0" w:color="B7B7B7"/>
            </w:tcBorders>
            <w:tcMar>
              <w:top w:w="70" w:type="dxa"/>
              <w:left w:w="80" w:type="dxa"/>
              <w:bottom w:w="70" w:type="dxa"/>
              <w:right w:w="80" w:type="dxa"/>
            </w:tcMar>
            <w:vAlign w:val="center"/>
          </w:tcPr>
          <w:p w14:paraId="1DD44800" w14:textId="77777777" w:rsidR="006764D8" w:rsidRPr="007F13D6" w:rsidRDefault="006764D8"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11_charter_building_treatment.csv</w:t>
            </w:r>
          </w:p>
        </w:tc>
      </w:tr>
      <w:tr w:rsidR="006764D8" w:rsidRPr="007F13D6" w14:paraId="594406B7" w14:textId="77777777" w:rsidTr="0027663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3002B365" w14:textId="77777777" w:rsidR="006764D8" w:rsidRPr="007F13D6" w:rsidRDefault="006764D8" w:rsidP="00276636">
            <w:pPr>
              <w:spacing w:after="0" w:line="240" w:lineRule="auto"/>
              <w:rPr>
                <w:rFonts w:ascii="Arial" w:hAnsi="Arial" w:cs="Arial"/>
                <w:sz w:val="17"/>
                <w:szCs w:val="17"/>
              </w:rPr>
            </w:pPr>
            <w:r w:rsidRPr="007F13D6">
              <w:rPr>
                <w:rFonts w:ascii="Arial" w:hAnsi="Arial" w:cs="Arial"/>
                <w:color w:val="000000"/>
                <w:sz w:val="17"/>
                <w:szCs w:val="17"/>
              </w:rPr>
              <w:t>Open items, assumptions, and outside-formula current funding</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72A9057A" w14:textId="77777777" w:rsidR="006764D8" w:rsidRPr="007F13D6" w:rsidRDefault="006764D8"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11_open_items_and_assumptions.csv; 11_current_outside_formula_components.csv; 11_current_district_cafeteria_allocation.csv</w:t>
            </w:r>
          </w:p>
        </w:tc>
      </w:tr>
      <w:tr w:rsidR="006764D8" w:rsidRPr="007F13D6" w14:paraId="5E11C852" w14:textId="77777777" w:rsidTr="00276636">
        <w:trPr>
          <w:cantSplit/>
          <w:jc w:val="center"/>
        </w:trPr>
        <w:tc>
          <w:tcPr>
            <w:tcW w:w="3024" w:type="dxa"/>
            <w:tcBorders>
              <w:bottom w:val="single" w:sz="4" w:space="0" w:color="B7B7B7"/>
            </w:tcBorders>
            <w:tcMar>
              <w:top w:w="70" w:type="dxa"/>
              <w:left w:w="80" w:type="dxa"/>
              <w:bottom w:w="70" w:type="dxa"/>
              <w:right w:w="80" w:type="dxa"/>
            </w:tcMar>
            <w:vAlign w:val="center"/>
          </w:tcPr>
          <w:p w14:paraId="21C27BD1" w14:textId="77777777" w:rsidR="006764D8" w:rsidRPr="007F13D6" w:rsidRDefault="006764D8" w:rsidP="00276636">
            <w:pPr>
              <w:spacing w:after="0" w:line="240" w:lineRule="auto"/>
              <w:rPr>
                <w:rFonts w:ascii="Arial" w:hAnsi="Arial" w:cs="Arial"/>
                <w:sz w:val="17"/>
                <w:szCs w:val="17"/>
              </w:rPr>
            </w:pPr>
            <w:r w:rsidRPr="007F13D6">
              <w:rPr>
                <w:rFonts w:ascii="Arial" w:hAnsi="Arial" w:cs="Arial"/>
                <w:color w:val="000000"/>
                <w:sz w:val="17"/>
                <w:szCs w:val="17"/>
              </w:rPr>
              <w:t>Final technical QC</w:t>
            </w:r>
          </w:p>
        </w:tc>
        <w:tc>
          <w:tcPr>
            <w:tcW w:w="6192" w:type="dxa"/>
            <w:tcBorders>
              <w:bottom w:val="single" w:sz="4" w:space="0" w:color="B7B7B7"/>
            </w:tcBorders>
            <w:tcMar>
              <w:top w:w="70" w:type="dxa"/>
              <w:left w:w="80" w:type="dxa"/>
              <w:bottom w:w="70" w:type="dxa"/>
              <w:right w:w="80" w:type="dxa"/>
            </w:tcMar>
            <w:vAlign w:val="center"/>
          </w:tcPr>
          <w:p w14:paraId="3D14B287" w14:textId="77777777" w:rsidR="006764D8" w:rsidRPr="007F13D6" w:rsidRDefault="006764D8"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11_final_qc.csv</w:t>
            </w:r>
          </w:p>
        </w:tc>
      </w:tr>
      <w:tr w:rsidR="006764D8" w:rsidRPr="007F13D6" w14:paraId="157BFFA4" w14:textId="77777777" w:rsidTr="0027663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6B3EE57A" w14:textId="77777777" w:rsidR="006764D8" w:rsidRPr="007F13D6" w:rsidRDefault="006764D8" w:rsidP="00276636">
            <w:pPr>
              <w:spacing w:after="0" w:line="240" w:lineRule="auto"/>
              <w:rPr>
                <w:rFonts w:ascii="Arial" w:hAnsi="Arial" w:cs="Arial"/>
                <w:sz w:val="17"/>
                <w:szCs w:val="17"/>
              </w:rPr>
            </w:pPr>
            <w:r w:rsidRPr="007F13D6">
              <w:rPr>
                <w:rFonts w:ascii="Arial" w:hAnsi="Arial" w:cs="Arial"/>
                <w:color w:val="000000"/>
                <w:sz w:val="17"/>
                <w:szCs w:val="17"/>
              </w:rPr>
              <w:t>Analytical readiness</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66F6648A" w14:textId="77777777" w:rsidR="006764D8" w:rsidRPr="007F13D6" w:rsidRDefault="006764D8"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11_final_readiness.csv</w:t>
            </w:r>
          </w:p>
        </w:tc>
      </w:tr>
      <w:tr w:rsidR="006764D8" w:rsidRPr="007F13D6" w14:paraId="21932FFB" w14:textId="77777777" w:rsidTr="00276636">
        <w:trPr>
          <w:cantSplit/>
          <w:jc w:val="center"/>
        </w:trPr>
        <w:tc>
          <w:tcPr>
            <w:tcW w:w="3024" w:type="dxa"/>
            <w:tcBorders>
              <w:bottom w:val="single" w:sz="4" w:space="0" w:color="B7B7B7"/>
            </w:tcBorders>
            <w:tcMar>
              <w:top w:w="70" w:type="dxa"/>
              <w:left w:w="80" w:type="dxa"/>
              <w:bottom w:w="70" w:type="dxa"/>
              <w:right w:w="80" w:type="dxa"/>
            </w:tcMar>
            <w:vAlign w:val="center"/>
          </w:tcPr>
          <w:p w14:paraId="510AF392" w14:textId="77777777" w:rsidR="006764D8" w:rsidRPr="007F13D6" w:rsidRDefault="006764D8" w:rsidP="00276636">
            <w:pPr>
              <w:spacing w:after="0" w:line="240" w:lineRule="auto"/>
              <w:rPr>
                <w:rFonts w:ascii="Arial" w:hAnsi="Arial" w:cs="Arial"/>
                <w:sz w:val="17"/>
                <w:szCs w:val="17"/>
              </w:rPr>
            </w:pPr>
            <w:r w:rsidRPr="007F13D6">
              <w:rPr>
                <w:rFonts w:ascii="Arial" w:hAnsi="Arial" w:cs="Arial"/>
                <w:color w:val="000000"/>
                <w:sz w:val="17"/>
                <w:szCs w:val="17"/>
              </w:rPr>
              <w:t>Run settings and manifest</w:t>
            </w:r>
          </w:p>
        </w:tc>
        <w:tc>
          <w:tcPr>
            <w:tcW w:w="6192" w:type="dxa"/>
            <w:tcBorders>
              <w:bottom w:val="single" w:sz="4" w:space="0" w:color="B7B7B7"/>
            </w:tcBorders>
            <w:tcMar>
              <w:top w:w="70" w:type="dxa"/>
              <w:left w:w="80" w:type="dxa"/>
              <w:bottom w:w="70" w:type="dxa"/>
              <w:right w:w="80" w:type="dxa"/>
            </w:tcMar>
            <w:vAlign w:val="center"/>
          </w:tcPr>
          <w:p w14:paraId="2C2EFC56" w14:textId="77777777" w:rsidR="006764D8" w:rsidRPr="007F13D6" w:rsidRDefault="006764D8"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00_run_settings.csv</w:t>
            </w:r>
            <w:r w:rsidRPr="007F13D6">
              <w:rPr>
                <w:rFonts w:ascii="Arial" w:hAnsi="Arial" w:cs="Arial"/>
                <w:color w:val="000000"/>
                <w:sz w:val="17"/>
                <w:szCs w:val="17"/>
              </w:rPr>
              <w:t>;</w:t>
            </w:r>
            <w:r w:rsidRPr="007F13D6">
              <w:rPr>
                <w:rStyle w:val="apple-converted-space"/>
                <w:rFonts w:ascii="Arial" w:hAnsi="Arial" w:cs="Arial"/>
                <w:color w:val="000000"/>
                <w:sz w:val="17"/>
                <w:szCs w:val="17"/>
              </w:rPr>
              <w:t> </w:t>
            </w:r>
            <w:r w:rsidRPr="007F13D6">
              <w:rPr>
                <w:rStyle w:val="HTMLCode"/>
                <w:rFonts w:ascii="Arial" w:eastAsia="Carlito" w:hAnsi="Arial" w:cs="Arial"/>
                <w:color w:val="000000"/>
                <w:sz w:val="17"/>
                <w:szCs w:val="17"/>
              </w:rPr>
              <w:t>00_run_manifest.csv</w:t>
            </w:r>
          </w:p>
        </w:tc>
      </w:tr>
      <w:tr w:rsidR="006764D8" w:rsidRPr="007F13D6" w14:paraId="76981D15" w14:textId="77777777" w:rsidTr="00276636">
        <w:trPr>
          <w:cantSplit/>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26A487A0" w14:textId="77777777" w:rsidR="006764D8" w:rsidRPr="007F13D6" w:rsidRDefault="006764D8" w:rsidP="00276636">
            <w:pPr>
              <w:spacing w:after="0" w:line="240" w:lineRule="auto"/>
              <w:rPr>
                <w:rFonts w:ascii="Arial" w:hAnsi="Arial" w:cs="Arial"/>
                <w:sz w:val="17"/>
                <w:szCs w:val="17"/>
              </w:rPr>
            </w:pPr>
            <w:r w:rsidRPr="007F13D6">
              <w:rPr>
                <w:rFonts w:ascii="Arial" w:hAnsi="Arial" w:cs="Arial"/>
                <w:color w:val="000000"/>
                <w:sz w:val="17"/>
                <w:szCs w:val="17"/>
              </w:rPr>
              <w:t>Full implementation definitions and source lineage</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10F3DDFE" w14:textId="77777777" w:rsidR="006764D8" w:rsidRPr="007F13D6" w:rsidRDefault="006764D8" w:rsidP="00276636">
            <w:pPr>
              <w:spacing w:after="0" w:line="240" w:lineRule="auto"/>
              <w:rPr>
                <w:rFonts w:ascii="Arial" w:hAnsi="Arial" w:cs="Arial"/>
                <w:sz w:val="17"/>
                <w:szCs w:val="17"/>
              </w:rPr>
            </w:pPr>
            <w:r w:rsidRPr="007F13D6">
              <w:rPr>
                <w:rStyle w:val="HTMLCode"/>
                <w:rFonts w:ascii="Arial" w:eastAsia="Carlito" w:hAnsi="Arial" w:cs="Arial"/>
                <w:color w:val="000000"/>
                <w:sz w:val="17"/>
                <w:szCs w:val="17"/>
              </w:rPr>
              <w:t>Delaware School Funding Model Pipeline Definitions</w:t>
            </w:r>
            <w:r w:rsidRPr="007F13D6">
              <w:rPr>
                <w:rFonts w:ascii="Arial" w:hAnsi="Arial" w:cs="Arial"/>
                <w:color w:val="000000"/>
                <w:sz w:val="17"/>
                <w:szCs w:val="17"/>
              </w:rPr>
              <w:t>;</w:t>
            </w:r>
            <w:r w:rsidRPr="007F13D6">
              <w:rPr>
                <w:rStyle w:val="apple-converted-space"/>
                <w:rFonts w:ascii="Arial" w:hAnsi="Arial" w:cs="Arial"/>
                <w:color w:val="000000"/>
                <w:sz w:val="17"/>
                <w:szCs w:val="17"/>
              </w:rPr>
              <w:t> </w:t>
            </w:r>
            <w:r w:rsidRPr="007F13D6">
              <w:rPr>
                <w:rStyle w:val="HTMLCode"/>
                <w:rFonts w:ascii="Arial" w:eastAsia="Carlito" w:hAnsi="Arial" w:cs="Arial"/>
                <w:color w:val="000000"/>
                <w:sz w:val="17"/>
                <w:szCs w:val="17"/>
              </w:rPr>
              <w:t>README.md</w:t>
            </w:r>
          </w:p>
        </w:tc>
      </w:tr>
      <w:tr w:rsidR="00D906B5" w:rsidRPr="007F13D6" w14:paraId="4257C78E" w14:textId="77777777" w:rsidTr="00276636">
        <w:trPr>
          <w:jc w:val="center"/>
        </w:trPr>
        <w:tc>
          <w:tcPr>
            <w:tcW w:w="3024" w:type="dxa"/>
            <w:tcBorders>
              <w:bottom w:val="single" w:sz="4" w:space="0" w:color="B7B7B7"/>
            </w:tcBorders>
            <w:shd w:val="clear" w:color="auto" w:fill="EAF3F8"/>
            <w:tcMar>
              <w:top w:w="70" w:type="dxa"/>
              <w:left w:w="80" w:type="dxa"/>
              <w:bottom w:w="70" w:type="dxa"/>
              <w:right w:w="80" w:type="dxa"/>
            </w:tcMar>
            <w:vAlign w:val="center"/>
          </w:tcPr>
          <w:p w14:paraId="44A0973B" w14:textId="77777777" w:rsidR="00D906B5" w:rsidRPr="007F13D6" w:rsidRDefault="002D0CB1" w:rsidP="00276636">
            <w:pPr>
              <w:spacing w:after="0" w:line="240" w:lineRule="auto"/>
              <w:rPr>
                <w:rFonts w:ascii="Arial" w:hAnsi="Arial" w:cs="Arial"/>
                <w:sz w:val="17"/>
                <w:szCs w:val="17"/>
              </w:rPr>
            </w:pPr>
            <w:r w:rsidRPr="007F13D6">
              <w:rPr>
                <w:rFonts w:ascii="Arial" w:hAnsi="Arial" w:cs="Arial"/>
                <w:sz w:val="17"/>
                <w:szCs w:val="17"/>
              </w:rPr>
              <w:t>Interactive rule review, locked-model reproduction, scenario testing, and plan-forward decisions</w:t>
            </w:r>
          </w:p>
        </w:tc>
        <w:tc>
          <w:tcPr>
            <w:tcW w:w="6192" w:type="dxa"/>
            <w:tcBorders>
              <w:bottom w:val="single" w:sz="4" w:space="0" w:color="B7B7B7"/>
            </w:tcBorders>
            <w:shd w:val="clear" w:color="auto" w:fill="EAF3F8"/>
            <w:tcMar>
              <w:top w:w="70" w:type="dxa"/>
              <w:left w:w="80" w:type="dxa"/>
              <w:bottom w:w="70" w:type="dxa"/>
              <w:right w:w="80" w:type="dxa"/>
            </w:tcMar>
            <w:vAlign w:val="center"/>
          </w:tcPr>
          <w:p w14:paraId="5FD67BC9" w14:textId="1A9B6369" w:rsidR="00D906B5" w:rsidRPr="007F13D6" w:rsidRDefault="002D0CB1" w:rsidP="00276636">
            <w:pPr>
              <w:spacing w:after="0" w:line="240" w:lineRule="auto"/>
              <w:rPr>
                <w:rFonts w:ascii="Arial" w:hAnsi="Arial" w:cs="Arial"/>
                <w:sz w:val="17"/>
                <w:szCs w:val="17"/>
              </w:rPr>
            </w:pPr>
            <w:hyperlink r:id="rId18">
              <w:r w:rsidRPr="007F13D6">
                <w:rPr>
                  <w:rFonts w:ascii="Arial" w:hAnsi="Arial" w:cs="Arial"/>
                  <w:color w:val="0563C1"/>
                  <w:sz w:val="17"/>
                  <w:szCs w:val="17"/>
                  <w:u w:val="single"/>
                </w:rPr>
                <w:t>HFM Calculator interactive implementation</w:t>
              </w:r>
            </w:hyperlink>
          </w:p>
        </w:tc>
      </w:tr>
    </w:tbl>
    <w:p w14:paraId="3C8F5DE4" w14:textId="77777777" w:rsidR="006764D8" w:rsidRPr="007F13D6" w:rsidRDefault="006764D8" w:rsidP="00CE7AFC">
      <w:pPr>
        <w:spacing w:before="120" w:after="120" w:line="240" w:lineRule="auto"/>
        <w:rPr>
          <w:rFonts w:ascii="Arial" w:hAnsi="Arial" w:cs="Arial"/>
        </w:rPr>
      </w:pPr>
      <w:r w:rsidRPr="007F13D6">
        <w:rPr>
          <w:rFonts w:ascii="Arial" w:hAnsi="Arial" w:cs="Arial"/>
          <w:i/>
          <w:color w:val="666666"/>
          <w:sz w:val="16"/>
        </w:rPr>
        <w:t>Source: final reporting outputs, audit files, project README, and the Delaware School Funding Model Pipeline Definitions.</w:t>
      </w:r>
    </w:p>
    <w:p w14:paraId="6311BC5B" w14:textId="675484F8" w:rsidR="00726538" w:rsidRPr="007F13D6" w:rsidRDefault="00954852" w:rsidP="00CE7AFC">
      <w:pPr>
        <w:pStyle w:val="Heading2"/>
        <w:spacing w:before="120" w:after="120" w:line="240" w:lineRule="auto"/>
        <w:rPr>
          <w:rFonts w:ascii="Arial" w:hAnsi="Arial" w:cs="Arial"/>
        </w:rPr>
      </w:pPr>
      <w:bookmarkStart w:id="42" w:name="_Toc237512577"/>
      <w:r w:rsidRPr="007F13D6">
        <w:rPr>
          <w:rFonts w:ascii="Arial" w:hAnsi="Arial" w:cs="Arial"/>
        </w:rPr>
        <w:t xml:space="preserve">Appendix </w:t>
      </w:r>
      <w:r w:rsidR="000203E8" w:rsidRPr="007F13D6">
        <w:rPr>
          <w:rFonts w:ascii="Arial" w:hAnsi="Arial" w:cs="Arial"/>
        </w:rPr>
        <w:t>C</w:t>
      </w:r>
      <w:r w:rsidRPr="007F13D6">
        <w:rPr>
          <w:rFonts w:ascii="Arial" w:hAnsi="Arial" w:cs="Arial"/>
        </w:rPr>
        <w:t>. Interpretation guardrails</w:t>
      </w:r>
      <w:bookmarkEnd w:id="42"/>
    </w:p>
    <w:p w14:paraId="3B6BBADB" w14:textId="77777777" w:rsidR="00420010" w:rsidRPr="007F13D6" w:rsidRDefault="00420010" w:rsidP="00CE7AFC">
      <w:pPr>
        <w:spacing w:before="120" w:after="120" w:line="240" w:lineRule="auto"/>
        <w:rPr>
          <w:rFonts w:ascii="Arial" w:hAnsi="Arial" w:cs="Arial"/>
        </w:rPr>
      </w:pPr>
      <w:r w:rsidRPr="007F13D6">
        <w:rPr>
          <w:rFonts w:ascii="Arial" w:hAnsi="Arial" w:cs="Arial"/>
        </w:rPr>
        <w:t>The results should be interpreted as modeled comparisons rather than complete estimates of Delaware’s current funding system or future state spending. Missing current values are not treated as zero and remain outside confirmed comparisons. Broad functional mappings allow current and proposed staffing categories to be compared, but they do not imply that the underlying positions or services are identical. Accordingly, gross modeled differences and preliminary LEA-level results should not be interpreted as confirmed net fiscal impacts, gains, or losses.</w:t>
      </w:r>
    </w:p>
    <w:p w14:paraId="71345264" w14:textId="7ABF269F" w:rsidR="00500E31" w:rsidRPr="007F13D6" w:rsidRDefault="00420010" w:rsidP="00D75FD1">
      <w:pPr>
        <w:spacing w:before="120" w:after="120" w:line="240" w:lineRule="auto"/>
        <w:rPr>
          <w:rFonts w:ascii="Arial" w:hAnsi="Arial" w:cs="Arial"/>
        </w:rPr>
      </w:pPr>
      <w:r w:rsidRPr="007F13D6">
        <w:rPr>
          <w:rFonts w:ascii="Arial" w:hAnsi="Arial" w:cs="Arial"/>
        </w:rPr>
        <w:t>The PEFC workbook comparison and the current-versus-proposed analysis address different questions. The former assesses whether the proposed model can be independently reproduced, while the latter compares that proposed model with the recreated current staffing rules</w:t>
      </w:r>
      <w:r w:rsidR="00D75FD1" w:rsidRPr="007F13D6">
        <w:rPr>
          <w:rFonts w:ascii="Arial" w:hAnsi="Arial" w:cs="Arial"/>
        </w:rPr>
        <w:t>.</w:t>
      </w:r>
    </w:p>
    <w:sectPr w:rsidR="00500E31" w:rsidRPr="007F13D6" w:rsidSect="00CC5F69">
      <w:headerReference w:type="default" r:id="rId19"/>
      <w:footerReference w:type="default" r:id="rId20"/>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201367" w14:textId="77777777" w:rsidR="00A64763" w:rsidRDefault="00A64763">
      <w:pPr>
        <w:spacing w:after="0" w:line="240" w:lineRule="auto"/>
      </w:pPr>
      <w:r>
        <w:separator/>
      </w:r>
    </w:p>
  </w:endnote>
  <w:endnote w:type="continuationSeparator" w:id="0">
    <w:p w14:paraId="27CE1825" w14:textId="77777777" w:rsidR="00A64763" w:rsidRDefault="00A64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346C08" w14:textId="77777777" w:rsidR="00726538" w:rsidRDefault="00C54D26">
    <w:pPr>
      <w:pStyle w:val="Footer"/>
      <w:jc w:val="right"/>
    </w:pPr>
    <w:r>
      <w:rPr>
        <w:color w:val="777777"/>
        <w:sz w:val="16"/>
      </w:rPr>
      <w:t>Technical Analysis</w:t>
    </w:r>
    <w:r w:rsidR="00954852">
      <w:rPr>
        <w:color w:val="777777"/>
        <w:sz w:val="16"/>
      </w:rPr>
      <w:t xml:space="preserve"> |  </w:t>
    </w:r>
    <w:r w:rsidR="00954852">
      <w:fldChar w:fldCharType="begin"/>
    </w:r>
    <w:r w:rsidR="00954852">
      <w:instrText>PAGE</w:instrText>
    </w:r>
    <w:r w:rsidR="00954852">
      <w:fldChar w:fldCharType="separate"/>
    </w:r>
    <w:r w:rsidR="00CC5F69">
      <w:rPr>
        <w:noProof/>
      </w:rPr>
      <w:t>1</w:t>
    </w:r>
    <w:r w:rsidR="0095485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6EE01C" w14:textId="77777777" w:rsidR="00A64763" w:rsidRDefault="00A64763">
      <w:pPr>
        <w:spacing w:after="0" w:line="240" w:lineRule="auto"/>
      </w:pPr>
      <w:r>
        <w:separator/>
      </w:r>
    </w:p>
  </w:footnote>
  <w:footnote w:type="continuationSeparator" w:id="0">
    <w:p w14:paraId="0B17AB5B" w14:textId="77777777" w:rsidR="00A64763" w:rsidRDefault="00A64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97D3D8" w14:textId="77777777" w:rsidR="00726538" w:rsidRDefault="00954852">
    <w:pPr>
      <w:pStyle w:val="Header"/>
      <w:jc w:val="right"/>
    </w:pPr>
    <w:r>
      <w:rPr>
        <w:b/>
        <w:color w:val="777777"/>
        <w:sz w:val="15"/>
      </w:rPr>
      <w:t>DELAWARE SCHOOL FUNDING MODEL | IV&amp;V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620"/>
        </w:tabs>
        <w:ind w:left="162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E3E4C6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D3FBA"/>
    <w:multiLevelType w:val="multilevel"/>
    <w:tmpl w:val="04CE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C350B"/>
    <w:multiLevelType w:val="multilevel"/>
    <w:tmpl w:val="52E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278EE"/>
    <w:multiLevelType w:val="hybridMultilevel"/>
    <w:tmpl w:val="0792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243E85"/>
    <w:multiLevelType w:val="multilevel"/>
    <w:tmpl w:val="880E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32ED5"/>
    <w:multiLevelType w:val="hybridMultilevel"/>
    <w:tmpl w:val="2B9EA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5F38D0"/>
    <w:multiLevelType w:val="hybridMultilevel"/>
    <w:tmpl w:val="9F481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61123C"/>
    <w:multiLevelType w:val="hybridMultilevel"/>
    <w:tmpl w:val="51EAF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6A78D2"/>
    <w:multiLevelType w:val="hybridMultilevel"/>
    <w:tmpl w:val="AC1E7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DF2031"/>
    <w:multiLevelType w:val="hybridMultilevel"/>
    <w:tmpl w:val="399A3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0C6455"/>
    <w:multiLevelType w:val="hybridMultilevel"/>
    <w:tmpl w:val="98FC7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6706E7"/>
    <w:multiLevelType w:val="multilevel"/>
    <w:tmpl w:val="F372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70846"/>
    <w:multiLevelType w:val="hybridMultilevel"/>
    <w:tmpl w:val="22D8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CE774F"/>
    <w:multiLevelType w:val="hybridMultilevel"/>
    <w:tmpl w:val="D36E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515F3A"/>
    <w:multiLevelType w:val="hybridMultilevel"/>
    <w:tmpl w:val="001A6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09325D"/>
    <w:multiLevelType w:val="hybridMultilevel"/>
    <w:tmpl w:val="8AD44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E03B39"/>
    <w:multiLevelType w:val="hybridMultilevel"/>
    <w:tmpl w:val="99501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801618"/>
    <w:multiLevelType w:val="hybridMultilevel"/>
    <w:tmpl w:val="9ECA5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E304FA"/>
    <w:multiLevelType w:val="hybridMultilevel"/>
    <w:tmpl w:val="426C9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FD2EB0"/>
    <w:multiLevelType w:val="hybridMultilevel"/>
    <w:tmpl w:val="847AA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F3116"/>
    <w:multiLevelType w:val="multilevel"/>
    <w:tmpl w:val="9E0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23FA0"/>
    <w:multiLevelType w:val="hybridMultilevel"/>
    <w:tmpl w:val="83AE3B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6E2D1D"/>
    <w:multiLevelType w:val="hybridMultilevel"/>
    <w:tmpl w:val="CAA6F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9A409F"/>
    <w:multiLevelType w:val="hybridMultilevel"/>
    <w:tmpl w:val="8BF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896082">
    <w:abstractNumId w:val="8"/>
  </w:num>
  <w:num w:numId="2" w16cid:durableId="490369171">
    <w:abstractNumId w:val="6"/>
  </w:num>
  <w:num w:numId="3" w16cid:durableId="146480193">
    <w:abstractNumId w:val="5"/>
  </w:num>
  <w:num w:numId="4" w16cid:durableId="690911994">
    <w:abstractNumId w:val="4"/>
  </w:num>
  <w:num w:numId="5" w16cid:durableId="1933274814">
    <w:abstractNumId w:val="7"/>
  </w:num>
  <w:num w:numId="6" w16cid:durableId="1031152449">
    <w:abstractNumId w:val="3"/>
  </w:num>
  <w:num w:numId="7" w16cid:durableId="1890798414">
    <w:abstractNumId w:val="2"/>
  </w:num>
  <w:num w:numId="8" w16cid:durableId="958952563">
    <w:abstractNumId w:val="1"/>
  </w:num>
  <w:num w:numId="9" w16cid:durableId="1334457457">
    <w:abstractNumId w:val="0"/>
  </w:num>
  <w:num w:numId="10" w16cid:durableId="1933315917">
    <w:abstractNumId w:val="12"/>
  </w:num>
  <w:num w:numId="11" w16cid:durableId="1212962262">
    <w:abstractNumId w:val="9"/>
  </w:num>
  <w:num w:numId="12" w16cid:durableId="1885486409">
    <w:abstractNumId w:val="25"/>
  </w:num>
  <w:num w:numId="13" w16cid:durableId="1835409941">
    <w:abstractNumId w:val="10"/>
  </w:num>
  <w:num w:numId="14" w16cid:durableId="683290897">
    <w:abstractNumId w:val="13"/>
  </w:num>
  <w:num w:numId="15" w16cid:durableId="1389308050">
    <w:abstractNumId w:val="15"/>
  </w:num>
  <w:num w:numId="16" w16cid:durableId="1296720227">
    <w:abstractNumId w:val="23"/>
  </w:num>
  <w:num w:numId="17" w16cid:durableId="292057164">
    <w:abstractNumId w:val="27"/>
  </w:num>
  <w:num w:numId="18" w16cid:durableId="1218737306">
    <w:abstractNumId w:val="14"/>
  </w:num>
  <w:num w:numId="19" w16cid:durableId="1806435047">
    <w:abstractNumId w:val="16"/>
  </w:num>
  <w:num w:numId="20" w16cid:durableId="863907624">
    <w:abstractNumId w:val="26"/>
  </w:num>
  <w:num w:numId="21" w16cid:durableId="1029066953">
    <w:abstractNumId w:val="30"/>
  </w:num>
  <w:num w:numId="22" w16cid:durableId="303969036">
    <w:abstractNumId w:val="17"/>
  </w:num>
  <w:num w:numId="23" w16cid:durableId="1895041786">
    <w:abstractNumId w:val="29"/>
  </w:num>
  <w:num w:numId="24" w16cid:durableId="196235357">
    <w:abstractNumId w:val="22"/>
  </w:num>
  <w:num w:numId="25" w16cid:durableId="300423842">
    <w:abstractNumId w:val="28"/>
  </w:num>
  <w:num w:numId="26" w16cid:durableId="1748844654">
    <w:abstractNumId w:val="11"/>
  </w:num>
  <w:num w:numId="27" w16cid:durableId="91897424">
    <w:abstractNumId w:val="21"/>
  </w:num>
  <w:num w:numId="28" w16cid:durableId="1991788799">
    <w:abstractNumId w:val="18"/>
  </w:num>
  <w:num w:numId="29" w16cid:durableId="1515799385">
    <w:abstractNumId w:val="31"/>
  </w:num>
  <w:num w:numId="30" w16cid:durableId="712730409">
    <w:abstractNumId w:val="19"/>
  </w:num>
  <w:num w:numId="31" w16cid:durableId="321394290">
    <w:abstractNumId w:val="20"/>
  </w:num>
  <w:num w:numId="32" w16cid:durableId="1219584441">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F8D"/>
    <w:rsid w:val="00004581"/>
    <w:rsid w:val="00004C41"/>
    <w:rsid w:val="000121A3"/>
    <w:rsid w:val="0001276A"/>
    <w:rsid w:val="00015432"/>
    <w:rsid w:val="00016912"/>
    <w:rsid w:val="000203E8"/>
    <w:rsid w:val="000247B3"/>
    <w:rsid w:val="00031EE3"/>
    <w:rsid w:val="00034616"/>
    <w:rsid w:val="00037D36"/>
    <w:rsid w:val="00042259"/>
    <w:rsid w:val="000440FE"/>
    <w:rsid w:val="00045E7F"/>
    <w:rsid w:val="00046AA9"/>
    <w:rsid w:val="0005002D"/>
    <w:rsid w:val="00050721"/>
    <w:rsid w:val="00053B16"/>
    <w:rsid w:val="00056877"/>
    <w:rsid w:val="00057291"/>
    <w:rsid w:val="0006063C"/>
    <w:rsid w:val="0006666A"/>
    <w:rsid w:val="00075395"/>
    <w:rsid w:val="0008265B"/>
    <w:rsid w:val="00083DAA"/>
    <w:rsid w:val="00083F0D"/>
    <w:rsid w:val="000942D5"/>
    <w:rsid w:val="000B2CC9"/>
    <w:rsid w:val="000B6164"/>
    <w:rsid w:val="000C3696"/>
    <w:rsid w:val="000C5B6B"/>
    <w:rsid w:val="000D1E74"/>
    <w:rsid w:val="000E46B6"/>
    <w:rsid w:val="000E6ED5"/>
    <w:rsid w:val="000F0426"/>
    <w:rsid w:val="000F0BEB"/>
    <w:rsid w:val="000F6BD8"/>
    <w:rsid w:val="000F7D53"/>
    <w:rsid w:val="001034CB"/>
    <w:rsid w:val="0011038D"/>
    <w:rsid w:val="00110CEB"/>
    <w:rsid w:val="00116781"/>
    <w:rsid w:val="00120AEA"/>
    <w:rsid w:val="00122E60"/>
    <w:rsid w:val="001267CB"/>
    <w:rsid w:val="0013213E"/>
    <w:rsid w:val="001351D9"/>
    <w:rsid w:val="00140C04"/>
    <w:rsid w:val="00145DCF"/>
    <w:rsid w:val="00147B34"/>
    <w:rsid w:val="0015074B"/>
    <w:rsid w:val="0016045E"/>
    <w:rsid w:val="00165949"/>
    <w:rsid w:val="001724E8"/>
    <w:rsid w:val="001762E6"/>
    <w:rsid w:val="00177F80"/>
    <w:rsid w:val="001829EA"/>
    <w:rsid w:val="00182FEB"/>
    <w:rsid w:val="001855DA"/>
    <w:rsid w:val="001A0926"/>
    <w:rsid w:val="001B1882"/>
    <w:rsid w:val="001C2E09"/>
    <w:rsid w:val="001C583B"/>
    <w:rsid w:val="001C6D61"/>
    <w:rsid w:val="001C6E50"/>
    <w:rsid w:val="001C6F1A"/>
    <w:rsid w:val="001D1748"/>
    <w:rsid w:val="001D5626"/>
    <w:rsid w:val="001E0FA1"/>
    <w:rsid w:val="001E10D9"/>
    <w:rsid w:val="001E16EF"/>
    <w:rsid w:val="001E5118"/>
    <w:rsid w:val="001E55F0"/>
    <w:rsid w:val="001F23F2"/>
    <w:rsid w:val="001F7FC6"/>
    <w:rsid w:val="00202707"/>
    <w:rsid w:val="002045D6"/>
    <w:rsid w:val="002061E0"/>
    <w:rsid w:val="0021614D"/>
    <w:rsid w:val="002202F2"/>
    <w:rsid w:val="002249BE"/>
    <w:rsid w:val="00224AC8"/>
    <w:rsid w:val="00225E05"/>
    <w:rsid w:val="002265D7"/>
    <w:rsid w:val="00235F47"/>
    <w:rsid w:val="00250C19"/>
    <w:rsid w:val="00253E2F"/>
    <w:rsid w:val="0025617E"/>
    <w:rsid w:val="00256BFD"/>
    <w:rsid w:val="00257AAA"/>
    <w:rsid w:val="00262CAD"/>
    <w:rsid w:val="00266FF2"/>
    <w:rsid w:val="00270375"/>
    <w:rsid w:val="00270578"/>
    <w:rsid w:val="002708C5"/>
    <w:rsid w:val="00275039"/>
    <w:rsid w:val="002753C3"/>
    <w:rsid w:val="00276636"/>
    <w:rsid w:val="002768AC"/>
    <w:rsid w:val="00284737"/>
    <w:rsid w:val="00285824"/>
    <w:rsid w:val="00287FD4"/>
    <w:rsid w:val="0029639D"/>
    <w:rsid w:val="002A5C7B"/>
    <w:rsid w:val="002B28D0"/>
    <w:rsid w:val="002B3947"/>
    <w:rsid w:val="002C043A"/>
    <w:rsid w:val="002C2639"/>
    <w:rsid w:val="002C3345"/>
    <w:rsid w:val="002C4D45"/>
    <w:rsid w:val="002C4EA4"/>
    <w:rsid w:val="002D0CB1"/>
    <w:rsid w:val="002D628E"/>
    <w:rsid w:val="002E00B9"/>
    <w:rsid w:val="002E02A7"/>
    <w:rsid w:val="002E57D2"/>
    <w:rsid w:val="002E79AF"/>
    <w:rsid w:val="002F0574"/>
    <w:rsid w:val="002F0A71"/>
    <w:rsid w:val="002F1233"/>
    <w:rsid w:val="002F4227"/>
    <w:rsid w:val="0031334D"/>
    <w:rsid w:val="0032117B"/>
    <w:rsid w:val="0032182C"/>
    <w:rsid w:val="00326F90"/>
    <w:rsid w:val="00333521"/>
    <w:rsid w:val="00335D0C"/>
    <w:rsid w:val="00335D11"/>
    <w:rsid w:val="003377AB"/>
    <w:rsid w:val="00337FDB"/>
    <w:rsid w:val="0035142B"/>
    <w:rsid w:val="003523E7"/>
    <w:rsid w:val="00353F63"/>
    <w:rsid w:val="00356C0D"/>
    <w:rsid w:val="003662EA"/>
    <w:rsid w:val="003703CA"/>
    <w:rsid w:val="003726F0"/>
    <w:rsid w:val="00377A5D"/>
    <w:rsid w:val="003807E6"/>
    <w:rsid w:val="00387408"/>
    <w:rsid w:val="00390BC2"/>
    <w:rsid w:val="003926F7"/>
    <w:rsid w:val="00396D94"/>
    <w:rsid w:val="003A6E7A"/>
    <w:rsid w:val="003C19D9"/>
    <w:rsid w:val="003D2ED5"/>
    <w:rsid w:val="003D7865"/>
    <w:rsid w:val="003E0970"/>
    <w:rsid w:val="003F2515"/>
    <w:rsid w:val="003F3F75"/>
    <w:rsid w:val="004011D5"/>
    <w:rsid w:val="00406700"/>
    <w:rsid w:val="00407B25"/>
    <w:rsid w:val="00413766"/>
    <w:rsid w:val="00415117"/>
    <w:rsid w:val="00415476"/>
    <w:rsid w:val="00417CAF"/>
    <w:rsid w:val="00420010"/>
    <w:rsid w:val="00421FE3"/>
    <w:rsid w:val="0042417B"/>
    <w:rsid w:val="004249D9"/>
    <w:rsid w:val="00432CF1"/>
    <w:rsid w:val="004377A6"/>
    <w:rsid w:val="00437B03"/>
    <w:rsid w:val="00441264"/>
    <w:rsid w:val="0044157C"/>
    <w:rsid w:val="00447CC4"/>
    <w:rsid w:val="004506DD"/>
    <w:rsid w:val="00460843"/>
    <w:rsid w:val="00462F01"/>
    <w:rsid w:val="00465211"/>
    <w:rsid w:val="00470848"/>
    <w:rsid w:val="0047337A"/>
    <w:rsid w:val="0047560F"/>
    <w:rsid w:val="00476CAA"/>
    <w:rsid w:val="004844BF"/>
    <w:rsid w:val="0048764F"/>
    <w:rsid w:val="004910E9"/>
    <w:rsid w:val="004A2206"/>
    <w:rsid w:val="004A3591"/>
    <w:rsid w:val="004A4029"/>
    <w:rsid w:val="004A6447"/>
    <w:rsid w:val="004A6DC1"/>
    <w:rsid w:val="004B3D2D"/>
    <w:rsid w:val="004B6430"/>
    <w:rsid w:val="004B7CB0"/>
    <w:rsid w:val="004C092B"/>
    <w:rsid w:val="004C298C"/>
    <w:rsid w:val="004C2ED1"/>
    <w:rsid w:val="004C37CF"/>
    <w:rsid w:val="004C592F"/>
    <w:rsid w:val="004C7141"/>
    <w:rsid w:val="004D725F"/>
    <w:rsid w:val="004E1485"/>
    <w:rsid w:val="004E1B77"/>
    <w:rsid w:val="004E6D48"/>
    <w:rsid w:val="004F3030"/>
    <w:rsid w:val="00500591"/>
    <w:rsid w:val="00500E31"/>
    <w:rsid w:val="00503EA3"/>
    <w:rsid w:val="005120C9"/>
    <w:rsid w:val="0052424B"/>
    <w:rsid w:val="00524E92"/>
    <w:rsid w:val="005427FB"/>
    <w:rsid w:val="00545F09"/>
    <w:rsid w:val="00547617"/>
    <w:rsid w:val="00552093"/>
    <w:rsid w:val="00552380"/>
    <w:rsid w:val="0055541C"/>
    <w:rsid w:val="005743EA"/>
    <w:rsid w:val="005775BC"/>
    <w:rsid w:val="0058140E"/>
    <w:rsid w:val="00583961"/>
    <w:rsid w:val="0058499E"/>
    <w:rsid w:val="00590280"/>
    <w:rsid w:val="00591262"/>
    <w:rsid w:val="00597143"/>
    <w:rsid w:val="00597F2C"/>
    <w:rsid w:val="005A2543"/>
    <w:rsid w:val="005A57AA"/>
    <w:rsid w:val="005A65EF"/>
    <w:rsid w:val="005B7398"/>
    <w:rsid w:val="005C00B9"/>
    <w:rsid w:val="005C3AAA"/>
    <w:rsid w:val="005D09E7"/>
    <w:rsid w:val="005D2FE9"/>
    <w:rsid w:val="005F14C1"/>
    <w:rsid w:val="005F350B"/>
    <w:rsid w:val="00603E43"/>
    <w:rsid w:val="00604AA0"/>
    <w:rsid w:val="00606D08"/>
    <w:rsid w:val="00615003"/>
    <w:rsid w:val="006202B8"/>
    <w:rsid w:val="00622775"/>
    <w:rsid w:val="00623297"/>
    <w:rsid w:val="00626D13"/>
    <w:rsid w:val="0063271A"/>
    <w:rsid w:val="00633F41"/>
    <w:rsid w:val="00635322"/>
    <w:rsid w:val="0063547A"/>
    <w:rsid w:val="0063634E"/>
    <w:rsid w:val="0065107A"/>
    <w:rsid w:val="0065347C"/>
    <w:rsid w:val="00662115"/>
    <w:rsid w:val="006653DF"/>
    <w:rsid w:val="00670324"/>
    <w:rsid w:val="00673246"/>
    <w:rsid w:val="006764D8"/>
    <w:rsid w:val="006848B9"/>
    <w:rsid w:val="00685BCF"/>
    <w:rsid w:val="006A2C55"/>
    <w:rsid w:val="006A37B1"/>
    <w:rsid w:val="006A3848"/>
    <w:rsid w:val="006A7168"/>
    <w:rsid w:val="006C44C3"/>
    <w:rsid w:val="006C609F"/>
    <w:rsid w:val="006C6394"/>
    <w:rsid w:val="006D072B"/>
    <w:rsid w:val="006D7846"/>
    <w:rsid w:val="006E0287"/>
    <w:rsid w:val="006F119B"/>
    <w:rsid w:val="006F47F0"/>
    <w:rsid w:val="006F4944"/>
    <w:rsid w:val="007047D3"/>
    <w:rsid w:val="00717403"/>
    <w:rsid w:val="00721BAB"/>
    <w:rsid w:val="007261F8"/>
    <w:rsid w:val="00726538"/>
    <w:rsid w:val="00727C12"/>
    <w:rsid w:val="007304C8"/>
    <w:rsid w:val="0073297D"/>
    <w:rsid w:val="007400A3"/>
    <w:rsid w:val="007407E1"/>
    <w:rsid w:val="00746A44"/>
    <w:rsid w:val="007471FB"/>
    <w:rsid w:val="007503CD"/>
    <w:rsid w:val="00751DFC"/>
    <w:rsid w:val="00753B82"/>
    <w:rsid w:val="00754A43"/>
    <w:rsid w:val="00765DA9"/>
    <w:rsid w:val="00766CAE"/>
    <w:rsid w:val="00770E50"/>
    <w:rsid w:val="0077186D"/>
    <w:rsid w:val="00781F47"/>
    <w:rsid w:val="007927A6"/>
    <w:rsid w:val="00796635"/>
    <w:rsid w:val="007A4904"/>
    <w:rsid w:val="007B5277"/>
    <w:rsid w:val="007C0048"/>
    <w:rsid w:val="007C6E96"/>
    <w:rsid w:val="007D0729"/>
    <w:rsid w:val="007E572D"/>
    <w:rsid w:val="007F13D6"/>
    <w:rsid w:val="0080028D"/>
    <w:rsid w:val="00801FBF"/>
    <w:rsid w:val="00803C20"/>
    <w:rsid w:val="008077E1"/>
    <w:rsid w:val="0081179A"/>
    <w:rsid w:val="00827306"/>
    <w:rsid w:val="008339E2"/>
    <w:rsid w:val="00833B18"/>
    <w:rsid w:val="00840B76"/>
    <w:rsid w:val="00842D6B"/>
    <w:rsid w:val="00844399"/>
    <w:rsid w:val="0086051A"/>
    <w:rsid w:val="008711CF"/>
    <w:rsid w:val="008728C3"/>
    <w:rsid w:val="00875945"/>
    <w:rsid w:val="00883379"/>
    <w:rsid w:val="00894E92"/>
    <w:rsid w:val="0089770D"/>
    <w:rsid w:val="00897A8D"/>
    <w:rsid w:val="008A20F6"/>
    <w:rsid w:val="008A3C0B"/>
    <w:rsid w:val="008B2BFF"/>
    <w:rsid w:val="008C7FEB"/>
    <w:rsid w:val="008D0B87"/>
    <w:rsid w:val="008D4812"/>
    <w:rsid w:val="008D4DAD"/>
    <w:rsid w:val="008D71CD"/>
    <w:rsid w:val="008D79D2"/>
    <w:rsid w:val="008E105F"/>
    <w:rsid w:val="008E5506"/>
    <w:rsid w:val="008F3F38"/>
    <w:rsid w:val="00900FF0"/>
    <w:rsid w:val="00910A66"/>
    <w:rsid w:val="00916E55"/>
    <w:rsid w:val="00917B03"/>
    <w:rsid w:val="00926BDA"/>
    <w:rsid w:val="009414E9"/>
    <w:rsid w:val="009430B5"/>
    <w:rsid w:val="0094672A"/>
    <w:rsid w:val="00953D96"/>
    <w:rsid w:val="00954852"/>
    <w:rsid w:val="00955292"/>
    <w:rsid w:val="00956988"/>
    <w:rsid w:val="00956EDB"/>
    <w:rsid w:val="00962BC2"/>
    <w:rsid w:val="00964F52"/>
    <w:rsid w:val="00965DB1"/>
    <w:rsid w:val="00965F2F"/>
    <w:rsid w:val="00970DC8"/>
    <w:rsid w:val="009712D6"/>
    <w:rsid w:val="009718D9"/>
    <w:rsid w:val="009728D0"/>
    <w:rsid w:val="00974FED"/>
    <w:rsid w:val="00980338"/>
    <w:rsid w:val="0098212F"/>
    <w:rsid w:val="00990385"/>
    <w:rsid w:val="00997156"/>
    <w:rsid w:val="00997380"/>
    <w:rsid w:val="009A08F1"/>
    <w:rsid w:val="009A41DE"/>
    <w:rsid w:val="009A5A4E"/>
    <w:rsid w:val="009C3E1E"/>
    <w:rsid w:val="009E0DA3"/>
    <w:rsid w:val="009E1F4C"/>
    <w:rsid w:val="00A05AE0"/>
    <w:rsid w:val="00A15DDD"/>
    <w:rsid w:val="00A1702D"/>
    <w:rsid w:val="00A1782C"/>
    <w:rsid w:val="00A21B3C"/>
    <w:rsid w:val="00A248C1"/>
    <w:rsid w:val="00A266C4"/>
    <w:rsid w:val="00A429F1"/>
    <w:rsid w:val="00A526D8"/>
    <w:rsid w:val="00A529D2"/>
    <w:rsid w:val="00A52D23"/>
    <w:rsid w:val="00A567C6"/>
    <w:rsid w:val="00A578DF"/>
    <w:rsid w:val="00A60837"/>
    <w:rsid w:val="00A64763"/>
    <w:rsid w:val="00A67211"/>
    <w:rsid w:val="00A71020"/>
    <w:rsid w:val="00A727C7"/>
    <w:rsid w:val="00A81D12"/>
    <w:rsid w:val="00A85D4A"/>
    <w:rsid w:val="00A86731"/>
    <w:rsid w:val="00A912FC"/>
    <w:rsid w:val="00A91392"/>
    <w:rsid w:val="00AA1D8D"/>
    <w:rsid w:val="00AA5103"/>
    <w:rsid w:val="00AB1A86"/>
    <w:rsid w:val="00AB38AE"/>
    <w:rsid w:val="00AC59A5"/>
    <w:rsid w:val="00AD0E39"/>
    <w:rsid w:val="00AE00C3"/>
    <w:rsid w:val="00AE0583"/>
    <w:rsid w:val="00AE0905"/>
    <w:rsid w:val="00AE203B"/>
    <w:rsid w:val="00AF6632"/>
    <w:rsid w:val="00AF788B"/>
    <w:rsid w:val="00B00B4F"/>
    <w:rsid w:val="00B02A99"/>
    <w:rsid w:val="00B2129B"/>
    <w:rsid w:val="00B22555"/>
    <w:rsid w:val="00B25FD3"/>
    <w:rsid w:val="00B32051"/>
    <w:rsid w:val="00B32E67"/>
    <w:rsid w:val="00B34C9B"/>
    <w:rsid w:val="00B400E1"/>
    <w:rsid w:val="00B45D53"/>
    <w:rsid w:val="00B47730"/>
    <w:rsid w:val="00B54F3E"/>
    <w:rsid w:val="00B555A5"/>
    <w:rsid w:val="00B576DF"/>
    <w:rsid w:val="00B6560F"/>
    <w:rsid w:val="00B65637"/>
    <w:rsid w:val="00B73FE1"/>
    <w:rsid w:val="00B76136"/>
    <w:rsid w:val="00B846CD"/>
    <w:rsid w:val="00B85B7E"/>
    <w:rsid w:val="00B85F03"/>
    <w:rsid w:val="00B96FDC"/>
    <w:rsid w:val="00BA1DD0"/>
    <w:rsid w:val="00BA36B6"/>
    <w:rsid w:val="00BB456E"/>
    <w:rsid w:val="00BB7D91"/>
    <w:rsid w:val="00BD1A22"/>
    <w:rsid w:val="00BD596A"/>
    <w:rsid w:val="00BE2B3F"/>
    <w:rsid w:val="00BE6CC7"/>
    <w:rsid w:val="00BE7238"/>
    <w:rsid w:val="00BF3EA9"/>
    <w:rsid w:val="00C16473"/>
    <w:rsid w:val="00C228D9"/>
    <w:rsid w:val="00C232BD"/>
    <w:rsid w:val="00C26516"/>
    <w:rsid w:val="00C36F1E"/>
    <w:rsid w:val="00C43F78"/>
    <w:rsid w:val="00C4564F"/>
    <w:rsid w:val="00C54D26"/>
    <w:rsid w:val="00C606AA"/>
    <w:rsid w:val="00C60DC9"/>
    <w:rsid w:val="00C638D5"/>
    <w:rsid w:val="00C65950"/>
    <w:rsid w:val="00C6787F"/>
    <w:rsid w:val="00C67BFB"/>
    <w:rsid w:val="00C74660"/>
    <w:rsid w:val="00C74796"/>
    <w:rsid w:val="00C82397"/>
    <w:rsid w:val="00C83ECF"/>
    <w:rsid w:val="00C84FCC"/>
    <w:rsid w:val="00C9413B"/>
    <w:rsid w:val="00CB0664"/>
    <w:rsid w:val="00CB28BE"/>
    <w:rsid w:val="00CB73E2"/>
    <w:rsid w:val="00CC1BFC"/>
    <w:rsid w:val="00CC27BD"/>
    <w:rsid w:val="00CC5F69"/>
    <w:rsid w:val="00CC611C"/>
    <w:rsid w:val="00CD20CD"/>
    <w:rsid w:val="00CE0D8F"/>
    <w:rsid w:val="00CE7AFC"/>
    <w:rsid w:val="00CF13C6"/>
    <w:rsid w:val="00CF3B16"/>
    <w:rsid w:val="00D028B5"/>
    <w:rsid w:val="00D0777E"/>
    <w:rsid w:val="00D078FA"/>
    <w:rsid w:val="00D22125"/>
    <w:rsid w:val="00D27BFE"/>
    <w:rsid w:val="00D27CDC"/>
    <w:rsid w:val="00D4168D"/>
    <w:rsid w:val="00D46674"/>
    <w:rsid w:val="00D51E15"/>
    <w:rsid w:val="00D622E5"/>
    <w:rsid w:val="00D651FD"/>
    <w:rsid w:val="00D66E16"/>
    <w:rsid w:val="00D67D73"/>
    <w:rsid w:val="00D7141B"/>
    <w:rsid w:val="00D72B4C"/>
    <w:rsid w:val="00D75F68"/>
    <w:rsid w:val="00D75FD1"/>
    <w:rsid w:val="00D86B9C"/>
    <w:rsid w:val="00D87642"/>
    <w:rsid w:val="00D906B5"/>
    <w:rsid w:val="00D9132B"/>
    <w:rsid w:val="00D91B5D"/>
    <w:rsid w:val="00D96547"/>
    <w:rsid w:val="00D97385"/>
    <w:rsid w:val="00D975E5"/>
    <w:rsid w:val="00D97DDD"/>
    <w:rsid w:val="00DA37C7"/>
    <w:rsid w:val="00DB3786"/>
    <w:rsid w:val="00DB66DA"/>
    <w:rsid w:val="00DB790A"/>
    <w:rsid w:val="00DC1230"/>
    <w:rsid w:val="00DC1FFB"/>
    <w:rsid w:val="00DD20EE"/>
    <w:rsid w:val="00DD245B"/>
    <w:rsid w:val="00DD426F"/>
    <w:rsid w:val="00DD6DCF"/>
    <w:rsid w:val="00DE52F8"/>
    <w:rsid w:val="00DE651B"/>
    <w:rsid w:val="00DF33E8"/>
    <w:rsid w:val="00E01D05"/>
    <w:rsid w:val="00E042BA"/>
    <w:rsid w:val="00E05D2C"/>
    <w:rsid w:val="00E07821"/>
    <w:rsid w:val="00E10ED4"/>
    <w:rsid w:val="00E128E7"/>
    <w:rsid w:val="00E2107D"/>
    <w:rsid w:val="00E31279"/>
    <w:rsid w:val="00E350FC"/>
    <w:rsid w:val="00E43C39"/>
    <w:rsid w:val="00E44420"/>
    <w:rsid w:val="00E46F9E"/>
    <w:rsid w:val="00E500AD"/>
    <w:rsid w:val="00E50DA7"/>
    <w:rsid w:val="00E5419C"/>
    <w:rsid w:val="00E6142F"/>
    <w:rsid w:val="00E71663"/>
    <w:rsid w:val="00E74DF9"/>
    <w:rsid w:val="00E80F2D"/>
    <w:rsid w:val="00E83B9C"/>
    <w:rsid w:val="00E9340D"/>
    <w:rsid w:val="00E96614"/>
    <w:rsid w:val="00E96BAB"/>
    <w:rsid w:val="00E97FE1"/>
    <w:rsid w:val="00EA04BC"/>
    <w:rsid w:val="00EA1931"/>
    <w:rsid w:val="00EA4390"/>
    <w:rsid w:val="00EA497F"/>
    <w:rsid w:val="00EA4F21"/>
    <w:rsid w:val="00EA6A15"/>
    <w:rsid w:val="00EB49B5"/>
    <w:rsid w:val="00EE0D12"/>
    <w:rsid w:val="00EE299D"/>
    <w:rsid w:val="00EE32E2"/>
    <w:rsid w:val="00EE4647"/>
    <w:rsid w:val="00EE7D14"/>
    <w:rsid w:val="00EF509B"/>
    <w:rsid w:val="00F0285B"/>
    <w:rsid w:val="00F07C13"/>
    <w:rsid w:val="00F13F43"/>
    <w:rsid w:val="00F22A57"/>
    <w:rsid w:val="00F232E9"/>
    <w:rsid w:val="00F25D70"/>
    <w:rsid w:val="00F30805"/>
    <w:rsid w:val="00F3343E"/>
    <w:rsid w:val="00F357D0"/>
    <w:rsid w:val="00F374BF"/>
    <w:rsid w:val="00F46C66"/>
    <w:rsid w:val="00F559B9"/>
    <w:rsid w:val="00F56B5A"/>
    <w:rsid w:val="00F60707"/>
    <w:rsid w:val="00F64994"/>
    <w:rsid w:val="00F64D90"/>
    <w:rsid w:val="00F710A9"/>
    <w:rsid w:val="00F73951"/>
    <w:rsid w:val="00F74735"/>
    <w:rsid w:val="00F82A6F"/>
    <w:rsid w:val="00F872A8"/>
    <w:rsid w:val="00F921B6"/>
    <w:rsid w:val="00F96DA3"/>
    <w:rsid w:val="00FA05B8"/>
    <w:rsid w:val="00FA6D5A"/>
    <w:rsid w:val="00FA7F97"/>
    <w:rsid w:val="00FB38BA"/>
    <w:rsid w:val="00FB3C21"/>
    <w:rsid w:val="00FC693F"/>
    <w:rsid w:val="00FC6F93"/>
    <w:rsid w:val="00FD114D"/>
    <w:rsid w:val="00FD5BA9"/>
    <w:rsid w:val="00FE5E52"/>
    <w:rsid w:val="00FE6911"/>
    <w:rsid w:val="00FF40E3"/>
    <w:rsid w:val="00FF52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6C6812"/>
  <w14:defaultImageDpi w14:val="300"/>
  <w15:docId w15:val="{6B04790A-E26E-4A78-9F4A-21250C436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09F"/>
    <w:pPr>
      <w:spacing w:after="100" w:line="259" w:lineRule="auto"/>
    </w:pPr>
    <w:rPr>
      <w:rFonts w:ascii="Carlito" w:eastAsia="Carlito" w:hAnsi="Carlito"/>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2F6B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Carlito" w:hAnsi="Carlito"/>
      <w:color w:val="666666"/>
      <w:sz w:val="17"/>
    </w:rPr>
  </w:style>
  <w:style w:type="paragraph" w:styleId="TOC1">
    <w:name w:val="toc 1"/>
    <w:basedOn w:val="Normal"/>
    <w:next w:val="Normal"/>
    <w:autoRedefine/>
    <w:uiPriority w:val="39"/>
    <w:unhideWhenUsed/>
    <w:rsid w:val="0089770D"/>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89770D"/>
    <w:pPr>
      <w:spacing w:before="120" w:after="0"/>
      <w:ind w:left="200"/>
    </w:pPr>
    <w:rPr>
      <w:rFonts w:asciiTheme="minorHAnsi" w:hAnsiTheme="minorHAnsi"/>
      <w:b/>
      <w:bCs/>
      <w:sz w:val="22"/>
    </w:rPr>
  </w:style>
  <w:style w:type="character" w:styleId="Hyperlink">
    <w:name w:val="Hyperlink"/>
    <w:basedOn w:val="DefaultParagraphFont"/>
    <w:uiPriority w:val="99"/>
    <w:unhideWhenUsed/>
    <w:rsid w:val="0089770D"/>
    <w:rPr>
      <w:color w:val="0000FF" w:themeColor="hyperlink"/>
      <w:u w:val="single"/>
    </w:rPr>
  </w:style>
  <w:style w:type="paragraph" w:styleId="TOC3">
    <w:name w:val="toc 3"/>
    <w:basedOn w:val="Normal"/>
    <w:next w:val="Normal"/>
    <w:autoRedefine/>
    <w:uiPriority w:val="39"/>
    <w:unhideWhenUsed/>
    <w:rsid w:val="0089770D"/>
    <w:pPr>
      <w:spacing w:after="0"/>
      <w:ind w:left="400"/>
    </w:pPr>
    <w:rPr>
      <w:rFonts w:asciiTheme="minorHAnsi" w:hAnsiTheme="minorHAnsi"/>
      <w:szCs w:val="20"/>
    </w:rPr>
  </w:style>
  <w:style w:type="paragraph" w:styleId="TOC4">
    <w:name w:val="toc 4"/>
    <w:basedOn w:val="Normal"/>
    <w:next w:val="Normal"/>
    <w:autoRedefine/>
    <w:uiPriority w:val="39"/>
    <w:semiHidden/>
    <w:unhideWhenUsed/>
    <w:rsid w:val="0089770D"/>
    <w:pPr>
      <w:spacing w:after="0"/>
      <w:ind w:left="600"/>
    </w:pPr>
    <w:rPr>
      <w:rFonts w:asciiTheme="minorHAnsi" w:hAnsiTheme="minorHAnsi"/>
      <w:szCs w:val="20"/>
    </w:rPr>
  </w:style>
  <w:style w:type="paragraph" w:styleId="TOC5">
    <w:name w:val="toc 5"/>
    <w:basedOn w:val="Normal"/>
    <w:next w:val="Normal"/>
    <w:autoRedefine/>
    <w:uiPriority w:val="39"/>
    <w:semiHidden/>
    <w:unhideWhenUsed/>
    <w:rsid w:val="0089770D"/>
    <w:pPr>
      <w:spacing w:after="0"/>
      <w:ind w:left="800"/>
    </w:pPr>
    <w:rPr>
      <w:rFonts w:asciiTheme="minorHAnsi" w:hAnsiTheme="minorHAnsi"/>
      <w:szCs w:val="20"/>
    </w:rPr>
  </w:style>
  <w:style w:type="paragraph" w:styleId="TOC6">
    <w:name w:val="toc 6"/>
    <w:basedOn w:val="Normal"/>
    <w:next w:val="Normal"/>
    <w:autoRedefine/>
    <w:uiPriority w:val="39"/>
    <w:semiHidden/>
    <w:unhideWhenUsed/>
    <w:rsid w:val="0089770D"/>
    <w:pPr>
      <w:spacing w:after="0"/>
      <w:ind w:left="1000"/>
    </w:pPr>
    <w:rPr>
      <w:rFonts w:asciiTheme="minorHAnsi" w:hAnsiTheme="minorHAnsi"/>
      <w:szCs w:val="20"/>
    </w:rPr>
  </w:style>
  <w:style w:type="paragraph" w:styleId="TOC7">
    <w:name w:val="toc 7"/>
    <w:basedOn w:val="Normal"/>
    <w:next w:val="Normal"/>
    <w:autoRedefine/>
    <w:uiPriority w:val="39"/>
    <w:semiHidden/>
    <w:unhideWhenUsed/>
    <w:rsid w:val="0089770D"/>
    <w:pPr>
      <w:spacing w:after="0"/>
      <w:ind w:left="1200"/>
    </w:pPr>
    <w:rPr>
      <w:rFonts w:asciiTheme="minorHAnsi" w:hAnsiTheme="minorHAnsi"/>
      <w:szCs w:val="20"/>
    </w:rPr>
  </w:style>
  <w:style w:type="paragraph" w:styleId="TOC8">
    <w:name w:val="toc 8"/>
    <w:basedOn w:val="Normal"/>
    <w:next w:val="Normal"/>
    <w:autoRedefine/>
    <w:uiPriority w:val="39"/>
    <w:semiHidden/>
    <w:unhideWhenUsed/>
    <w:rsid w:val="0089770D"/>
    <w:pPr>
      <w:spacing w:after="0"/>
      <w:ind w:left="1400"/>
    </w:pPr>
    <w:rPr>
      <w:rFonts w:asciiTheme="minorHAnsi" w:hAnsiTheme="minorHAnsi"/>
      <w:szCs w:val="20"/>
    </w:rPr>
  </w:style>
  <w:style w:type="paragraph" w:styleId="TOC9">
    <w:name w:val="toc 9"/>
    <w:basedOn w:val="Normal"/>
    <w:next w:val="Normal"/>
    <w:autoRedefine/>
    <w:uiPriority w:val="39"/>
    <w:semiHidden/>
    <w:unhideWhenUsed/>
    <w:rsid w:val="0089770D"/>
    <w:pPr>
      <w:spacing w:after="0"/>
      <w:ind w:left="1600"/>
    </w:pPr>
    <w:rPr>
      <w:rFonts w:asciiTheme="minorHAnsi" w:hAnsiTheme="minorHAnsi"/>
      <w:szCs w:val="20"/>
    </w:rPr>
  </w:style>
  <w:style w:type="character" w:styleId="UnresolvedMention">
    <w:name w:val="Unresolved Mention"/>
    <w:basedOn w:val="DefaultParagraphFont"/>
    <w:uiPriority w:val="99"/>
    <w:semiHidden/>
    <w:unhideWhenUsed/>
    <w:rsid w:val="006F4944"/>
    <w:rPr>
      <w:color w:val="605E5C"/>
      <w:shd w:val="clear" w:color="auto" w:fill="E1DFDD"/>
    </w:rPr>
  </w:style>
  <w:style w:type="character" w:styleId="FollowedHyperlink">
    <w:name w:val="FollowedHyperlink"/>
    <w:basedOn w:val="DefaultParagraphFont"/>
    <w:uiPriority w:val="99"/>
    <w:semiHidden/>
    <w:unhideWhenUsed/>
    <w:rsid w:val="00262CAD"/>
    <w:rPr>
      <w:color w:val="800080" w:themeColor="followedHyperlink"/>
      <w:u w:val="single"/>
    </w:rPr>
  </w:style>
  <w:style w:type="character" w:styleId="HTMLCode">
    <w:name w:val="HTML Code"/>
    <w:basedOn w:val="DefaultParagraphFont"/>
    <w:uiPriority w:val="99"/>
    <w:semiHidden/>
    <w:unhideWhenUsed/>
    <w:rsid w:val="006764D8"/>
    <w:rPr>
      <w:rFonts w:ascii="Courier New" w:eastAsia="Times New Roman" w:hAnsi="Courier New" w:cs="Courier New"/>
      <w:sz w:val="20"/>
      <w:szCs w:val="20"/>
    </w:rPr>
  </w:style>
  <w:style w:type="character" w:customStyle="1" w:styleId="apple-converted-space">
    <w:name w:val="apple-converted-space"/>
    <w:basedOn w:val="DefaultParagraphFont"/>
    <w:rsid w:val="006764D8"/>
  </w:style>
  <w:style w:type="paragraph" w:styleId="NormalWeb">
    <w:name w:val="Normal (Web)"/>
    <w:basedOn w:val="Normal"/>
    <w:uiPriority w:val="99"/>
    <w:semiHidden/>
    <w:unhideWhenUsed/>
    <w:rsid w:val="00415476"/>
    <w:pPr>
      <w:spacing w:before="100" w:beforeAutospacing="1" w:afterAutospacing="1" w:line="240" w:lineRule="auto"/>
    </w:pPr>
    <w:rPr>
      <w:rFonts w:ascii="Times New Roman" w:eastAsia="Times New Roman" w:hAnsi="Times New Roman" w:cs="Times New Roman"/>
      <w:sz w:val="24"/>
      <w:szCs w:val="24"/>
      <w:lang w:eastAsia="zh-CN"/>
    </w:rPr>
  </w:style>
  <w:style w:type="paragraph" w:customStyle="1" w:styleId="pdq2pgselectionanchorcontainer">
    <w:name w:val="pdq2pg_selectionanchorcontainer"/>
    <w:basedOn w:val="Normal"/>
    <w:rsid w:val="0058499E"/>
    <w:pPr>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zoeyluq-data.github.io/HFM-Calculato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github.com/MatthewFaiello/school_funding_models.git" TargetMode="External"/><Relationship Id="rId2" Type="http://schemas.openxmlformats.org/officeDocument/2006/relationships/customXml" Target="../customXml/item2.xml"/><Relationship Id="rId16" Type="http://schemas.openxmlformats.org/officeDocument/2006/relationships/hyperlink" Target="https://zoeyluq-data.github.io/HFM-Calculato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atthewFaiello/school_funding_models.git"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461E8E4F7969D4C8BCB20B321513B3F" ma:contentTypeVersion="12" ma:contentTypeDescription="Create a new document." ma:contentTypeScope="" ma:versionID="02301ece707c47d55064c1462317e872">
  <xsd:schema xmlns:xsd="http://www.w3.org/2001/XMLSchema" xmlns:xs="http://www.w3.org/2001/XMLSchema" xmlns:p="http://schemas.microsoft.com/office/2006/metadata/properties" xmlns:ns2="6ebc68b0-7f3c-4577-b3f0-5291d71a0faf" targetNamespace="http://schemas.microsoft.com/office/2006/metadata/properties" ma:root="true" ma:fieldsID="c0ae8da7727f67fdcf1f40ff4ad57e3e" ns2:_="">
    <xsd:import namespace="6ebc68b0-7f3c-4577-b3f0-5291d71a0f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c68b0-7f3c-4577-b3f0-5291d71a0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a00141d-80f0-4ca7-8ba9-0163cf3648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bc68b0-7f3c-4577-b3f0-5291d71a0fa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B3B6E3E-46C7-4F65-BC12-EA52EA536E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c68b0-7f3c-4577-b3f0-5291d71a0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E3224E-DCA3-4CCB-B405-9152436E6E44}">
  <ds:schemaRefs>
    <ds:schemaRef ds:uri="http://schemas.microsoft.com/office/2006/metadata/properties"/>
    <ds:schemaRef ds:uri="http://schemas.microsoft.com/office/infopath/2007/PartnerControls"/>
    <ds:schemaRef ds:uri="6ebc68b0-7f3c-4577-b3f0-5291d71a0faf"/>
  </ds:schemaRefs>
</ds:datastoreItem>
</file>

<file path=customXml/itemProps4.xml><?xml version="1.0" encoding="utf-8"?>
<ds:datastoreItem xmlns:ds="http://schemas.openxmlformats.org/officeDocument/2006/customXml" ds:itemID="{C5CB13DD-5C57-4079-A37C-D6D04BF0D4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35</Pages>
  <Words>14506</Words>
  <Characters>82689</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Delaware School Funding Model Independent Verification and Validation Analysis</vt:lpstr>
    </vt:vector>
  </TitlesOfParts>
  <Manager/>
  <Company/>
  <LinksUpToDate>false</LinksUpToDate>
  <CharactersWithSpaces>97001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Delaware School Funding Model Independent Verification and Validation Analysis</dc:title>
  <dc:subject>School Year 2025-26 narrative IV&amp;V report</dc:subject>
  <dc:creator>LuQiu ChuYi (Zoey)(Contractor)</dc:creator>
  <cp:keywords>Delaware, school funding, IV&amp;V, PEFC, staffing, Opportunity Funding, Operational Funding</cp:keywords>
  <dc:description>Prepared from the authoritative school_funding_model pipeline and July 24, 2026 completed run.</dc:description>
  <cp:lastModifiedBy>Mayes Amanda</cp:lastModifiedBy>
  <cp:revision>148</cp:revision>
  <dcterms:created xsi:type="dcterms:W3CDTF">2026-08-10T18:42:00Z</dcterms:created>
  <dcterms:modified xsi:type="dcterms:W3CDTF">2026-08-19T15:33:00Z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0x0101005461E8E4F7969D4C8BCB20B321513B3F</vt:lpwstr>
  </property>
  <property fmtid="{D5CDD505-2E9C-101B-9397-08002B2CF9AE}" pid="3" name="MediaServiceImageTags">
    <vt:lpwstr/>
  </property>
</Properties>
</file>