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Inertia and the Path to Operational Excellence: A Comparative Analysis of Modern Organizational Challenges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industrial landscape is characterized by a fundamental tension between legacy operational models and the exigencies of a hyper-connected, data-saturated global economy. Organizations often find themselves trapped in a "Before" state, characterized by five specific structural inhibitors: Predictability issues, Transparency deficits, Expertise-dependent Planning, Habit-based Selection, and Siloed Organisation. These factors collectively constitute a state of institutional inertia that not only erodes current profitability but also compromises long-term strategic viability. To move toward an optimized "After" state, enterprises must navigate a transition from anecdotal, manual, and fragmented processes to a paradigm of algorithmic precision, radical transparency, and integrated orchestration. This report provides an exhaustive examination of these five organizational challenges, synthesizing qualitative insights with rigorous quantitative data to delineate the mechanisms of institutional failure and the strategies for systemic recovery.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Predictability: The Economic Cost of Uncertainty and Inconsistency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many legacy organizations, delivery and operational outcomes are treated as inherently uncertain, with performance managed through broad estimates and flexible ranges rather than precise commitments. This lack of predictability creates a cascade of inefficiencies that begins at the individual shift level and culminates in massive macroeconomic productivity losses. The qualitative experience of unpredictability often manifests as a breakdown of the psychological contract between the organization and its workforce, leading to a state of chronic disengagement.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Behavior and Schedule Inadherence in Retail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driver of unpredictability within labor-intensive sectors, particularly retail, is the prevalence of inconsistent work schedules. Research indicates that inconsistent schedules are remarkably common, affecting approximately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9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shifts, representing some </w:t>
      </w:r>
      <w:r w:rsidDel="00000000" w:rsidR="00000000" w:rsidRPr="00000000">
        <w:rPr>
          <w:rFonts w:ascii="Google Sans" w:cs="Google Sans" w:eastAsia="Google Sans" w:hAnsi="Google Sans"/>
          <w:color w:val="1f1f1f"/>
        </w:rPr>
        <w:drawing>
          <wp:inline distB="19050" distT="19050" distL="19050" distR="19050">
            <wp:extent cx="286941" cy="191294"/>
            <wp:effectExtent b="0" l="0" r="0" t="0"/>
            <wp:docPr id="97" name="image71.png"/>
            <a:graphic>
              <a:graphicData uri="http://schemas.openxmlformats.org/drawingml/2006/picture">
                <pic:pic>
                  <pic:nvPicPr>
                    <pic:cNvPr id="0" name="image71.png"/>
                    <pic:cNvPicPr preferRelativeResize="0"/>
                  </pic:nvPicPr>
                  <pic:blipFill>
                    <a:blip r:embed="rId7"/>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shifts in analyzed datasets.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inconsistencies do not merely represent administrative fluidity; they act as a direct causal driver of lateness and absenteeism. When managers disregard employee availability or preferences, the workforce responds through "quiet protest" or disengagement, prioritizing external personal obligations over organizational goals.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quantitative impact of this behavioral unpredictability is substantial. In the retail sector, schedule inadherence is a pervasive issue, with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96"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shifts marked by absenteeism and </w:t>
      </w:r>
      <w:r w:rsidDel="00000000" w:rsidR="00000000" w:rsidRPr="00000000">
        <w:rPr>
          <w:rFonts w:ascii="Google Sans" w:cs="Google Sans" w:eastAsia="Google Sans" w:hAnsi="Google Sans"/>
          <w:color w:val="1f1f1f"/>
        </w:rPr>
        <w:drawing>
          <wp:inline distB="19050" distT="19050" distL="19050" distR="19050">
            <wp:extent cx="245864" cy="217495"/>
            <wp:effectExtent b="0" l="0" r="0" t="0"/>
            <wp:docPr id="99"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245864" cy="21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lateness of at least ten minutes.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financial ramifications of these figures are profound. Analysis suggests that unscheduled absenteeism costs approximately </w:t>
      </w:r>
      <w:r w:rsidDel="00000000" w:rsidR="00000000" w:rsidRPr="00000000">
        <w:rPr>
          <w:rFonts w:ascii="Google Sans" w:cs="Google Sans" w:eastAsia="Google Sans" w:hAnsi="Google Sans"/>
          <w:color w:val="1f1f1f"/>
        </w:rPr>
        <w:drawing>
          <wp:inline distB="19050" distT="19050" distL="19050" distR="19050">
            <wp:extent cx="475357" cy="190143"/>
            <wp:effectExtent b="0" l="0" r="0" t="0"/>
            <wp:docPr id="98"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475357" cy="190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year for each hourly worker and </w:t>
      </w:r>
      <w:r w:rsidDel="00000000" w:rsidR="00000000" w:rsidRPr="00000000">
        <w:rPr>
          <w:rFonts w:ascii="Google Sans" w:cs="Google Sans" w:eastAsia="Google Sans" w:hAnsi="Google Sans"/>
          <w:color w:val="1f1f1f"/>
        </w:rPr>
        <w:drawing>
          <wp:inline distB="19050" distT="19050" distL="19050" distR="19050">
            <wp:extent cx="475357" cy="190143"/>
            <wp:effectExtent b="0" l="0" r="0" t="0"/>
            <wp:docPr id="102"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475357" cy="190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year for salaried employees.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 a national scale, the annual cost of lost productivity due to absenteeism in the United States alone reaches an estimated </w:t>
      </w:r>
      <w:r w:rsidDel="00000000" w:rsidR="00000000" w:rsidRPr="00000000">
        <w:rPr>
          <w:rFonts w:ascii="Google Sans" w:cs="Google Sans" w:eastAsia="Google Sans" w:hAnsi="Google Sans"/>
          <w:color w:val="1f1f1f"/>
        </w:rPr>
        <w:drawing>
          <wp:inline distB="19050" distT="19050" distL="19050" distR="19050">
            <wp:extent cx="242144" cy="193715"/>
            <wp:effectExtent b="0" l="0" r="0" t="0"/>
            <wp:docPr id="100"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242144" cy="1937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billion.</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Predictability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Inconsistent Scheduling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Prevalence of Inconsistent Shifts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106"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286941" cy="191294"/>
                  <wp:effectExtent b="0" l="0" r="0" t="0"/>
                  <wp:docPr id="104" name="image71.png"/>
                  <a:graphic>
                    <a:graphicData uri="http://schemas.openxmlformats.org/drawingml/2006/picture">
                      <pic:pic>
                        <pic:nvPicPr>
                          <pic:cNvPr id="0" name="image71.png"/>
                          <pic:cNvPicPr preferRelativeResize="0"/>
                        </pic:nvPicPr>
                        <pic:blipFill>
                          <a:blip r:embed="rId7"/>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million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 Inadherence Rate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111"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206275" cy="187523"/>
                  <wp:effectExtent b="0" l="0" r="0" t="0"/>
                  <wp:docPr id="108"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million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Absenteeism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38138" cy="216032"/>
                  <wp:effectExtent b="0" l="0" r="0" t="0"/>
                  <wp:docPr id="110"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38138" cy="216032"/>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Lateness Rate (</w:t>
            </w:r>
            <w:r w:rsidDel="00000000" w:rsidR="00000000" w:rsidRPr="00000000">
              <w:rPr>
                <w:rFonts w:ascii="Google Sans" w:cs="Google Sans" w:eastAsia="Google Sans" w:hAnsi="Google Sans"/>
                <w:color w:val="1f1f1f"/>
                <w:shd w:fill="auto" w:val="clear"/>
              </w:rPr>
              <w:drawing>
                <wp:inline distB="19050" distT="19050" distL="19050" distR="19050">
                  <wp:extent cx="331887" cy="189650"/>
                  <wp:effectExtent b="0" l="0" r="0" t="0"/>
                  <wp:docPr id="113" name="image80.png"/>
                  <a:graphic>
                    <a:graphicData uri="http://schemas.openxmlformats.org/drawingml/2006/picture">
                      <pic:pic>
                        <pic:nvPicPr>
                          <pic:cNvPr id="0" name="image80.png"/>
                          <pic:cNvPicPr preferRelativeResize="0"/>
                        </pic:nvPicPr>
                        <pic:blipFill>
                          <a:blip r:embed="rId15"/>
                          <a:srcRect b="0" l="0" r="0" t="0"/>
                          <a:stretch>
                            <a:fillRect/>
                          </a:stretch>
                        </pic:blipFill>
                        <pic:spPr>
                          <a:xfrm>
                            <a:off x="0" y="0"/>
                            <a:ext cx="331887" cy="18965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minutes)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5864" cy="217495"/>
                  <wp:effectExtent b="0" l="0" r="0" t="0"/>
                  <wp:docPr id="115"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245864" cy="21749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Cost of Absenteeism (Hourly)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75357" cy="190143"/>
                  <wp:effectExtent b="0" l="0" r="0" t="0"/>
                  <wp:docPr id="116"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475357" cy="1901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 worker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Cost of Absenteeism (Salaried)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75357" cy="190143"/>
                  <wp:effectExtent b="0" l="0" r="0" t="0"/>
                  <wp:docPr id="117"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475357" cy="19014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 worker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Productivity Loss (U.S.)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2144" cy="193715"/>
                  <wp:effectExtent b="0" l="0" r="0" t="0"/>
                  <wp:docPr id="118" name="image69.png"/>
                  <a:graphic>
                    <a:graphicData uri="http://schemas.openxmlformats.org/drawingml/2006/picture">
                      <pic:pic>
                        <pic:nvPicPr>
                          <pic:cNvPr id="0" name="image69.png"/>
                          <pic:cNvPicPr preferRelativeResize="0"/>
                        </pic:nvPicPr>
                        <pic:blipFill>
                          <a:blip r:embed="rId12"/>
                          <a:srcRect b="0" l="0" r="0" t="0"/>
                          <a:stretch>
                            <a:fillRect/>
                          </a:stretch>
                        </pic:blipFill>
                        <pic:spPr>
                          <a:xfrm>
                            <a:off x="0" y="0"/>
                            <a:ext cx="242144" cy="1937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Billion</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behind this unpredictability is often a managerial response to demand shocks or labor supply volatility. However, these reactive adjustments create a self-reinforcing cycle of instability. Employees whose regular routines—including sleep patterns and family commitments—are disrupted by unpredictable schedules experience lower job satisfaction and morale.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erosion of the organizational climate leads to higher turnover, which further destabilizes the labor supply, necessitating more reactive, unpredictable scheduling.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Chain Resilience and Integration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Predictability at the organizational level is also deeply tied to Supply Chain Resilience (SCR) and Supply Chain Integration (SCI). External shocks, ranging from geopolitical conflicts to natural calamities, introduce risks that can delay operations and inflate costs.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an environment where delivery is treated as inherently uncertain, these risks are often managed through reactive mitigation rather than proactive integration.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demonstrates that demand uncertainty acts as a critical moderator in the relationship between supply chain risk and organizational performance.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integration serves as a buffer that ensures stability and efficiency, the presence of high demand volatility can overwhelm unintegrated systems, leading to production delays and increased operational expenses.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Inefficient risk management in these contexts exacerbates partner uncertainty, creating a "ripple effect" where disruptions in one node of the supply chain amplify inefficiencies in others.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Predictive Delta in Project Management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shift toward predictability is increasingly measured through redefined success criteria in project management. The "Before" state often relies on the "Iron Triangle"—on-time, on-budget, and within-scope delivery—which, while important, fails to account for long-term value creation. The Project Management Institute’s (PMI) </w:t>
      </w:r>
      <w:r w:rsidDel="00000000" w:rsidR="00000000" w:rsidRPr="00000000">
        <w:rPr>
          <w:rFonts w:ascii="Google Sans" w:cs="Google Sans" w:eastAsia="Google Sans" w:hAnsi="Google Sans"/>
          <w:color w:val="1f1f1f"/>
        </w:rPr>
        <w:drawing>
          <wp:inline distB="19050" distT="19050" distL="19050" distR="19050">
            <wp:extent cx="368945" cy="217583"/>
            <wp:effectExtent b="0" l="0" r="0" t="0"/>
            <wp:docPr id="119"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368945" cy="217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research highlights a Global Net Project Success Score (NPSS) of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20"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metric that underscores the difficulty of achieving consistent, high-value outcomes in a dynamic environment.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Predictability is significantly enhanced by business acumen among project professionals. Those with high business acumen proficiency achieve markedly better results than their peers, with failure rates dropping to just </w:t>
      </w:r>
      <w:r w:rsidDel="00000000" w:rsidR="00000000" w:rsidRPr="00000000">
        <w:rPr>
          <w:rFonts w:ascii="Google Sans" w:cs="Google Sans" w:eastAsia="Google Sans" w:hAnsi="Google Sans"/>
          <w:color w:val="1f1f1f"/>
        </w:rPr>
        <w:drawing>
          <wp:inline distB="19050" distT="19050" distL="19050" distR="19050">
            <wp:extent cx="215206" cy="187136"/>
            <wp:effectExtent b="0" l="0" r="0" t="0"/>
            <wp:docPr id="12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15206" cy="1871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8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those with low proficiency—a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85"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improvement.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high-performing professionals are more likely to meet business objectives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86"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88" name="image76.png"/>
            <a:graphic>
              <a:graphicData uri="http://schemas.openxmlformats.org/drawingml/2006/picture">
                <pic:pic>
                  <pic:nvPicPr>
                    <pic:cNvPr id="0" name="image76.png"/>
                    <pic:cNvPicPr preferRelativeResize="0"/>
                  </pic:nvPicPr>
                  <pic:blipFill>
                    <a:blip r:embed="rId22"/>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adhere to budgets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8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9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schedules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91"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9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Business Acumen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Business Acumen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Meets Business Objectives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93"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94" name="image76.png"/>
                  <a:graphic>
                    <a:graphicData uri="http://schemas.openxmlformats.org/drawingml/2006/picture">
                      <pic:pic>
                        <pic:nvPicPr>
                          <pic:cNvPr id="0" name="image76.png"/>
                          <pic:cNvPicPr preferRelativeResize="0"/>
                        </pic:nvPicPr>
                        <pic:blipFill>
                          <a:blip r:embed="rId22"/>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06425" cy="187659"/>
                  <wp:effectExtent b="0" l="0" r="0" t="0"/>
                  <wp:docPr id="2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06425" cy="1876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Budget Adherence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2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23"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06425" cy="187659"/>
                  <wp:effectExtent b="0" l="0" r="0" t="0"/>
                  <wp:docPr id="2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06425" cy="1876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 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25"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2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06425" cy="187659"/>
                  <wp:effectExtent b="0" l="0" r="0" t="0"/>
                  <wp:docPr id="2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06425" cy="1876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 Failure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15206" cy="187136"/>
                  <wp:effectExtent b="0" l="0" r="0" t="0"/>
                  <wp:docPr id="2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15206" cy="18713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2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95870" cy="19088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1481" cy="191582"/>
                  <wp:effectExtent b="0" l="0" r="0" t="0"/>
                  <wp:docPr id="30"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421481" cy="1915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(Relative)</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the "Before" state of inherent uncertainty to the "After" state of predictable value requires organizations to move beyond the mean. Managing performance based solely on average outcomes without understanding variance leads to suboptimal quality and inefficient service delivery.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True predictability is achieved when organizations implement "relentless cadences" of measurement and establish performance infrastructures that track goals in real-time.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Transparency: Navigating the Gap Between Anecdote and Audit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Transparency represents the second pillar of organizational maturity. In the legacy state, the performance of people, tools, materials, and partners is frequently described as "opaque" or "anecdotal." Qualitative assessments of performance are often based on subjective impressions or periodic reviews rather than continuous, objective data flows. This lack of transparency undermines trust, hinders decision-making, and creates a culture where "productivity theater" can flourish at the expense of genuine impact.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 Premium and Market Valuation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transparency and trust is quantifiable and direct. Deloitte research suggests that companies deemed "trustworthy" by their stakeholders tend to outperform their competitors by up to four times, measured by market value.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"trust premium" is rooted in the increased efficiency that transparency provides. In high-trust organizations, workers are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less likely to leave, </w:t>
      </w:r>
      <w:r w:rsidDel="00000000" w:rsidR="00000000" w:rsidRPr="00000000">
        <w:rPr>
          <w:rFonts w:ascii="Google Sans" w:cs="Google Sans" w:eastAsia="Google Sans" w:hAnsi="Google Sans"/>
          <w:color w:val="1f1f1f"/>
        </w:rPr>
        <w:drawing>
          <wp:inline distB="19050" distT="19050" distL="19050" distR="19050">
            <wp:extent cx="430262" cy="219912"/>
            <wp:effectExtent b="0" l="0" r="0" t="0"/>
            <wp:docPr id="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30262" cy="219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more likely to be motivated, and </w:t>
      </w:r>
      <w:r w:rsidDel="00000000" w:rsidR="00000000" w:rsidRPr="00000000">
        <w:rPr>
          <w:rFonts w:ascii="Google Sans" w:cs="Google Sans" w:eastAsia="Google Sans" w:hAnsi="Google Sans"/>
          <w:color w:val="1f1f1f"/>
        </w:rPr>
        <w:drawing>
          <wp:inline distB="19050" distT="19050" distL="19050" distR="19050">
            <wp:extent cx="430262" cy="219912"/>
            <wp:effectExtent b="0" l="0" r="0" t="0"/>
            <wp:docPr id="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30262" cy="219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more likely to take on extra responsibilities.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 lack of transparency creates a toxic environment characterized by confusion and disengagement. Only </w:t>
      </w:r>
      <w:r w:rsidDel="00000000" w:rsidR="00000000" w:rsidRPr="00000000">
        <w:rPr>
          <w:rFonts w:ascii="Google Sans" w:cs="Google Sans" w:eastAsia="Google Sans" w:hAnsi="Google Sans"/>
          <w:color w:val="1f1f1f"/>
        </w:rPr>
        <w:drawing>
          <wp:inline distB="19050" distT="19050" distL="19050" distR="19050">
            <wp:extent cx="295870" cy="190884"/>
            <wp:effectExtent b="0" l="0" r="0" t="0"/>
            <wp:docPr id="4"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employees report feeling clear about their company’s strategies.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disconnect leads to a state where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workforce is operating without a clear understanding of the broader organizational objectives, resulting in wasted effort and misaligned priorities.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Risks: Productivity Theater and the Spotlight Effect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Transparency initiatives, if poorly implemented, can lead to perverse behavioral outcomes. When organizations implement surveillance-like monitoring without clear communication of intent, employees may engage in "gaming the system" to protect themselves.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includes "productivity theater," where workers simulate activity—such as using mouse-moving devices to trick tracking software—without actually producing value.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extreme transparency can trigger the "spotlight effect," particularly among creative workers. When individuals believe their early-stage experiments or ideas could be made public and subjected to immediate scrutiny, they avoid risk-taking.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Research by Bernstein indicates that many workers conceal their most creative thinking from management to avoid being punished for straying from organizational norms.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 Impact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Positive Outcomes (Transparent)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Negative Outcomes (Opaque)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Financial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73236" cy="202109"/>
                  <wp:effectExtent b="0" l="0" r="0" t="0"/>
                  <wp:docPr id="6"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73236" cy="20210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higher market value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Stagnant or declining margins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38138" cy="216032"/>
                  <wp:effectExtent b="0" l="0" r="0" t="0"/>
                  <wp:docPr id="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lower turnover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recruitment and training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Alignment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76535" cy="188267"/>
                  <wp:effectExtent b="0" l="0" r="0" t="0"/>
                  <wp:docPr id="8"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76535" cy="1882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clarity on goals (Theoretical)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Only </w:t>
            </w:r>
            <w:r w:rsidDel="00000000" w:rsidR="00000000" w:rsidRPr="00000000">
              <w:rPr>
                <w:rFonts w:ascii="Google Sans" w:cs="Google Sans" w:eastAsia="Google Sans" w:hAnsi="Google Sans"/>
                <w:color w:val="1f1f1f"/>
                <w:shd w:fill="auto" w:val="clear"/>
              </w:rPr>
              <w:drawing>
                <wp:inline distB="19050" distT="19050" distL="19050" distR="19050">
                  <wp:extent cx="295870" cy="190884"/>
                  <wp:effectExtent b="0" l="0" r="0" t="0"/>
                  <wp:docPr id="9"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295870" cy="19088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of employees are clear on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Workforce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ownership and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Productivity theater / impression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Innovation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Shared risk and experimentation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"Spotlight effect" / concealment of ideas</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Data-Driven Decision Gap</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anecdotal to transparent performance management is best illustrated by the divide between "data-to-value leaders" and late adopters. A Harvard Business Review study conducted for Google Cloud found that organizations that prioritized high-quality, integrated data during periods of disruption outperformed their peers across every key performance indicator.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Data-to-value leaders achieve higher scores in operational efficiency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0"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3"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revenue growth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4"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5"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customer loyalty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6"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7"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Crucially,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these leaders have a clear enterprise strategy for extracting value from data, compared to only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49"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other respondents.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transparency provided by these data initiatives allows for real-time decision-making, which is essential for navigating supply shocks and labor shortages.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role of artificial intelligence (AI) in enhancing transparency is also growing. Organizations utilizing AI for analytics report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0"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improvement in decision-making speed.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AI-driven tools can reduce errors in market trend forecasting by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legacy systems.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democratizing access to these tools, organizations can ensure that transparency is not merely a top-down reporting mechanism but a distributed capability that empowers every level of the workforce.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Planning: From Expertise-Dependency to Algorithmic Orchestration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organizational challenge is the reliance on manual, expertise-dependent planning. In the "Before" state, planning is often a periodic exercise, refreshed only after significant delays and heavily reliant on the "tribal knowledge" of a few key individuals. This creates significant operational risks, including single points of failure (SPOF) and a lack of scalability.</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Manual Tasks and Task Switching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Manual planning and administrative tasks represent a massive drain on organizational productivity. Research shows that employees spend an average of </w:t>
      </w:r>
      <w:r w:rsidDel="00000000" w:rsidR="00000000" w:rsidRPr="00000000">
        <w:rPr>
          <w:rFonts w:ascii="Google Sans" w:cs="Google Sans" w:eastAsia="Google Sans" w:hAnsi="Google Sans"/>
          <w:color w:val="1f1f1f"/>
        </w:rPr>
        <w:drawing>
          <wp:inline distB="19050" distT="19050" distL="19050" distR="19050">
            <wp:extent cx="80814" cy="202034"/>
            <wp:effectExtent b="0" l="0" r="0" t="0"/>
            <wp:docPr id="5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42"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daily on repetitive, manual tasks that could be automated.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a mid-sized business with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33"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employees, this translates to over </w:t>
      </w:r>
      <w:r w:rsidDel="00000000" w:rsidR="00000000" w:rsidRPr="00000000">
        <w:rPr>
          <w:rFonts w:ascii="Google Sans" w:cs="Google Sans" w:eastAsia="Google Sans" w:hAnsi="Google Sans"/>
          <w:color w:val="1f1f1f"/>
        </w:rPr>
        <w:drawing>
          <wp:inline distB="19050" distT="19050" distL="19050" distR="19050">
            <wp:extent cx="543222" cy="219195"/>
            <wp:effectExtent b="0" l="0" r="0" t="0"/>
            <wp:docPr id="34"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43222" cy="219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of wasted productivity annually.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cost of this manual labor is significant. Using a standardized labor cost model: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3906"/>
            <wp:effectExtent b="0" l="0" r="0" t="0"/>
            <wp:docPr id="35"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905500" cy="323906"/>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42975" cy="228600"/>
            <wp:effectExtent b="0" l="0" r="0" t="0"/>
            <wp:docPr id="36" name="image54.png"/>
            <a:graphic>
              <a:graphicData uri="http://schemas.openxmlformats.org/drawingml/2006/picture">
                <pic:pic>
                  <pic:nvPicPr>
                    <pic:cNvPr id="0" name="image54.png"/>
                    <pic:cNvPicPr preferRelativeResize="0"/>
                  </pic:nvPicPr>
                  <pic:blipFill>
                    <a:blip r:embed="rId49"/>
                    <a:srcRect b="0" l="0" r="0" t="0"/>
                    <a:stretch>
                      <a:fillRect/>
                    </a:stretch>
                  </pic:blipFill>
                  <pic:spPr>
                    <a:xfrm>
                      <a:off x="0" y="0"/>
                      <a:ext cx="9429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hour (based on a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37"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annual salary)</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87313" cy="228984"/>
            <wp:effectExtent b="0" l="0" r="0" t="0"/>
            <wp:docPr id="38" name="image63.png"/>
            <a:graphic>
              <a:graphicData uri="http://schemas.openxmlformats.org/drawingml/2006/picture">
                <pic:pic>
                  <pic:nvPicPr>
                    <pic:cNvPr id="0" name="image63.png"/>
                    <pic:cNvPicPr preferRelativeResize="0"/>
                  </pic:nvPicPr>
                  <pic:blipFill>
                    <a:blip r:embed="rId51"/>
                    <a:srcRect b="0" l="0" r="0" t="0"/>
                    <a:stretch>
                      <a:fillRect/>
                    </a:stretch>
                  </pic:blipFill>
                  <pic:spPr>
                    <a:xfrm>
                      <a:off x="0" y="0"/>
                      <a:ext cx="887313" cy="2289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spent on manual tasks</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75865" cy="229615"/>
            <wp:effectExtent b="0" l="0" r="0" t="0"/>
            <wp:docPr id="39"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975865" cy="2296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working days per year</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84647" cy="229432"/>
            <wp:effectExtent b="0" l="0" r="0" t="0"/>
            <wp:docPr id="40"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984647" cy="2294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employees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yields an annual cost of </w:t>
      </w:r>
      <w:r w:rsidDel="00000000" w:rsidR="00000000" w:rsidRPr="00000000">
        <w:rPr>
          <w:rFonts w:ascii="Google Sans" w:cs="Google Sans" w:eastAsia="Google Sans" w:hAnsi="Google Sans"/>
          <w:color w:val="1f1f1f"/>
        </w:rPr>
        <w:drawing>
          <wp:inline distB="19050" distT="19050" distL="19050" distR="19050">
            <wp:extent cx="901898" cy="218354"/>
            <wp:effectExtent b="0" l="0" r="0" t="0"/>
            <wp:docPr id="41"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901898" cy="21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single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31"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-person entity.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Furthermore, knowledge workers in manual environments switch tasks every </w:t>
      </w:r>
      <w:r w:rsidDel="00000000" w:rsidR="00000000" w:rsidRPr="00000000">
        <w:rPr>
          <w:rFonts w:ascii="Google Sans" w:cs="Google Sans" w:eastAsia="Google Sans" w:hAnsi="Google Sans"/>
          <w:color w:val="1f1f1f"/>
        </w:rPr>
        <w:drawing>
          <wp:inline distB="19050" distT="19050" distL="19050" distR="19050">
            <wp:extent cx="80814" cy="202034"/>
            <wp:effectExtent b="0" l="0" r="0" t="0"/>
            <wp:docPr id="3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67" name="image82.png"/>
            <a:graphic>
              <a:graphicData uri="http://schemas.openxmlformats.org/drawingml/2006/picture">
                <pic:pic>
                  <pic:nvPicPr>
                    <pic:cNvPr id="0" name="image82.png"/>
                    <pic:cNvPicPr preferRelativeResize="0"/>
                  </pic:nvPicPr>
                  <pic:blipFill>
                    <a:blip r:embed="rId55"/>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 with each switch requiring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68"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69"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minutes to regain focus, creating a hidden "switching tax" that further erodes the quality of planning.</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Planning Process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Manual (Expertise-Dependent)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Automated (AI-Driven)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53900" cy="197478"/>
                  <wp:effectExtent b="0" l="0" r="0" t="0"/>
                  <wp:docPr id="70" name="image59.png"/>
                  <a:graphic>
                    <a:graphicData uri="http://schemas.openxmlformats.org/drawingml/2006/picture">
                      <pic:pic>
                        <pic:nvPicPr>
                          <pic:cNvPr id="0" name="image59.png"/>
                          <pic:cNvPicPr preferRelativeResize="0"/>
                        </pic:nvPicPr>
                        <pic:blipFill>
                          <a:blip r:embed="rId57"/>
                          <a:srcRect b="0" l="0" r="0" t="0"/>
                          <a:stretch>
                            <a:fillRect/>
                          </a:stretch>
                        </pic:blipFill>
                        <pic:spPr>
                          <a:xfrm>
                            <a:off x="0" y="0"/>
                            <a:ext cx="253900" cy="197478"/>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longer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61478" cy="189974"/>
                  <wp:effectExtent b="0" l="0" r="0" t="0"/>
                  <wp:docPr id="71"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161478" cy="1899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minutes per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Error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15206" cy="187136"/>
                  <wp:effectExtent b="0" l="0" r="0" t="0"/>
                  <wp:docPr id="72"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215206" cy="18713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 </w:t>
            </w:r>
            <w:r w:rsidDel="00000000" w:rsidR="00000000" w:rsidRPr="00000000">
              <w:rPr>
                <w:rFonts w:ascii="Google Sans" w:cs="Google Sans" w:eastAsia="Google Sans" w:hAnsi="Google Sans"/>
                <w:color w:val="1f1f1f"/>
                <w:shd w:fill="auto" w:val="clear"/>
              </w:rPr>
              <w:drawing>
                <wp:inline distB="19050" distT="19050" distL="19050" distR="19050">
                  <wp:extent cx="338138" cy="216032"/>
                  <wp:effectExtent b="0" l="0" r="0" t="0"/>
                  <wp:docPr id="73"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38138" cy="216032"/>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40667" cy="189260"/>
                  <wp:effectExtent b="0" l="0" r="0" t="0"/>
                  <wp:docPr id="74" name="image48.png"/>
                  <a:graphic>
                    <a:graphicData uri="http://schemas.openxmlformats.org/drawingml/2006/picture">
                      <pic:pic>
                        <pic:nvPicPr>
                          <pic:cNvPr id="0" name="image48.png"/>
                          <pic:cNvPicPr preferRelativeResize="0"/>
                        </pic:nvPicPr>
                        <pic:blipFill>
                          <a:blip r:embed="rId61"/>
                          <a:srcRect b="0" l="0" r="0" t="0"/>
                          <a:stretch>
                            <a:fillRect/>
                          </a:stretch>
                        </pic:blipFill>
                        <pic:spPr>
                          <a:xfrm>
                            <a:off x="0" y="0"/>
                            <a:ext cx="340667" cy="18926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Multiplier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8698" cy="202344"/>
                  <wp:effectExtent b="0" l="0" r="0" t="0"/>
                  <wp:docPr id="64" name="image60.png"/>
                  <a:graphic>
                    <a:graphicData uri="http://schemas.openxmlformats.org/drawingml/2006/picture">
                      <pic:pic>
                        <pic:nvPicPr>
                          <pic:cNvPr id="0" name="image60.png"/>
                          <pic:cNvPicPr preferRelativeResize="0"/>
                        </pic:nvPicPr>
                        <pic:blipFill>
                          <a:blip r:embed="rId62"/>
                          <a:srcRect b="0" l="0" r="0" t="0"/>
                          <a:stretch>
                            <a:fillRect/>
                          </a:stretch>
                        </pic:blipFill>
                        <pic:spPr>
                          <a:xfrm>
                            <a:off x="0" y="0"/>
                            <a:ext cx="298698" cy="2023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higher total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98698" cy="202344"/>
                  <wp:effectExtent b="0" l="0" r="0" t="0"/>
                  <wp:docPr id="65" name="image81.png"/>
                  <a:graphic>
                    <a:graphicData uri="http://schemas.openxmlformats.org/drawingml/2006/picture">
                      <pic:pic>
                        <pic:nvPicPr>
                          <pic:cNvPr id="0" name="image81.png"/>
                          <pic:cNvPicPr preferRelativeResize="0"/>
                        </pic:nvPicPr>
                        <pic:blipFill>
                          <a:blip r:embed="rId63"/>
                          <a:srcRect b="0" l="0" r="0" t="0"/>
                          <a:stretch>
                            <a:fillRect/>
                          </a:stretch>
                        </pic:blipFill>
                        <pic:spPr>
                          <a:xfrm>
                            <a:off x="0" y="0"/>
                            <a:ext cx="298698" cy="20234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(Baseline)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Labor Hour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06275" cy="187523"/>
                  <wp:effectExtent b="0" l="0" r="0" t="0"/>
                  <wp:docPr id="66"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hours/day on manual tasks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Primarily strategic 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Linear (Requires more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Exponential (Software-based)</w:t>
            </w:r>
          </w:p>
        </w:tc>
      </w:tr>
    </w:tbl>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Single Points of Failure and the Expertise Bottleneck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qualitative risk of expertise-dependent planning is the creation of single points of failure (SPOF). This occurs when critical knowledge or responsibility sits with just one person (e.g., "John" who plans his vacation around month-end closing because no one else understands the pivot tables).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absence of such an individual can stop an entire system from working, creating immense fragility.</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Expertise bottlenecks lead to burnout and "strategic paralysis." High-value employees who become the indispensable "human translators" between disconnected systems are often chronically overloaded, spending more time on data entry and reconciliation than on the high-level strategy they were hired to perform.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greatest risk to organizational agility is the loss of this undocumented knowledge; when an expert leaves, the team loses context and must relearn processes through costly trial and error.</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Productivity Gap in Construction and Engineering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construction industry provides a stark illustration of the consequences of manual, expertise-dependent planning. While sectors like manufacturing have embraced digital transformation to boost productivity by as much as </w:t>
      </w:r>
      <w:r w:rsidDel="00000000" w:rsidR="00000000" w:rsidRPr="00000000">
        <w:rPr>
          <w:rFonts w:ascii="Google Sans" w:cs="Google Sans" w:eastAsia="Google Sans" w:hAnsi="Google Sans"/>
          <w:color w:val="1f1f1f"/>
        </w:rPr>
        <w:drawing>
          <wp:inline distB="19050" distT="19050" distL="19050" distR="19050">
            <wp:extent cx="604540" cy="220705"/>
            <wp:effectExtent b="0" l="0" r="0" t="0"/>
            <wp:docPr id="57"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604540" cy="2207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since </w:t>
      </w:r>
      <w:r w:rsidDel="00000000" w:rsidR="00000000" w:rsidRPr="00000000">
        <w:rPr>
          <w:rFonts w:ascii="Google Sans" w:cs="Google Sans" w:eastAsia="Google Sans" w:hAnsi="Google Sans"/>
          <w:color w:val="1f1f1f"/>
        </w:rPr>
        <w:drawing>
          <wp:inline distB="19050" distT="19050" distL="19050" distR="19050">
            <wp:extent cx="368945" cy="217583"/>
            <wp:effectExtent b="0" l="0" r="0" t="0"/>
            <wp:docPr id="58"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368945" cy="217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construction productivity has remained nearly stagnant.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is largely due to industry fragmentation, where specialists operate in silos and project teams are transient, making it difficult to establish and replicate efficient ways of working.</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Digital transformation in this sector can unlock productivity gains of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9" name="image61.png"/>
            <a:graphic>
              <a:graphicData uri="http://schemas.openxmlformats.org/drawingml/2006/picture">
                <pic:pic>
                  <pic:nvPicPr>
                    <pic:cNvPr id="0" name="image61.png"/>
                    <pic:cNvPicPr preferRelativeResize="0"/>
                  </pic:nvPicPr>
                  <pic:blipFill>
                    <a:blip r:embed="rId67"/>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60"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cost reductions of </w:t>
      </w:r>
      <w:r w:rsidDel="00000000" w:rsidR="00000000" w:rsidRPr="00000000">
        <w:rPr>
          <w:rFonts w:ascii="Google Sans" w:cs="Google Sans" w:eastAsia="Google Sans" w:hAnsi="Google Sans"/>
          <w:color w:val="1f1f1f"/>
        </w:rPr>
        <w:drawing>
          <wp:inline distB="19050" distT="19050" distL="19050" distR="19050">
            <wp:extent cx="245864" cy="217495"/>
            <wp:effectExtent b="0" l="0" r="0" t="0"/>
            <wp:docPr id="61"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245864" cy="21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45864" cy="217495"/>
            <wp:effectExtent b="0" l="0" r="0" t="0"/>
            <wp:docPr id="62"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245864" cy="21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Successful transitions involve moving away from process-driven systems to holistic "project operating systems" that utilize advanced analytics to identify "float" in schedules and compress timelines.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training project engineers in "last planner" methods and "cold-eye reviews" can help produce predictable workflows and reduce the number of modifications needed during execution.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 Strategic Sourcing vs. Habitual Allocation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fourth organizational challenge centers on selection—how people, tools, materials, and partners are chosen. In the legacy state, these choices are often governed by habit, existing relationships, or the pursuit of the lowest immediate price. This "straight rebuy" mentality ignores the total cost of ownership (TCO) and exposes the organization to significant long-term risks.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Price-Based vs. Qualifications-Based Selection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Selection generally falls into two categories: Price-Based Selection (PBS) and Qualifications-Based Selection (QBS). PBS, which prioritizes the lowest bid, often leads to transactional relationships where quality is compromised to meet cost constraints.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approach creates a "race to the bottom" that can result in higher long-term risks and supply chain disruptions.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QBS prioritizes expertise, experience, and a proven track record. This fosters partnerships based on trust and competence, which significantly reduces conflict and improves project outcomes.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 holistic approach to selection should consider factors beyond price, including financial stability, compliance with industry regulations, sustainability (ESG) capabilities, and resilience in the face of uncertainty.</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Selection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Price-Based Selection (PBS)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Qualifications-Based Selection (QBS)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Immediate Cost / Bid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Expertise and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Relationship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 / Adversarial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Partnership / Collaborative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Long-Term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Potential for quality compromise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Focused on quality and competence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Trust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Based on verification of goods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Based on reliance on partner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Mitigation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(Price focus increases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(Expertise focus reduces risk)</w:t>
            </w:r>
          </w:p>
        </w:tc>
      </w:tr>
    </w:tbl>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Risks of Habit and Collusion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Reliance on habit-based selection is particularly dangerous in procurement, where it can hide collusive behavior. Research into procurement auctions indicates that cartels often designate winners and losers before the auction begins. Data-driven screens can identify these patterns; for example, if the initial lowest bidder remains the lowest bidder in a rebid more than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63"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time, even when bids are extremely close, it is a strong indicator of non-competitive collusion.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"straight rebuy" habit prevents organizations from identifying new, more innovative suppliers. In "modified rebuy" or "new task" situations, where uncertainty is higher, organizations need a Multi-Criteria Decision-Making (MCDM) model to compare historical suppliers against new entrants objectively.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that the selection process remains strategic rather than just habitual.</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Data-Driven Procurement and Innovation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Data-driven procurement represents the "After" state of the selection process. Advanced procurement teams use data to identify and manage partners that align with broader enterprise objectives, moving beyond simple cost-cutting to become "enterprise insight engines".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Data-driven functions are able to target cost savings of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3"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4"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analyzing purchase patterns and renegotiating terms based on historical data.</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cost, data-driven selection improves supplier management and risk mitigation. Organizations utilizing analytics in supplier management report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5"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56"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supplier-related risks and a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0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supply chain disruptions through the use of predictive analytics.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allows the procurement function to shift its resources from transactional administrative tasks to strategic activities like driving innovation from the supply base and ensuring sustainable practices.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Organisation: Reconciling the Siloed Enterprise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organizational challenge is the presence of functional silos and the reliance on manual data reconciliation. In the "Before" state, information is trapped within departments (e.g., Sales, Finance, Operations), leading to inconsistent records, duplicated efforts, and a lack of a "single source of truth." This fragmentation is not just an IT problem; it is a significant strategic liability that compromises organizational agility.</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Revenue Cost of Data Silos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impact of data silos is profound. Research by IDC suggests that companies lose between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03" name="image29.png"/>
            <a:graphic>
              <a:graphicData uri="http://schemas.openxmlformats.org/drawingml/2006/picture">
                <pic:pic>
                  <pic:nvPicPr>
                    <pic:cNvPr id="0" name="image29.png"/>
                    <pic:cNvPicPr preferRelativeResize="0"/>
                  </pic:nvPicPr>
                  <pic:blipFill>
                    <a:blip r:embed="rId70"/>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105"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their revenue annually due to inefficiencies caused by data silos.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a mid-sized business with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107"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in revenue, this represents a recurring loss of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09" name="image75.png"/>
            <a:graphic>
              <a:graphicData uri="http://schemas.openxmlformats.org/drawingml/2006/picture">
                <pic:pic>
                  <pic:nvPicPr>
                    <pic:cNvPr id="0" name="image75.png"/>
                    <pic:cNvPicPr preferRelativeResize="0"/>
                  </pic:nvPicPr>
                  <pic:blipFill>
                    <a:blip r:embed="rId72"/>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to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12" name="image74.png"/>
            <a:graphic>
              <a:graphicData uri="http://schemas.openxmlformats.org/drawingml/2006/picture">
                <pic:pic>
                  <pic:nvPicPr>
                    <pic:cNvPr id="0" name="image74.png"/>
                    <pic:cNvPicPr preferRelativeResize="0"/>
                  </pic:nvPicPr>
                  <pic:blipFill>
                    <a:blip r:embed="rId73"/>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every year.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On a global scale, data silos are estimated to cost the economy approximately </w:t>
      </w:r>
      <w:r w:rsidDel="00000000" w:rsidR="00000000" w:rsidRPr="00000000">
        <w:rPr>
          <w:rFonts w:ascii="Google Sans" w:cs="Google Sans" w:eastAsia="Google Sans" w:hAnsi="Google Sans"/>
          <w:color w:val="1f1f1f"/>
        </w:rPr>
        <w:drawing>
          <wp:inline distB="19050" distT="19050" distL="19050" distR="19050">
            <wp:extent cx="286941" cy="191294"/>
            <wp:effectExtent b="0" l="0" r="0" t="0"/>
            <wp:docPr id="18"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trillion annually in lost revenue and productivity.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Silos distort insight and slow down decision-making. When Sales uses a CRM that does not "talk" to the ERP used by Finance, the organization ends up with conflicting records. For instance, Sales may attempt to upsell a customer marked as "highly engaged" in the CRM, while Finance is simultaneously chasing that same customer for invoices </w:t>
      </w:r>
      <w:r w:rsidDel="00000000" w:rsidR="00000000" w:rsidRPr="00000000">
        <w:rPr>
          <w:rFonts w:ascii="Google Sans" w:cs="Google Sans" w:eastAsia="Google Sans" w:hAnsi="Google Sans"/>
          <w:color w:val="1f1f1f"/>
        </w:rPr>
        <w:drawing>
          <wp:inline distB="19050" distT="19050" distL="19050" distR="19050">
            <wp:extent cx="184547" cy="223399"/>
            <wp:effectExtent b="0" l="0" r="0" t="0"/>
            <wp:docPr id="17"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184547" cy="2233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days past due in the ERP.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erosion of customer trust and misaligned marketing effort is a direct consequence of fragmented organisation.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Siloed Organisation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Quantitative Consequence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Revenue Loss (Per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788789" cy="190070"/>
                  <wp:effectExtent b="0" l="0" r="0" t="0"/>
                  <wp:docPr id="21" name="image7.png"/>
                  <a:graphic>
                    <a:graphicData uri="http://schemas.openxmlformats.org/drawingml/2006/picture">
                      <pic:pic>
                        <pic:nvPicPr>
                          <pic:cNvPr id="0" name="image7.png"/>
                          <pic:cNvPicPr preferRelativeResize="0"/>
                        </pic:nvPicPr>
                        <pic:blipFill>
                          <a:blip r:embed="rId76"/>
                          <a:srcRect b="0" l="0" r="0" t="0"/>
                          <a:stretch>
                            <a:fillRect/>
                          </a:stretch>
                        </pic:blipFill>
                        <pic:spPr>
                          <a:xfrm>
                            <a:off x="0" y="0"/>
                            <a:ext cx="788789" cy="190070"/>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Economic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941" cy="191294"/>
                  <wp:effectExtent b="0" l="0" r="0" t="0"/>
                  <wp:docPr id="19"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Trillion annually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Average Cost of Poor Data Quality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367606" cy="188516"/>
                  <wp:effectExtent b="0" l="0" r="0" t="0"/>
                  <wp:docPr id="14" name="image19.png"/>
                  <a:graphic>
                    <a:graphicData uri="http://schemas.openxmlformats.org/drawingml/2006/picture">
                      <pic:pic>
                        <pic:nvPicPr>
                          <pic:cNvPr id="0" name="image19.png"/>
                          <pic:cNvPicPr preferRelativeResize="0"/>
                        </pic:nvPicPr>
                        <pic:blipFill>
                          <a:blip r:embed="rId77"/>
                          <a:srcRect b="0" l="0" r="0" t="0"/>
                          <a:stretch>
                            <a:fillRect/>
                          </a:stretch>
                        </pic:blipFill>
                        <pic:spPr>
                          <a:xfrm>
                            <a:off x="0" y="0"/>
                            <a:ext cx="367606" cy="18851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Million per organization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Reconciliation Time (Manual)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0814" cy="202034"/>
                  <wp:effectExtent b="0" l="0" r="0" t="0"/>
                  <wp:docPr id="13"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days (vs </w:t>
            </w:r>
            <w:r w:rsidDel="00000000" w:rsidR="00000000" w:rsidRPr="00000000">
              <w:rPr>
                <w:rFonts w:ascii="Google Sans" w:cs="Google Sans" w:eastAsia="Google Sans" w:hAnsi="Google Sans"/>
                <w:color w:val="1f1f1f"/>
                <w:shd w:fill="auto" w:val="clear"/>
              </w:rPr>
              <w:drawing>
                <wp:inline distB="19050" distT="19050" distL="19050" distR="19050">
                  <wp:extent cx="80814" cy="202034"/>
                  <wp:effectExtent b="0" l="0" r="0" t="0"/>
                  <wp:docPr id="16"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80814" cy="2020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days for automated)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Reconciliation Effort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35347" cy="218104"/>
                  <wp:effectExtent b="0" l="0" r="0" t="0"/>
                  <wp:docPr id="15"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person-hours per year (per 1,000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Time-to-Reconcile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1481" cy="191582"/>
                  <wp:effectExtent b="0" l="0" r="0" t="0"/>
                  <wp:docPr id="12" name="image8.png"/>
                  <a:graphic>
                    <a:graphicData uri="http://schemas.openxmlformats.org/drawingml/2006/picture">
                      <pic:pic>
                        <pic:nvPicPr>
                          <pic:cNvPr id="0" name="image8.png"/>
                          <pic:cNvPicPr preferRelativeResize="0"/>
                        </pic:nvPicPr>
                        <pic:blipFill>
                          <a:blip r:embed="rId80"/>
                          <a:srcRect b="0" l="0" r="0" t="0"/>
                          <a:stretch>
                            <a:fillRect/>
                          </a:stretch>
                        </pic:blipFill>
                        <pic:spPr>
                          <a:xfrm>
                            <a:off x="0" y="0"/>
                            <a:ext cx="421481" cy="19158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via unified systems</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Reconciliation and Operational Risk</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manual reconciliation of data across siloed systems is a massive administrative burden. A typical organization with </w:t>
      </w:r>
      <w:r w:rsidDel="00000000" w:rsidR="00000000" w:rsidRPr="00000000">
        <w:rPr>
          <w:rFonts w:ascii="Google Sans" w:cs="Google Sans" w:eastAsia="Google Sans" w:hAnsi="Google Sans"/>
          <w:color w:val="1f1f1f"/>
        </w:rPr>
        <w:drawing>
          <wp:inline distB="19050" distT="19050" distL="19050" distR="19050">
            <wp:extent cx="450950" cy="220678"/>
            <wp:effectExtent b="0" l="0" r="0" t="0"/>
            <wp:docPr id="11" name="image15.png"/>
            <a:graphic>
              <a:graphicData uri="http://schemas.openxmlformats.org/drawingml/2006/picture">
                <pic:pic>
                  <pic:nvPicPr>
                    <pic:cNvPr id="0" name="image15.png"/>
                    <pic:cNvPicPr preferRelativeResize="0"/>
                  </pic:nvPicPr>
                  <pic:blipFill>
                    <a:blip r:embed="rId81"/>
                    <a:srcRect b="0" l="0" r="0" t="0"/>
                    <a:stretch>
                      <a:fillRect/>
                    </a:stretch>
                  </pic:blipFill>
                  <pic:spPr>
                    <a:xfrm>
                      <a:off x="0" y="0"/>
                      <a:ext cx="450950" cy="220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employees spends approximately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87" name="image12.png"/>
            <a:graphic>
              <a:graphicData uri="http://schemas.openxmlformats.org/drawingml/2006/picture">
                <pic:pic>
                  <pic:nvPicPr>
                    <pic:cNvPr id="0" name="image12.png"/>
                    <pic:cNvPicPr preferRelativeResize="0"/>
                  </pic:nvPicPr>
                  <pic:blipFill>
                    <a:blip r:embed="rId79"/>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person-hours annually on account reconciliation—roughly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81" name="image21.png"/>
            <a:graphic>
              <a:graphicData uri="http://schemas.openxmlformats.org/drawingml/2006/picture">
                <pic:pic>
                  <pic:nvPicPr>
                    <pic:cNvPr id="0" name="image21.png"/>
                    <pic:cNvPicPr preferRelativeResize="0"/>
                  </pic:nvPicPr>
                  <pic:blipFill>
                    <a:blip r:embed="rId46"/>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hours per employee each year spent solely on matching records and investigating discrepancies.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reliance on manual checks is a critical operational flaw that prevents finance teams from focusing on strategic analysis and planning.</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manual data entry and reconciliation carry a high risk of human error. Human data entry typically achieves accuracy rates of only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80" name="image53.png"/>
            <a:graphic>
              <a:graphicData uri="http://schemas.openxmlformats.org/drawingml/2006/picture">
                <pic:pic>
                  <pic:nvPicPr>
                    <pic:cNvPr id="0" name="image53.png"/>
                    <pic:cNvPicPr preferRelativeResize="0"/>
                  </pic:nvPicPr>
                  <pic:blipFill>
                    <a:blip r:embed="rId82"/>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83" name="image55.png"/>
            <a:graphic>
              <a:graphicData uri="http://schemas.openxmlformats.org/drawingml/2006/picture">
                <pic:pic>
                  <pic:nvPicPr>
                    <pic:cNvPr id="0" name="image55.png"/>
                    <pic:cNvPicPr preferRelativeResize="0"/>
                  </pic:nvPicPr>
                  <pic:blipFill>
                    <a:blip r:embed="rId69"/>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82" name="image57.png"/>
            <a:graphic>
              <a:graphicData uri="http://schemas.openxmlformats.org/drawingml/2006/picture">
                <pic:pic>
                  <pic:nvPicPr>
                    <pic:cNvPr id="0" name="image57.png"/>
                    <pic:cNvPicPr preferRelativeResize="0"/>
                  </pic:nvPicPr>
                  <pic:blipFill>
                    <a:blip r:embed="rId83"/>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modern AI-powered systems.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errors are not merely inconvenient; they lead to incorrect balances, student frustration in university settings, and serious compliance risks in regulated industries.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the financial services sector, a lack of cross-departmental collaboration has been linked to data breaches in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7"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cases.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 to Integration and Real-Time Visibility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an integrated organisation requires the centralization of data and the automation of workflows. Institutions that adopt unified, platform-native systems (such as Salesforce-native fee management for universities) see a significant reduction in the "Time-to-Reconcile" and a drastic improvement in data accuracy.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Automated reconciliation can reduce month-end close times by up to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6"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transforming a process that once took weeks into one that completes in days.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Integration also accelerates the "Order-to-Cash" (O2C) cycle. By ensuring that data flows automatically between CRM and ERP systems, organizations eliminate the delays caused by manual exports and double data entry.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increases cash flow visibility and allows for more accurate forecasting. Most importantly, it breaks down the "human translator" expertise bottleneck, where the business can only move as fast as a single employee can manually reconcile spreadsheets.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Integrated Roadmap to Operational Excellence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 challenges examined—Predictability, Transparency, Planning, Selection, and Organisation—are not isolated issues but symptoms of a single underlying condition: institutional inertia. In the "Before" state, these factors reinforce one another in a cycle of inefficiency. Poor predictability necessitates reactive, manual planning; manual planning creates expertise bottlenecks and silos; silos obscure performance, leading to opaque and anecdotal transparency; and a lack of transparency forces selection to be based on habit rather than data.</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Transition Pillar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Before" (Legacy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After" (Modernized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Inherently uncertain; managed by ranges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Commitments driven by variance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Transparency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Performance is opaque or anecdotal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Data-driven audits and real-time dashboards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expertise-dependent; periodic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Automated; algorithmic; continuous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Habit-based; relationship-driven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Multi-criteria; Value-based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Organisation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Siloed by function; manual reconciliation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Integrated by design; automated orchestration</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 the "After" state requires a fundamental shift in leadership business acumen. Research indicates that only </w:t>
      </w:r>
      <w:r w:rsidDel="00000000" w:rsidR="00000000" w:rsidRPr="00000000">
        <w:rPr>
          <w:rFonts w:ascii="Google Sans" w:cs="Google Sans" w:eastAsia="Google Sans" w:hAnsi="Google Sans"/>
          <w:color w:val="1f1f1f"/>
        </w:rPr>
        <w:drawing>
          <wp:inline distB="19050" distT="19050" distL="19050" distR="19050">
            <wp:extent cx="338138" cy="216032"/>
            <wp:effectExtent b="0" l="0" r="0" t="0"/>
            <wp:docPr id="79" name="image62.png"/>
            <a:graphic>
              <a:graphicData uri="http://schemas.openxmlformats.org/drawingml/2006/picture">
                <pic:pic>
                  <pic:nvPicPr>
                    <pic:cNvPr id="0" name="image62.png"/>
                    <pic:cNvPicPr preferRelativeResize="0"/>
                  </pic:nvPicPr>
                  <pic:blipFill>
                    <a:blip r:embed="rId86"/>
                    <a:srcRect b="0" l="0" r="0" t="0"/>
                    <a:stretch>
                      <a:fillRect/>
                    </a:stretch>
                  </pic:blipFill>
                  <pic:spPr>
                    <a:xfrm>
                      <a:off x="0" y="0"/>
                      <a:ext cx="338138"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project professionals currently demonstrate high business acumen, yet these individuals are the primary drivers of successful organizational transformation.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are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78" name="image72.png"/>
            <a:graphic>
              <a:graphicData uri="http://schemas.openxmlformats.org/drawingml/2006/picture">
                <pic:pic>
                  <pic:nvPicPr>
                    <pic:cNvPr id="0" name="image72.png"/>
                    <pic:cNvPicPr preferRelativeResize="0"/>
                  </pic:nvPicPr>
                  <pic:blipFill>
                    <a:blip r:embed="rId87"/>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times more likely to succeed by integrating value-based success factors like sustainability and stakeholder trust alongside traditional metrics.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"After" state is characterized by the democratization of data and AI. When organizations move away from manual data handling—which costs large enterprises between </w:t>
      </w:r>
      <w:r w:rsidDel="00000000" w:rsidR="00000000" w:rsidRPr="00000000">
        <w:rPr>
          <w:rFonts w:ascii="Google Sans" w:cs="Google Sans" w:eastAsia="Google Sans" w:hAnsi="Google Sans"/>
          <w:color w:val="1f1f1f"/>
        </w:rPr>
        <w:drawing>
          <wp:inline distB="19050" distT="19050" distL="19050" distR="19050">
            <wp:extent cx="328017" cy="221894"/>
            <wp:effectExtent b="0" l="0" r="0" t="0"/>
            <wp:docPr id="75" name="image64.png"/>
            <a:graphic>
              <a:graphicData uri="http://schemas.openxmlformats.org/drawingml/2006/picture">
                <pic:pic>
                  <pic:nvPicPr>
                    <pic:cNvPr id="0" name="image64.png"/>
                    <pic:cNvPicPr preferRelativeResize="0"/>
                  </pic:nvPicPr>
                  <pic:blipFill>
                    <a:blip r:embed="rId88"/>
                    <a:srcRect b="0" l="0" r="0" t="0"/>
                    <a:stretch>
                      <a:fillRect/>
                    </a:stretch>
                  </pic:blipFill>
                  <pic:spPr>
                    <a:xfrm>
                      <a:off x="0" y="0"/>
                      <a:ext cx="328017" cy="2218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and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114" name="image79.png"/>
            <a:graphic>
              <a:graphicData uri="http://schemas.openxmlformats.org/drawingml/2006/picture">
                <pic:pic>
                  <pic:nvPicPr>
                    <pic:cNvPr id="0" name="image79.png"/>
                    <pic:cNvPicPr preferRelativeResize="0"/>
                  </pic:nvPicPr>
                  <pic:blipFill>
                    <a:blip r:embed="rId89"/>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million annually—and embrace fully connected digital ecosystems, they can double their productivity.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"Iceberg Effect" of hidden costs is eliminated, and the workforce is freed to focus on the creative, high-judgment work that drives long-term growth and innovation.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conclusion, the path to organizational excellence lies in the systematic dismantling of legacy inhibitors. By moving from delivery that is "inherently uncertain" to a state of predictable value; from anecdotal performance to radical transparency; from manual planning to algorithmic orchestration; from habit-based selection to strategic sourcing; and from siloed fragmentation to integrated organisation, the modern enterprise can secure its place in a competitive global economy. The quantitative delta between these two states—measured in billions of dollars of revenue, millions of hours of productivity, and a fourfold increase in market value—represents the most compelling mandate for change in contemporary management history.</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Inconsistent Work Schedules on Employee Lateness and Absenteeism - Harvard Business School, accessed on February 25, 2026, </w:t>
      </w:r>
      <w:hyperlink r:id="rId90">
        <w:r w:rsidDel="00000000" w:rsidR="00000000" w:rsidRPr="00000000">
          <w:rPr>
            <w:rFonts w:ascii="Google Sans" w:cs="Google Sans" w:eastAsia="Google Sans" w:hAnsi="Google Sans"/>
            <w:color w:val="0000ee"/>
            <w:sz w:val="24"/>
            <w:szCs w:val="24"/>
            <w:u w:val="single"/>
            <w:rtl w:val="0"/>
          </w:rPr>
          <w:t xml:space="preserve">https://www.hbs.edu/ris/Publication%20Files/drivers_late_abs_8e537441-25da-4dd4-9434-9f285a6584eb.pdf</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Gap Between Supply Chain Risk and Organizational Performance Conditioning to Demand Uncertainty - MDPI, accessed on February 25, 2026, </w:t>
      </w:r>
      <w:hyperlink r:id="rId91">
        <w:r w:rsidDel="00000000" w:rsidR="00000000" w:rsidRPr="00000000">
          <w:rPr>
            <w:rFonts w:ascii="Google Sans" w:cs="Google Sans" w:eastAsia="Google Sans" w:hAnsi="Google Sans"/>
            <w:color w:val="0000ee"/>
            <w:sz w:val="24"/>
            <w:szCs w:val="24"/>
            <w:u w:val="single"/>
            <w:rtl w:val="0"/>
          </w:rPr>
          <w:t xml:space="preserve">https://www.mdpi.com/2071-1050/17/6/2462</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 Up: Redefining the Path to Project Success With M.O.R.E. - PMI.org, accessed on February 25, 2026, </w:t>
      </w:r>
      <w:hyperlink r:id="rId92">
        <w:r w:rsidDel="00000000" w:rsidR="00000000" w:rsidRPr="00000000">
          <w:rPr>
            <w:rFonts w:ascii="Google Sans" w:cs="Google Sans" w:eastAsia="Google Sans" w:hAnsi="Google Sans"/>
            <w:color w:val="0000ee"/>
            <w:sz w:val="24"/>
            <w:szCs w:val="24"/>
            <w:u w:val="single"/>
            <w:rtl w:val="0"/>
          </w:rPr>
          <w:t xml:space="preserve">https://www.pmi.org/-/media/pmi/documents/public/pdf/learning/thought-leadership/project_success_2025_final.pdf?rev=727bb04e8c3d4fd18fcb5f20ccadfb55</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PMI Pulse of the Profession 2025 Report, accessed on February 25, 2026, </w:t>
      </w:r>
      <w:hyperlink r:id="rId93">
        <w:r w:rsidDel="00000000" w:rsidR="00000000" w:rsidRPr="00000000">
          <w:rPr>
            <w:rFonts w:ascii="Google Sans" w:cs="Google Sans" w:eastAsia="Google Sans" w:hAnsi="Google Sans"/>
            <w:color w:val="0000ee"/>
            <w:sz w:val="24"/>
            <w:szCs w:val="24"/>
            <w:u w:val="single"/>
            <w:rtl w:val="0"/>
          </w:rPr>
          <w:t xml:space="preserve">https://instituteprojectmanagement.com/blog/pulse-of-the-profession-report/</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 Learned from PMI's 2025 Pulse of the Profession, accessed on February 25, 2026, </w:t>
      </w:r>
      <w:hyperlink r:id="rId94">
        <w:r w:rsidDel="00000000" w:rsidR="00000000" w:rsidRPr="00000000">
          <w:rPr>
            <w:rFonts w:ascii="Google Sans" w:cs="Google Sans" w:eastAsia="Google Sans" w:hAnsi="Google Sans"/>
            <w:color w:val="0000ee"/>
            <w:sz w:val="24"/>
            <w:szCs w:val="24"/>
            <w:u w:val="single"/>
            <w:rtl w:val="0"/>
          </w:rPr>
          <w:t xml:space="preserve">https://www.gpm.org/perspectives/what-i-learned-from-pmis-2025-pulse-of-the-profession</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performance variation on service delivery (…and how to reduce it) - Medium, accessed on February 25, 2026, </w:t>
      </w:r>
      <w:hyperlink r:id="rId95">
        <w:r w:rsidDel="00000000" w:rsidR="00000000" w:rsidRPr="00000000">
          <w:rPr>
            <w:rFonts w:ascii="Google Sans" w:cs="Google Sans" w:eastAsia="Google Sans" w:hAnsi="Google Sans"/>
            <w:color w:val="0000ee"/>
            <w:sz w:val="24"/>
            <w:szCs w:val="24"/>
            <w:u w:val="single"/>
            <w:rtl w:val="0"/>
          </w:rPr>
          <w:t xml:space="preserve">https://medium.com/@AndrewFreiman/the-impact-of-performance-variation-on-service-delivery-and-how-to-reduce-it-e8fa99971b7c</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Industrial IoT and advanced technologies for digital transformation - McKinsey, accessed on February 25, 2026, </w:t>
      </w:r>
      <w:hyperlink r:id="rId96">
        <w:r w:rsidDel="00000000" w:rsidR="00000000" w:rsidRPr="00000000">
          <w:rPr>
            <w:rFonts w:ascii="Google Sans" w:cs="Google Sans" w:eastAsia="Google Sans" w:hAnsi="Google Sans"/>
            <w:color w:val="0000ee"/>
            <w:sz w:val="24"/>
            <w:szCs w:val="24"/>
            <w:u w:val="single"/>
            <w:rtl w:val="0"/>
          </w:rPr>
          <w:t xml:space="preserve">https://www.mckinsey.com/~/media/mckinsey/business%20functions/mckinsey%20digital/our%20insights/a%20manufacturers%20guide%20to%20generating%20value%20at%20scale%20with%20iiot/leveraging-industrial-iot-and-advanced-technologies-for-digital-transformation.pdf</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Beating the low-productivity trap: How to transform construction operations - McKinsey, accessed on February 25, 2026, </w:t>
      </w:r>
      <w:hyperlink r:id="rId97">
        <w:r w:rsidDel="00000000" w:rsidR="00000000" w:rsidRPr="00000000">
          <w:rPr>
            <w:rFonts w:ascii="Google Sans" w:cs="Google Sans" w:eastAsia="Google Sans" w:hAnsi="Google Sans"/>
            <w:color w:val="0000ee"/>
            <w:sz w:val="24"/>
            <w:szCs w:val="24"/>
            <w:u w:val="single"/>
            <w:rtl w:val="0"/>
          </w:rPr>
          <w:t xml:space="preserve">https://www.mckinsey.com/capabilities/operations/our-insights/beating-the-low-productivity-trap-how-to-transform-construction-operations</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transparency paradox: Could less be more when it comes to trust? - Deloitte, accessed on February 25, 2026, </w:t>
      </w:r>
      <w:hyperlink r:id="rId98">
        <w:r w:rsidDel="00000000" w:rsidR="00000000" w:rsidRPr="00000000">
          <w:rPr>
            <w:rFonts w:ascii="Google Sans" w:cs="Google Sans" w:eastAsia="Google Sans" w:hAnsi="Google Sans"/>
            <w:color w:val="0000ee"/>
            <w:sz w:val="24"/>
            <w:szCs w:val="24"/>
            <w:u w:val="single"/>
            <w:rtl w:val="0"/>
          </w:rPr>
          <w:t xml:space="preserve">https://www.deloitte.com/us/en/insights/topics/talent/human-capital-trends/2024/transparency-in-the-workplace.html</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Transparency in the Workplace Impact Organizational Performance? - Profit.co, accessed on February 25, 2026, </w:t>
      </w:r>
      <w:hyperlink r:id="rId99">
        <w:r w:rsidDel="00000000" w:rsidR="00000000" w:rsidRPr="00000000">
          <w:rPr>
            <w:rFonts w:ascii="Google Sans" w:cs="Google Sans" w:eastAsia="Google Sans" w:hAnsi="Google Sans"/>
            <w:color w:val="0000ee"/>
            <w:sz w:val="24"/>
            <w:szCs w:val="24"/>
            <w:u w:val="single"/>
            <w:rtl w:val="0"/>
          </w:rPr>
          <w:t xml:space="preserve">https://www.profit.co/blog/performance-management/how-does-transparency-in-the-workplace-impact-organizational-performance/</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shows why data-driven companies are more profitable | Google Cloud Blog, accessed on February 25, 2026, </w:t>
      </w:r>
      <w:hyperlink r:id="rId100">
        <w:r w:rsidDel="00000000" w:rsidR="00000000" w:rsidRPr="00000000">
          <w:rPr>
            <w:rFonts w:ascii="Google Sans" w:cs="Google Sans" w:eastAsia="Google Sans" w:hAnsi="Google Sans"/>
            <w:color w:val="0000ee"/>
            <w:sz w:val="24"/>
            <w:szCs w:val="24"/>
            <w:u w:val="single"/>
            <w:rtl w:val="0"/>
          </w:rPr>
          <w:t xml:space="preserve">https://cloud.google.com/transform/data-leaders-more-profitable-innovative-hbr-data</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most innovative AIdriven organizational performance analysis tools reshaping business strategies today, and how do they compare against traditional methods? Suggested references: Harvard Business Review articles, Gartner reports, and case studies from industry leaders with URLs., accessed on February 25, 2026, </w:t>
      </w:r>
      <w:hyperlink r:id="rId101">
        <w:r w:rsidDel="00000000" w:rsidR="00000000" w:rsidRPr="00000000">
          <w:rPr>
            <w:rFonts w:ascii="Google Sans" w:cs="Google Sans" w:eastAsia="Google Sans" w:hAnsi="Google Sans"/>
            <w:color w:val="0000ee"/>
            <w:sz w:val="24"/>
            <w:szCs w:val="24"/>
            <w:u w:val="single"/>
            <w:rtl w:val="0"/>
          </w:rPr>
          <w:t xml:space="preserve">https://blogs.psico-smart.com/blog-what-are-the-most-innovative-aidriven-organizational-performance-analy-191111</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 of Manual Tasks: Why Mid-Sized Businesses Can't Afford to Ignore AI Automation - Positive Results, accessed on February 25, 2026, </w:t>
      </w:r>
      <w:hyperlink r:id="rId102">
        <w:r w:rsidDel="00000000" w:rsidR="00000000" w:rsidRPr="00000000">
          <w:rPr>
            <w:rFonts w:ascii="Google Sans" w:cs="Google Sans" w:eastAsia="Google Sans" w:hAnsi="Google Sans"/>
            <w:color w:val="0000ee"/>
            <w:sz w:val="24"/>
            <w:szCs w:val="24"/>
            <w:u w:val="single"/>
            <w:rtl w:val="0"/>
          </w:rPr>
          <w:t xml:space="preserve">https://positiveresults.com/blog/technology/the-hidden-cost-of-manual-tasks/</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Productivity Costs: Why Manual Processes Are Killing Your ..., accessed on February 25, 2026, </w:t>
      </w:r>
      <w:hyperlink r:id="rId103">
        <w:r w:rsidDel="00000000" w:rsidR="00000000" w:rsidRPr="00000000">
          <w:rPr>
            <w:rFonts w:ascii="Google Sans" w:cs="Google Sans" w:eastAsia="Google Sans" w:hAnsi="Google Sans"/>
            <w:color w:val="0000ee"/>
            <w:sz w:val="24"/>
            <w:szCs w:val="24"/>
            <w:u w:val="single"/>
            <w:rtl w:val="0"/>
          </w:rPr>
          <w:t xml:space="preserve">https://blog.agentically.sh/article/hidden-productivity-costs/</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Prevent Single Points of Failure Within Your Back-Office - Terrapin Technologies, accessed on February 25, 2026, </w:t>
      </w:r>
      <w:hyperlink r:id="rId104">
        <w:r w:rsidDel="00000000" w:rsidR="00000000" w:rsidRPr="00000000">
          <w:rPr>
            <w:rFonts w:ascii="Google Sans" w:cs="Google Sans" w:eastAsia="Google Sans" w:hAnsi="Google Sans"/>
            <w:color w:val="0000ee"/>
            <w:sz w:val="24"/>
            <w:szCs w:val="24"/>
            <w:u w:val="single"/>
            <w:rtl w:val="0"/>
          </w:rPr>
          <w:t xml:space="preserve">https://terrapintech.com/how-to-prevent-single-points-of-failure-within-your-back-office/</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Single Point Failures: A Guide to System Resilience - Bryghtpath, accessed on February 25, 2026, </w:t>
      </w:r>
      <w:hyperlink r:id="rId105">
        <w:r w:rsidDel="00000000" w:rsidR="00000000" w:rsidRPr="00000000">
          <w:rPr>
            <w:rFonts w:ascii="Google Sans" w:cs="Google Sans" w:eastAsia="Google Sans" w:hAnsi="Google Sans"/>
            <w:color w:val="0000ee"/>
            <w:sz w:val="24"/>
            <w:szCs w:val="24"/>
            <w:u w:val="single"/>
            <w:rtl w:val="0"/>
          </w:rPr>
          <w:t xml:space="preserve">https://bryghtpath.com/single-point-failures/</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Points of Failure: How to Eliminate Them - Wolf's Edge ..., accessed on February 25, 2026, </w:t>
      </w:r>
      <w:hyperlink r:id="rId106">
        <w:r w:rsidDel="00000000" w:rsidR="00000000" w:rsidRPr="00000000">
          <w:rPr>
            <w:rFonts w:ascii="Google Sans" w:cs="Google Sans" w:eastAsia="Google Sans" w:hAnsi="Google Sans"/>
            <w:color w:val="0000ee"/>
            <w:sz w:val="24"/>
            <w:szCs w:val="24"/>
            <w:u w:val="single"/>
            <w:rtl w:val="0"/>
          </w:rPr>
          <w:t xml:space="preserve">https://wolfsedgeintegrators.com/single-points-of-failure/</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Costs of Data Silos in Mid-Market CRMs and ERPs - Initus, accessed on February 25, 2026, </w:t>
      </w:r>
      <w:hyperlink r:id="rId107">
        <w:r w:rsidDel="00000000" w:rsidR="00000000" w:rsidRPr="00000000">
          <w:rPr>
            <w:rFonts w:ascii="Google Sans" w:cs="Google Sans" w:eastAsia="Google Sans" w:hAnsi="Google Sans"/>
            <w:color w:val="0000ee"/>
            <w:sz w:val="24"/>
            <w:szCs w:val="24"/>
            <w:u w:val="single"/>
            <w:rtl w:val="0"/>
          </w:rPr>
          <w:t xml:space="preserve">https://initus.io/blog/integration/the-hidden-costs-of-data-silos-crm-erp-integration/</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REINVENTING CONSTRUCTION: A ROUTE TO HIGHER PRODUCTIVITY - McKinsey, accessed on February 25, 2026, </w:t>
      </w:r>
      <w:hyperlink r:id="rId108">
        <w:r w:rsidDel="00000000" w:rsidR="00000000" w:rsidRPr="00000000">
          <w:rPr>
            <w:rFonts w:ascii="Google Sans" w:cs="Google Sans" w:eastAsia="Google Sans" w:hAnsi="Google Sans"/>
            <w:color w:val="0000ee"/>
            <w:sz w:val="24"/>
            <w:szCs w:val="24"/>
            <w:u w:val="single"/>
            <w:rtl w:val="0"/>
          </w:rPr>
          <w:t xml:space="preserve">https://www.mckinsey.com/~/media/mckinsey/business%20functions/operations/our%20insights/reinventing%20construction%20through%20a%20productivity%20revolution/mgi-reinventing-construction-a-route-to-higher-productivity-full-report.pdf</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Decoding digital transformation in construction | McKinsey, accessed on February 25, 2026, </w:t>
      </w:r>
      <w:hyperlink r:id="rId109">
        <w:r w:rsidDel="00000000" w:rsidR="00000000" w:rsidRPr="00000000">
          <w:rPr>
            <w:rFonts w:ascii="Google Sans" w:cs="Google Sans" w:eastAsia="Google Sans" w:hAnsi="Google Sans"/>
            <w:color w:val="0000ee"/>
            <w:sz w:val="24"/>
            <w:szCs w:val="24"/>
            <w:u w:val="single"/>
            <w:rtl w:val="0"/>
          </w:rPr>
          <w:t xml:space="preserve">https://www.mckinsey.com/capabilities/operations/our-insights/decoding-digital-transformation-in-construction</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Wisely: Qualifications-Based Selection vs. Price-Based Selection in Procurement - CMAA, accessed on February 25, 2026, </w:t>
      </w:r>
      <w:hyperlink r:id="rId110">
        <w:r w:rsidDel="00000000" w:rsidR="00000000" w:rsidRPr="00000000">
          <w:rPr>
            <w:rFonts w:ascii="Google Sans" w:cs="Google Sans" w:eastAsia="Google Sans" w:hAnsi="Google Sans"/>
            <w:color w:val="0000ee"/>
            <w:sz w:val="24"/>
            <w:szCs w:val="24"/>
            <w:u w:val="single"/>
            <w:rtl w:val="0"/>
          </w:rPr>
          <w:t xml:space="preserve">https://www.cmaanet.org/sites/default/files/resource/Qualifications%20vs%20Price-Based.pdf</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Supplier Selection Criteria Every Procurement Executive Should Know, accessed on February 25, 2026, </w:t>
      </w:r>
      <w:hyperlink r:id="rId111">
        <w:r w:rsidDel="00000000" w:rsidR="00000000" w:rsidRPr="00000000">
          <w:rPr>
            <w:rFonts w:ascii="Google Sans" w:cs="Google Sans" w:eastAsia="Google Sans" w:hAnsi="Google Sans"/>
            <w:color w:val="0000ee"/>
            <w:sz w:val="24"/>
            <w:szCs w:val="24"/>
            <w:u w:val="single"/>
            <w:rtl w:val="0"/>
          </w:rPr>
          <w:t xml:space="preserve">https://artofprocurement.com/blog/key-supplier-selection-criteria-every-procurement-executive-should-know</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Collusion in Public Procurement - NBER, accessed on February 25, 2026, </w:t>
      </w:r>
      <w:hyperlink r:id="rId112">
        <w:r w:rsidDel="00000000" w:rsidR="00000000" w:rsidRPr="00000000">
          <w:rPr>
            <w:rFonts w:ascii="Google Sans" w:cs="Google Sans" w:eastAsia="Google Sans" w:hAnsi="Google Sans"/>
            <w:color w:val="0000ee"/>
            <w:sz w:val="24"/>
            <w:szCs w:val="24"/>
            <w:u w:val="single"/>
            <w:rtl w:val="0"/>
          </w:rPr>
          <w:t xml:space="preserve">https://www.nber.org/reporter/2025number2/reporter/collusion-public-procurement</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risks in supplier selection and order allocation - ResearchGate, accessed on February 25, 2026, </w:t>
      </w:r>
      <w:hyperlink r:id="rId113">
        <w:r w:rsidDel="00000000" w:rsidR="00000000" w:rsidRPr="00000000">
          <w:rPr>
            <w:rFonts w:ascii="Google Sans" w:cs="Google Sans" w:eastAsia="Google Sans" w:hAnsi="Google Sans"/>
            <w:color w:val="0000ee"/>
            <w:sz w:val="24"/>
            <w:szCs w:val="24"/>
            <w:u w:val="single"/>
            <w:rtl w:val="0"/>
          </w:rPr>
          <w:t xml:space="preserve">https://www.researchgate.net/publication/393012791_Managing_risks_in_supplier_selection_and_order_allocation</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DECISION-MAKING: BUILDING PROCUREMENT'S ..., accessed on February 25, 2026, </w:t>
      </w:r>
      <w:hyperlink r:id="rId114">
        <w:r w:rsidDel="00000000" w:rsidR="00000000" w:rsidRPr="00000000">
          <w:rPr>
            <w:rFonts w:ascii="Google Sans" w:cs="Google Sans" w:eastAsia="Google Sans" w:hAnsi="Google Sans"/>
            <w:color w:val="0000ee"/>
            <w:sz w:val="24"/>
            <w:szCs w:val="24"/>
            <w:u w:val="single"/>
            <w:rtl w:val="0"/>
          </w:rPr>
          <w:t xml:space="preserve">https://member.procurementleaders.com/wp-content/uploads/2021/08/PL-research-Data-driven-Decision-making-procurement-future-foundations_web.pdf</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Data-Driven Sourcing and Procurement Strategy: Transforming Supply Chain Efficiency, accessed on February 25, 2026, </w:t>
      </w:r>
      <w:hyperlink r:id="rId115">
        <w:r w:rsidDel="00000000" w:rsidR="00000000" w:rsidRPr="00000000">
          <w:rPr>
            <w:rFonts w:ascii="Google Sans" w:cs="Google Sans" w:eastAsia="Google Sans" w:hAnsi="Google Sans"/>
            <w:color w:val="0000ee"/>
            <w:sz w:val="24"/>
            <w:szCs w:val="24"/>
            <w:u w:val="single"/>
            <w:rtl w:val="0"/>
          </w:rPr>
          <w:t xml:space="preserve">https://www.levadata.com/post/data-driven-sourcing-and-procurement-strategy-transforming-supply-chain-efficiency</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Benefits of Data-Driven Sourcing &amp; Procurement - Tradogram, accessed on February 25, 2026, </w:t>
      </w:r>
      <w:hyperlink r:id="rId116">
        <w:r w:rsidDel="00000000" w:rsidR="00000000" w:rsidRPr="00000000">
          <w:rPr>
            <w:rFonts w:ascii="Google Sans" w:cs="Google Sans" w:eastAsia="Google Sans" w:hAnsi="Google Sans"/>
            <w:color w:val="0000ee"/>
            <w:sz w:val="24"/>
            <w:szCs w:val="24"/>
            <w:u w:val="single"/>
            <w:rtl w:val="0"/>
          </w:rPr>
          <w:t xml:space="preserve">https://www.tradogram.com/blog/7-benefits-of-a-data-driven-sourcing-and-procurement-strategy</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Data Silos: Why CRM-ERP Integration Matters | Cherry ..., accessed on February 25, 2026, </w:t>
      </w:r>
      <w:hyperlink r:id="rId117">
        <w:r w:rsidDel="00000000" w:rsidR="00000000" w:rsidRPr="00000000">
          <w:rPr>
            <w:rFonts w:ascii="Google Sans" w:cs="Google Sans" w:eastAsia="Google Sans" w:hAnsi="Google Sans"/>
            <w:color w:val="0000ee"/>
            <w:sz w:val="24"/>
            <w:szCs w:val="24"/>
            <w:u w:val="single"/>
            <w:rtl w:val="0"/>
          </w:rPr>
          <w:t xml:space="preserve">https://www.cbh.com/insights/articles/the-cost-of-data-silos-why-crm-erp-integration-matters/</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Down Silos – Why U.S. Nonprofits Need Centralized Grant Management Tools, accessed on February 25, 2026, </w:t>
      </w:r>
      <w:hyperlink r:id="rId118">
        <w:r w:rsidDel="00000000" w:rsidR="00000000" w:rsidRPr="00000000">
          <w:rPr>
            <w:rFonts w:ascii="Google Sans" w:cs="Google Sans" w:eastAsia="Google Sans" w:hAnsi="Google Sans"/>
            <w:color w:val="0000ee"/>
            <w:sz w:val="24"/>
            <w:szCs w:val="24"/>
            <w:u w:val="single"/>
            <w:rtl w:val="0"/>
          </w:rPr>
          <w:t xml:space="preserve">https://flexigrant.com/blog/breaking-down-silos-why-u.s.-nonprofits-need-centralized-grant-management-tools</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Statistics That Expose Reconciliation Bottlenecks in Multi-entity Orgs - Resolve Pay, accessed on February 25, 2026, </w:t>
      </w:r>
      <w:hyperlink r:id="rId119">
        <w:r w:rsidDel="00000000" w:rsidR="00000000" w:rsidRPr="00000000">
          <w:rPr>
            <w:rFonts w:ascii="Google Sans" w:cs="Google Sans" w:eastAsia="Google Sans" w:hAnsi="Google Sans"/>
            <w:color w:val="0000ee"/>
            <w:sz w:val="24"/>
            <w:szCs w:val="24"/>
            <w:u w:val="single"/>
            <w:rtl w:val="0"/>
          </w:rPr>
          <w:t xml:space="preserve">https://resolvepay.com/blog/16-statistics-that-expose-reconciliation-bottlenecks-in-multi-entity-orgs</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Costs of Manual University Fee Reconciliation - Eposly, accessed on February 25, 2026, </w:t>
      </w:r>
      <w:hyperlink r:id="rId120">
        <w:r w:rsidDel="00000000" w:rsidR="00000000" w:rsidRPr="00000000">
          <w:rPr>
            <w:rFonts w:ascii="Google Sans" w:cs="Google Sans" w:eastAsia="Google Sans" w:hAnsi="Google Sans"/>
            <w:color w:val="0000ee"/>
            <w:sz w:val="24"/>
            <w:szCs w:val="24"/>
            <w:u w:val="single"/>
            <w:rtl w:val="0"/>
          </w:rPr>
          <w:t xml:space="preserve">https://eposly.io/blogs-insights/the-hidden-costs-of-manual-university-fee-reconciliation/</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Death of Data Entry: Why Manual Work is Becoming Extinct in 2025 | Lleverage, accessed on February 25, 2026, </w:t>
      </w:r>
      <w:hyperlink r:id="rId121">
        <w:r w:rsidDel="00000000" w:rsidR="00000000" w:rsidRPr="00000000">
          <w:rPr>
            <w:rFonts w:ascii="Google Sans" w:cs="Google Sans" w:eastAsia="Google Sans" w:hAnsi="Google Sans"/>
            <w:color w:val="0000ee"/>
            <w:sz w:val="24"/>
            <w:szCs w:val="24"/>
            <w:u w:val="single"/>
            <w:rtl w:val="0"/>
          </w:rPr>
          <w:t xml:space="preserve">https://www.lleverage.ai/nl/blog/the-death-of-data-entry-why-manual-work-is-becoming-extinct-in-2025</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Pulse of the Profession® Report 2025 - PMI, accessed on February 25, 2026, </w:t>
      </w:r>
      <w:hyperlink r:id="rId122">
        <w:r w:rsidDel="00000000" w:rsidR="00000000" w:rsidRPr="00000000">
          <w:rPr>
            <w:rFonts w:ascii="Google Sans" w:cs="Google Sans" w:eastAsia="Google Sans" w:hAnsi="Google Sans"/>
            <w:color w:val="0000ee"/>
            <w:sz w:val="24"/>
            <w:szCs w:val="24"/>
            <w:u w:val="single"/>
            <w:rtl w:val="0"/>
          </w:rPr>
          <w:t xml:space="preserve">https://www.pmi.org/learning/thought-leadership/boosting-business-acumen</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Operations Are Hitting Their Limit Here's How Digitalization Can Double Your Productivity - Faber Infinite, accessed on February 25, 2026, </w:t>
      </w:r>
      <w:hyperlink r:id="rId123">
        <w:r w:rsidDel="00000000" w:rsidR="00000000" w:rsidRPr="00000000">
          <w:rPr>
            <w:rFonts w:ascii="Google Sans" w:cs="Google Sans" w:eastAsia="Google Sans" w:hAnsi="Google Sans"/>
            <w:color w:val="0000ee"/>
            <w:sz w:val="24"/>
            <w:szCs w:val="24"/>
            <w:u w:val="single"/>
            <w:rtl w:val="0"/>
          </w:rPr>
          <w:t xml:space="preserve">https://faberinfinite.com/manual-operations-are-hitting-their-limit-heres-how-digitalization-can-double-your-productivity/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37.png"/><Relationship Id="rId41" Type="http://schemas.openxmlformats.org/officeDocument/2006/relationships/image" Target="media/image45.png"/><Relationship Id="rId44" Type="http://schemas.openxmlformats.org/officeDocument/2006/relationships/image" Target="media/image6.png"/><Relationship Id="rId43" Type="http://schemas.openxmlformats.org/officeDocument/2006/relationships/image" Target="media/image50.png"/><Relationship Id="rId46" Type="http://schemas.openxmlformats.org/officeDocument/2006/relationships/image" Target="media/image21.png"/><Relationship Id="rId45" Type="http://schemas.openxmlformats.org/officeDocument/2006/relationships/image" Target="media/image22.png"/><Relationship Id="rId107" Type="http://schemas.openxmlformats.org/officeDocument/2006/relationships/hyperlink" Target="https://initus.io/blog/integration/the-hidden-costs-of-data-silos-crm-erp-integration/" TargetMode="External"/><Relationship Id="rId106" Type="http://schemas.openxmlformats.org/officeDocument/2006/relationships/hyperlink" Target="https://wolfsedgeintegrators.com/single-points-of-failure/" TargetMode="External"/><Relationship Id="rId105" Type="http://schemas.openxmlformats.org/officeDocument/2006/relationships/hyperlink" Target="https://bryghtpath.com/single-point-failures/" TargetMode="External"/><Relationship Id="rId104" Type="http://schemas.openxmlformats.org/officeDocument/2006/relationships/hyperlink" Target="https://terrapintech.com/how-to-prevent-single-points-of-failure-within-your-back-office/" TargetMode="External"/><Relationship Id="rId109" Type="http://schemas.openxmlformats.org/officeDocument/2006/relationships/hyperlink" Target="https://www.mckinsey.com/capabilities/operations/our-insights/decoding-digital-transformation-in-construction" TargetMode="External"/><Relationship Id="rId108" Type="http://schemas.openxmlformats.org/officeDocument/2006/relationships/hyperlink" Target="https://www.mckinsey.com/~/media/mckinsey/business%20functions/operations/our%20insights/reinventing%20construction%20through%20a%20productivity%20revolution/mgi-reinventing-construction-a-route-to-higher-productivity-full-report.pdf" TargetMode="External"/><Relationship Id="rId48" Type="http://schemas.openxmlformats.org/officeDocument/2006/relationships/image" Target="media/image34.png"/><Relationship Id="rId47" Type="http://schemas.openxmlformats.org/officeDocument/2006/relationships/image" Target="media/image38.png"/><Relationship Id="rId49" Type="http://schemas.openxmlformats.org/officeDocument/2006/relationships/image" Target="media/image54.png"/><Relationship Id="rId103" Type="http://schemas.openxmlformats.org/officeDocument/2006/relationships/hyperlink" Target="https://blog.agentically.sh/article/hidden-productivity-costs/" TargetMode="External"/><Relationship Id="rId102" Type="http://schemas.openxmlformats.org/officeDocument/2006/relationships/hyperlink" Target="https://positiveresults.com/blog/technology/the-hidden-cost-of-manual-tasks/" TargetMode="External"/><Relationship Id="rId101" Type="http://schemas.openxmlformats.org/officeDocument/2006/relationships/hyperlink" Target="https://blogs.psico-smart.com/blog-what-are-the-most-innovative-aidriven-organizational-performance-analy-191111" TargetMode="External"/><Relationship Id="rId100" Type="http://schemas.openxmlformats.org/officeDocument/2006/relationships/hyperlink" Target="https://cloud.google.com/transform/data-leaders-more-profitable-innovative-hbr-data" TargetMode="External"/><Relationship Id="rId31" Type="http://schemas.openxmlformats.org/officeDocument/2006/relationships/image" Target="media/image5.png"/><Relationship Id="rId30" Type="http://schemas.openxmlformats.org/officeDocument/2006/relationships/image" Target="media/image13.png"/><Relationship Id="rId33" Type="http://schemas.openxmlformats.org/officeDocument/2006/relationships/image" Target="media/image3.png"/><Relationship Id="rId32" Type="http://schemas.openxmlformats.org/officeDocument/2006/relationships/image" Target="media/image4.png"/><Relationship Id="rId35" Type="http://schemas.openxmlformats.org/officeDocument/2006/relationships/image" Target="media/image1.png"/><Relationship Id="rId34" Type="http://schemas.openxmlformats.org/officeDocument/2006/relationships/image" Target="media/image2.png"/><Relationship Id="rId37" Type="http://schemas.openxmlformats.org/officeDocument/2006/relationships/image" Target="media/image26.png"/><Relationship Id="rId36" Type="http://schemas.openxmlformats.org/officeDocument/2006/relationships/image" Target="media/image17.png"/><Relationship Id="rId39" Type="http://schemas.openxmlformats.org/officeDocument/2006/relationships/image" Target="media/image46.png"/><Relationship Id="rId38" Type="http://schemas.openxmlformats.org/officeDocument/2006/relationships/image" Target="media/image24.png"/><Relationship Id="rId20" Type="http://schemas.openxmlformats.org/officeDocument/2006/relationships/image" Target="media/image70.png"/><Relationship Id="rId22" Type="http://schemas.openxmlformats.org/officeDocument/2006/relationships/image" Target="media/image76.png"/><Relationship Id="rId21" Type="http://schemas.openxmlformats.org/officeDocument/2006/relationships/image" Target="media/image58.png"/><Relationship Id="rId24" Type="http://schemas.openxmlformats.org/officeDocument/2006/relationships/image" Target="media/image25.png"/><Relationship Id="rId23" Type="http://schemas.openxmlformats.org/officeDocument/2006/relationships/image" Target="media/image9.png"/><Relationship Id="rId26" Type="http://schemas.openxmlformats.org/officeDocument/2006/relationships/image" Target="media/image10.png"/><Relationship Id="rId121" Type="http://schemas.openxmlformats.org/officeDocument/2006/relationships/hyperlink" Target="https://www.lleverage.ai/nl/blog/the-death-of-data-entry-why-manual-work-is-becoming-extinct-in-2025" TargetMode="External"/><Relationship Id="rId25" Type="http://schemas.openxmlformats.org/officeDocument/2006/relationships/image" Target="media/image43.png"/><Relationship Id="rId120" Type="http://schemas.openxmlformats.org/officeDocument/2006/relationships/hyperlink" Target="https://eposly.io/blogs-insights/the-hidden-costs-of-manual-university-fee-reconciliation/" TargetMode="External"/><Relationship Id="rId28" Type="http://schemas.openxmlformats.org/officeDocument/2006/relationships/image" Target="media/image11.png"/><Relationship Id="rId27" Type="http://schemas.openxmlformats.org/officeDocument/2006/relationships/image" Target="media/image20.png"/><Relationship Id="rId29" Type="http://schemas.openxmlformats.org/officeDocument/2006/relationships/image" Target="media/image32.png"/><Relationship Id="rId123" Type="http://schemas.openxmlformats.org/officeDocument/2006/relationships/hyperlink" Target="https://faberinfinite.com/manual-operations-are-hitting-their-limit-heres-how-digitalization-can-double-your-productivity/" TargetMode="External"/><Relationship Id="rId122" Type="http://schemas.openxmlformats.org/officeDocument/2006/relationships/hyperlink" Target="https://www.pmi.org/learning/thought-leadership/boosting-business-acumen" TargetMode="External"/><Relationship Id="rId95" Type="http://schemas.openxmlformats.org/officeDocument/2006/relationships/hyperlink" Target="https://medium.com/@AndrewFreiman/the-impact-of-performance-variation-on-service-delivery-and-how-to-reduce-it-e8fa99971b7c" TargetMode="External"/><Relationship Id="rId94" Type="http://schemas.openxmlformats.org/officeDocument/2006/relationships/hyperlink" Target="https://www.gpm.org/perspectives/what-i-learned-from-pmis-2025-pulse-of-the-profession" TargetMode="External"/><Relationship Id="rId97" Type="http://schemas.openxmlformats.org/officeDocument/2006/relationships/hyperlink" Target="https://www.mckinsey.com/capabilities/operations/our-insights/beating-the-low-productivity-trap-how-to-transform-construction-operations" TargetMode="External"/><Relationship Id="rId96" Type="http://schemas.openxmlformats.org/officeDocument/2006/relationships/hyperlink" Target="https://www.mckinsey.com/~/media/mckinsey/business%20functions/mckinsey%20digital/our%20insights/a%20manufacturers%20guide%20to%20generating%20value%20at%20scale%20with%20iiot/leveraging-industrial-iot-and-advanced-technologies-for-digital-transformation.pdf" TargetMode="External"/><Relationship Id="rId11" Type="http://schemas.openxmlformats.org/officeDocument/2006/relationships/image" Target="media/image78.png"/><Relationship Id="rId99" Type="http://schemas.openxmlformats.org/officeDocument/2006/relationships/hyperlink" Target="https://www.profit.co/blog/performance-management/how-does-transparency-in-the-workplace-impact-organizational-performance/" TargetMode="External"/><Relationship Id="rId10" Type="http://schemas.openxmlformats.org/officeDocument/2006/relationships/image" Target="media/image84.png"/><Relationship Id="rId98" Type="http://schemas.openxmlformats.org/officeDocument/2006/relationships/hyperlink" Target="https://www.deloitte.com/us/en/insights/topics/talent/human-capital-trends/2024/transparency-in-the-workplace.html" TargetMode="External"/><Relationship Id="rId13" Type="http://schemas.openxmlformats.org/officeDocument/2006/relationships/image" Target="media/image83.png"/><Relationship Id="rId12" Type="http://schemas.openxmlformats.org/officeDocument/2006/relationships/image" Target="media/image69.png"/><Relationship Id="rId91" Type="http://schemas.openxmlformats.org/officeDocument/2006/relationships/hyperlink" Target="https://www.mdpi.com/2071-1050/17/6/2462" TargetMode="External"/><Relationship Id="rId90" Type="http://schemas.openxmlformats.org/officeDocument/2006/relationships/hyperlink" Target="https://www.hbs.edu/ris/Publication%20Files/drivers_late_abs_8e537441-25da-4dd4-9434-9f285a6584eb.pdf" TargetMode="External"/><Relationship Id="rId93" Type="http://schemas.openxmlformats.org/officeDocument/2006/relationships/hyperlink" Target="https://instituteprojectmanagement.com/blog/pulse-of-the-profession-report/" TargetMode="External"/><Relationship Id="rId92" Type="http://schemas.openxmlformats.org/officeDocument/2006/relationships/hyperlink" Target="https://www.pmi.org/-/media/pmi/documents/public/pdf/learning/thought-leadership/project_success_2025_final.pdf?rev=727bb04e8c3d4fd18fcb5f20ccadfb55" TargetMode="External"/><Relationship Id="rId118" Type="http://schemas.openxmlformats.org/officeDocument/2006/relationships/hyperlink" Target="https://flexigrant.com/blog/breaking-down-silos-why-u.s.-nonprofits-need-centralized-grant-management-tools" TargetMode="External"/><Relationship Id="rId117" Type="http://schemas.openxmlformats.org/officeDocument/2006/relationships/hyperlink" Target="https://www.cbh.com/insights/articles/the-cost-of-data-silos-why-crm-erp-integration-matters/" TargetMode="External"/><Relationship Id="rId116" Type="http://schemas.openxmlformats.org/officeDocument/2006/relationships/hyperlink" Target="https://www.tradogram.com/blog/7-benefits-of-a-data-driven-sourcing-and-procurement-strategy" TargetMode="External"/><Relationship Id="rId115" Type="http://schemas.openxmlformats.org/officeDocument/2006/relationships/hyperlink" Target="https://www.levadata.com/post/data-driven-sourcing-and-procurement-strategy-transforming-supply-chain-efficiency" TargetMode="External"/><Relationship Id="rId119" Type="http://schemas.openxmlformats.org/officeDocument/2006/relationships/hyperlink" Target="https://resolvepay.com/blog/16-statistics-that-expose-reconciliation-bottlenecks-in-multi-entity-orgs" TargetMode="External"/><Relationship Id="rId15" Type="http://schemas.openxmlformats.org/officeDocument/2006/relationships/image" Target="media/image80.png"/><Relationship Id="rId110" Type="http://schemas.openxmlformats.org/officeDocument/2006/relationships/hyperlink" Target="https://www.cmaanet.org/sites/default/files/resource/Qualifications%20vs%20Price-Based.pdf" TargetMode="External"/><Relationship Id="rId14" Type="http://schemas.openxmlformats.org/officeDocument/2006/relationships/image" Target="media/image67.png"/><Relationship Id="rId17" Type="http://schemas.openxmlformats.org/officeDocument/2006/relationships/image" Target="media/image73.png"/><Relationship Id="rId16" Type="http://schemas.openxmlformats.org/officeDocument/2006/relationships/image" Target="media/image77.png"/><Relationship Id="rId19" Type="http://schemas.openxmlformats.org/officeDocument/2006/relationships/image" Target="media/image23.png"/><Relationship Id="rId114" Type="http://schemas.openxmlformats.org/officeDocument/2006/relationships/hyperlink" Target="https://member.procurementleaders.com/wp-content/uploads/2021/08/PL-research-Data-driven-Decision-making-procurement-future-foundations_web.pdf" TargetMode="External"/><Relationship Id="rId18" Type="http://schemas.openxmlformats.org/officeDocument/2006/relationships/image" Target="media/image18.png"/><Relationship Id="rId113" Type="http://schemas.openxmlformats.org/officeDocument/2006/relationships/hyperlink" Target="https://www.researchgate.net/publication/393012791_Managing_risks_in_supplier_selection_and_order_allocation" TargetMode="External"/><Relationship Id="rId112" Type="http://schemas.openxmlformats.org/officeDocument/2006/relationships/hyperlink" Target="https://www.nber.org/reporter/2025number2/reporter/collusion-public-procurement" TargetMode="External"/><Relationship Id="rId111" Type="http://schemas.openxmlformats.org/officeDocument/2006/relationships/hyperlink" Target="https://artofprocurement.com/blog/key-supplier-selection-criteria-every-procurement-executive-should-know" TargetMode="External"/><Relationship Id="rId84" Type="http://schemas.openxmlformats.org/officeDocument/2006/relationships/image" Target="media/image68.png"/><Relationship Id="rId83" Type="http://schemas.openxmlformats.org/officeDocument/2006/relationships/image" Target="media/image57.png"/><Relationship Id="rId86" Type="http://schemas.openxmlformats.org/officeDocument/2006/relationships/image" Target="media/image62.png"/><Relationship Id="rId85" Type="http://schemas.openxmlformats.org/officeDocument/2006/relationships/image" Target="media/image52.png"/><Relationship Id="rId88" Type="http://schemas.openxmlformats.org/officeDocument/2006/relationships/image" Target="media/image64.png"/><Relationship Id="rId87" Type="http://schemas.openxmlformats.org/officeDocument/2006/relationships/image" Target="media/image72.png"/><Relationship Id="rId89" Type="http://schemas.openxmlformats.org/officeDocument/2006/relationships/image" Target="media/image79.png"/><Relationship Id="rId80" Type="http://schemas.openxmlformats.org/officeDocument/2006/relationships/image" Target="media/image8.png"/><Relationship Id="rId82" Type="http://schemas.openxmlformats.org/officeDocument/2006/relationships/image" Target="media/image53.png"/><Relationship Id="rId81"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71.png"/><Relationship Id="rId8" Type="http://schemas.openxmlformats.org/officeDocument/2006/relationships/image" Target="media/image30.png"/><Relationship Id="rId73" Type="http://schemas.openxmlformats.org/officeDocument/2006/relationships/image" Target="media/image74.png"/><Relationship Id="rId72" Type="http://schemas.openxmlformats.org/officeDocument/2006/relationships/image" Target="media/image75.png"/><Relationship Id="rId75" Type="http://schemas.openxmlformats.org/officeDocument/2006/relationships/image" Target="media/image14.png"/><Relationship Id="rId74" Type="http://schemas.openxmlformats.org/officeDocument/2006/relationships/image" Target="media/image28.png"/><Relationship Id="rId77" Type="http://schemas.openxmlformats.org/officeDocument/2006/relationships/image" Target="media/image19.png"/><Relationship Id="rId76" Type="http://schemas.openxmlformats.org/officeDocument/2006/relationships/image" Target="media/image7.png"/><Relationship Id="rId79" Type="http://schemas.openxmlformats.org/officeDocument/2006/relationships/image" Target="media/image12.png"/><Relationship Id="rId78" Type="http://schemas.openxmlformats.org/officeDocument/2006/relationships/image" Target="media/image16.png"/><Relationship Id="rId71" Type="http://schemas.openxmlformats.org/officeDocument/2006/relationships/image" Target="media/image66.png"/><Relationship Id="rId70" Type="http://schemas.openxmlformats.org/officeDocument/2006/relationships/image" Target="media/image29.png"/><Relationship Id="rId62" Type="http://schemas.openxmlformats.org/officeDocument/2006/relationships/image" Target="media/image60.png"/><Relationship Id="rId61" Type="http://schemas.openxmlformats.org/officeDocument/2006/relationships/image" Target="media/image48.png"/><Relationship Id="rId64" Type="http://schemas.openxmlformats.org/officeDocument/2006/relationships/image" Target="media/image39.png"/><Relationship Id="rId63" Type="http://schemas.openxmlformats.org/officeDocument/2006/relationships/image" Target="media/image81.png"/><Relationship Id="rId66" Type="http://schemas.openxmlformats.org/officeDocument/2006/relationships/image" Target="media/image44.png"/><Relationship Id="rId65" Type="http://schemas.openxmlformats.org/officeDocument/2006/relationships/image" Target="media/image51.png"/><Relationship Id="rId68" Type="http://schemas.openxmlformats.org/officeDocument/2006/relationships/image" Target="media/image33.png"/><Relationship Id="rId67" Type="http://schemas.openxmlformats.org/officeDocument/2006/relationships/image" Target="media/image61.png"/><Relationship Id="rId60" Type="http://schemas.openxmlformats.org/officeDocument/2006/relationships/image" Target="media/image40.png"/><Relationship Id="rId69" Type="http://schemas.openxmlformats.org/officeDocument/2006/relationships/image" Target="media/image55.png"/><Relationship Id="rId51" Type="http://schemas.openxmlformats.org/officeDocument/2006/relationships/image" Target="media/image63.png"/><Relationship Id="rId50" Type="http://schemas.openxmlformats.org/officeDocument/2006/relationships/image" Target="media/image31.png"/><Relationship Id="rId53" Type="http://schemas.openxmlformats.org/officeDocument/2006/relationships/image" Target="media/image36.png"/><Relationship Id="rId52" Type="http://schemas.openxmlformats.org/officeDocument/2006/relationships/image" Target="media/image35.png"/><Relationship Id="rId55" Type="http://schemas.openxmlformats.org/officeDocument/2006/relationships/image" Target="media/image82.png"/><Relationship Id="rId54" Type="http://schemas.openxmlformats.org/officeDocument/2006/relationships/image" Target="media/image42.png"/><Relationship Id="rId57" Type="http://schemas.openxmlformats.org/officeDocument/2006/relationships/image" Target="media/image59.png"/><Relationship Id="rId56" Type="http://schemas.openxmlformats.org/officeDocument/2006/relationships/image" Target="media/image41.png"/><Relationship Id="rId59" Type="http://schemas.openxmlformats.org/officeDocument/2006/relationships/image" Target="media/image49.png"/><Relationship Id="rId58" Type="http://schemas.openxmlformats.org/officeDocument/2006/relationships/image" Target="media/image56.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