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Legacy State Paradox: A Comprehensive Analysis of Organizational Inertia and the Transition to Evidence-Based Excellence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organizational landscape is undergoing a fundamental epistemological reordering, shifting from a historical reliance on intuition and manual oversight toward a future defined by algorithmic precision and continuous intelligence. This transition is not merely a technological upgrade but a profound evolution in organizational logic, where the "Legacy State" of operations—characterized by estimated performance, inherent uncertainty, and anecdotal transparency—is being systematically dismantled by the imperatives of the digital economy. For decades, the structural foundations of enterprise management have rested upon six pillars of the legacy state: measurability derived from "felt" performance, predictability rooted in inherent uncertainty, transparency characterized as opaque or anecdotal, planning as a manual and periodic exercise dependent on narrow expertise, selection governed by habit or relationship, and integration siloed by function and reconciled manually. The following analysis explores these challenges in exhaustive detail, quantifying the cost of inertia and identifying the mechanisms through which organizations transition toward modernized excellence.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Crisis of Intangible Performance: Moving Beyond the "Felt" State of Measurability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pillar of the legacy state is a profound deficit in measurability. In this environment, performance data is often non-existent, and strategic decisions are predicated on what managers "feel" to be true rather than empirical evidence. This "managerial reliance on gut feeling" has historically been seen as a hallmark of leadership, an acquired instinct that combines deep experience with an unconscious ability to recognize patterns that others overlook.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traditional form of intuition-driven judgment often lacks transparency, reproducibility, and empirical verification.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organizations grow in complexity, the limitations of the human "gut" as a measurement tool become increasingly apparent.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and operational ramifications of this measurement gap are substantial. When performance is estimated rather than measured, organizations operate in a state of cognitive blindness. Research indicates that highly data-driven organizations are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3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more likely to report significant improvements in decision-making compared to those that rely less on 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improvement is not merely theoretical; it manifests in the ability to benchmark current operations, understand the impact of specific choices, and instill a level of confidence that allows a company to commit fully to a strategic vision without the persistent concern that the decision was based on a flawed hunch.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 modernized state of measurability requires the adoption of frameworks that emphasize specific, tangible outcomes. The OKR (Objectives and Key Results) framework, for instance, focuses on breaking down strategic objectives into critical, measurable milestones.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Unlike traditional "felt" performance, OKRs require that key results be quantifiable and verifiable. For a multinational corporation, this alignment is essential; it ensures that individual goals across thousands of employees are synchronized with the overarching strategy.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Similarly, the KPI (Key Performance Indicator) framework allows organizations to tie individual and departmental objectives to tangible outcomes, ensuring worldwide consistency in operations and services.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State (Estimated/Felt)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Modernized State (Measurable/Data-Driven)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Quantifiable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Decision-Making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Subjective, idiosyncratic, non-reproducible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Objective, logical, and empirically 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76535" cy="188267"/>
                  <wp:effectExtent b="0" l="0" r="0" t="0"/>
                  <wp:docPr id="3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76535" cy="1882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improvement in effectiveness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Pricing 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Based on past experience or "one-size-fits-all"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Granular, AI-driven, and segment-specific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15206" cy="187136"/>
                  <wp:effectExtent b="0" l="0" r="0" t="0"/>
                  <wp:docPr id="3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15206" cy="1871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w:t>
            </w:r>
            <w:r w:rsidDel="00000000" w:rsidR="00000000" w:rsidRPr="00000000">
              <w:rPr>
                <w:rFonts w:ascii="Google Sans" w:cs="Google Sans" w:eastAsia="Google Sans" w:hAnsi="Google Sans"/>
                <w:color w:val="1f1f1f"/>
                <w:shd w:fill="auto" w:val="clear"/>
              </w:rPr>
              <w:drawing>
                <wp:inline distB="19050" distT="19050" distL="19050" distR="19050">
                  <wp:extent cx="215206" cy="187136"/>
                  <wp:effectExtent b="0" l="0" r="0" t="0"/>
                  <wp:docPr id="3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15206" cy="1871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profit margin lift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Anecdotal and localized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via OKRs and KPIs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operational alignment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Confidence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Often undermined by uncertainty and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Instilled by concrete data and benchmarking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organizational commitment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remaining in the "felt" state is perhaps most visible in the realm of B2B pricing. Many companies in this sector tend to manage data rather than use it to drive decisions.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They often ignore advanced pricing analytics in favor of gut feeling or outdated analysis, resulting in significant "money left on the table" or the loss of customers to more precisely priced competitors.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McKinsey's analysis suggests that by listening to the data and using automated systems to identify narrow customer segments, companies can realize profit margin lifts of up to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3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selected products.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inability to measure price elasticity at a granular level is a direct consequence of the legacy state's measurability gap.</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Volatility Gap: The Transition from Inherent Uncertainty to Predictive Analytics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pillar of the legacy state, predictability, is defined by the assumption that the future is inherently uncertain and that the best an organization can do is react to events as they unfold. In this paradigm, planning is a static exercise—a "moment in time" frozen in a document while the world continues to move.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leads to a systemic failure known as "temporal mismatch," where organizations act using "yesterday's logic" to solve "today's problems".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lack of predictability is not a function of the market itself, but of the organization's inability to process signals and adapt its assumptions.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predictability involves a shift from periodic, reactive planning to continuous, predictive intelligence. Continuous planning utilizes a rolling forecast process where strategies are adjusted regularly in alignment with current market conditions.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allows FP&amp;A (Financial Planning and Analysis) teams to reassess forecasts based on the latest micro and macroeconomic data, transforming the planning function from a compliance-focused exercise into a strategic advantage.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speed of this transition is critical; whereas periodic processes are slow and laborious, continuous planning enables the creation of multiple "what-if" scenarios in just a few minutes.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Cost of Unpredictability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risks associated with inherent uncertainty are structural and can lead to systemic failure. When planning is episodic, assumptions are not revisited continuously, causing dependencies to remain hidden and capacity constraints to surface only after teams are already overcommitted.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was demonstrated in the catastrophic failure of Target Canada, which exited the market in less than two years with losses exceeding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3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Despite having a detailed initial plan, the organization failed to adapt to early signals regarding data quality and supply-chain readiness. The plan was optimized for agreement and commitment, while the actual environment required learning and rapid decision-making in the face of volatility.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decline of Nokia has been attributed to a lack of planning discipline capable of continuously revisiting core assumptions.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Decisions were judged against plans that were optimized for a specific, past moment, while the competitive conditions of the smartphone market were changing rapidly. The result was that the organization learned only after execution had failed, rather than during the planning process itself. Continuous planning, by contrast, provides "pre-decision feedback" that can change behavior before commitment.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Planning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Frequency/Timeframe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Periodic (Legacy)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 Quarterly, or Annual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Agreement, Commitment,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Stagnation, Temporal Mismatch, High Failure Risk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(Modernized)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Rolling, Real-time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Learning, Decision-Making, Agility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Scenario Analysis, Accurate Forecasting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(Future)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Instantaneous/Agentic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Foresight, Autonomous Adjustment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Resource Allocation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predictability is further enhanced by predictive analytics, which transform strategy from periodic reporting to continuous intelligence. By analyzing historical data and real-time signals, teams can forecast demand more accurately and anticipate supply disruptions.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leads to smarter sourcing and reduced costs. For example, organizations implementing a unified data layer—a key component of the modernized state—report up to a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3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overall efficiency and a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3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in manual processes.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Transparency Imperative: Breaking the Cycle of Anecdotal Governance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legacy state, transparency is often opaque or anecdotal. Performance is reported through narratives and "success stories" rather than through a clear, objective view of the organization's mechanics. This lack of transparency has deep roots in traditional organizational control theory. Traditional studies have conceptualized organizational control as "coercive," involving heavy-handed, bureaucratic attempts to ensure compliance through threats and strict adherence to standard procedures.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this view, any deviation from procedure is seen as suspect, and the focus remains on conformity and consistency.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modernization of transparency involves an "enabling view" of control. In this paradigm, control systems are designed to enable intelligent workers to deal more effectively with inevitable contingencies.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approach emphasizes clarifying responsibilities and providing guidance, using control to coordinate activities by enhancing information exchange.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Managers provide workers with an understanding of the rationale for the control system as well as contextual information on how their specific tasks fit into the broader organization.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enabling view goes hand-in-hand with worker empowerment and transparency, allowing for higher levels of efficiency and effectiveness.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Perceptual Expertise and the Transparency Gap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challenge in achieving transparency is the reliance on "expertise-dependent" perception. Research into "perceptual expertise" shows that experts and novices differ fundamentally in how they "see" and categorize information within their domain.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Experts possess a holistic understanding of their environment, allowing them to selectively focus on task-related information while suppressing distractions.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ability, often referred to as "professional vision," is not straightforward; experts use specific visual strategies, reflected in eye movement metrics such as lower fixation rates and longer fixation durations, to extract more task-relevant information from a scene.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legacy organization where transparency is anecdotal, this expertise remains locked in the minds of a few individuals. This creates a bottleneck and a risk; the organization's "vision" is limited to what its experts choose to report or what they happen to notice. The transition to a modernized state involves externalizing this expertise through data-driven systems. For example, in the field of radiotherapy, the treatment planning process is historically an iterative, expertise-dependent task.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growing burden of cancer cases has made this reliance on manual, expert-driven planning unsustainable. Modernized frameworks now leverage Large Language Model (LLM)-based agents to interact with clinical treatment systems, extracting plan states and proposing constraints in a manner that mimics human expertise but with higher transparency and speed.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shift toward "augmented intelligence" does not signal the obsolescence of human judgment but rather its enhancement.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making the logic of decision-making transparent—moving from the "black box" of human intuition to the "open book" of algorithmic recommendations—organizations can democratize expertise.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challenges traditional notions of leadership and authority, requiring managers to interpret algorithmic insights and develop trust in digital systems.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Rigidity in Tactical Design: Overcoming the Manual, Expertise-Dependent Planning Trap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Planning in the legacy state is characterized by three debilitating traits: it is manual, it is heavily dependent on specific expertise, and it is periodic. This combination creates a "planning theater" where great strategies go to die.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manual nature of this work is a staggering drain on resources. In a typical 1,000-person organization, approximately 100,000 annual person-hours are spent solely on reconciliation and manual data entry.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translates to roughly 100 hours per employee per year dedicated to matching financial records and cross-referencing transactions.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"expertise-dependency" of planning creates significant service capacity bottlenecks. In clinical environments, such as medical physics or dosimetry, persistent shortages in the workforce lead to increased plan turnaround times and quality assurance issues.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these tasks require years of dedicated practice to acquire the necessary "cognitive perceptual skills," the organization is unable to scale its planning capacity quickly in response to increased demand.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Quantifiable Efficiency Gain of Automation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automated, continuous planning delivers immediate and substantial ROI. Manual reconciliation can take up to </w:t>
      </w:r>
      <w:r w:rsidDel="00000000" w:rsidR="00000000" w:rsidRPr="00000000">
        <w:rPr>
          <w:rFonts w:ascii="Google Sans" w:cs="Google Sans" w:eastAsia="Google Sans" w:hAnsi="Google Sans"/>
          <w:color w:val="1f1f1f"/>
        </w:rPr>
        <w:drawing>
          <wp:inline distB="19050" distT="19050" distL="19050" distR="19050">
            <wp:extent cx="80814" cy="202034"/>
            <wp:effectExtent b="0" l="0" r="0" t="0"/>
            <wp:docPr id="38"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days to complete, whereas automated systems can reduce this time to as little as </w:t>
      </w:r>
      <w:r w:rsidDel="00000000" w:rsidR="00000000" w:rsidRPr="00000000">
        <w:rPr>
          <w:rFonts w:ascii="Google Sans" w:cs="Google Sans" w:eastAsia="Google Sans" w:hAnsi="Google Sans"/>
          <w:color w:val="1f1f1f"/>
        </w:rPr>
        <w:drawing>
          <wp:inline distB="19050" distT="19050" distL="19050" distR="19050">
            <wp:extent cx="80814" cy="202034"/>
            <wp:effectExtent b="0" l="0" r="0" t="0"/>
            <wp:docPr id="4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hours, depending on the complexity of the transactions.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FP&amp;A teams, the impact is even more dramatic; updating P&amp;L actuals and financial forecasting can be reduced from </w:t>
      </w:r>
      <w:r w:rsidDel="00000000" w:rsidR="00000000" w:rsidRPr="00000000">
        <w:rPr>
          <w:rFonts w:ascii="Google Sans" w:cs="Google Sans" w:eastAsia="Google Sans" w:hAnsi="Google Sans"/>
          <w:color w:val="1f1f1f"/>
        </w:rPr>
        <w:drawing>
          <wp:inline distB="19050" distT="19050" distL="19050" distR="19050">
            <wp:extent cx="80814" cy="202034"/>
            <wp:effectExtent b="0" l="0" r="0" t="0"/>
            <wp:docPr id="40"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days to just </w:t>
      </w:r>
      <w:r w:rsidDel="00000000" w:rsidR="00000000" w:rsidRPr="00000000">
        <w:rPr>
          <w:rFonts w:ascii="Google Sans" w:cs="Google Sans" w:eastAsia="Google Sans" w:hAnsi="Google Sans"/>
          <w:color w:val="1f1f1f"/>
        </w:rPr>
        <w:drawing>
          <wp:inline distB="19050" distT="19050" distL="19050" distR="19050">
            <wp:extent cx="80814" cy="202034"/>
            <wp:effectExtent b="0" l="0" r="0" t="0"/>
            <wp:docPr id="4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minutes.</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Planning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Manual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Modernized Automated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P&amp;L Actuals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814" cy="202034"/>
                  <wp:effectExtent b="0" l="0" r="0" t="0"/>
                  <wp:docPr id="4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814" cy="202034"/>
                  <wp:effectExtent b="0" l="0" r="0" t="0"/>
                  <wp:docPr id="4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91741" cy="190884"/>
                  <wp:effectExtent b="0" l="0" r="0" t="0"/>
                  <wp:docPr id="4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1741" cy="190884"/>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Scenario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Days to 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66278" cy="190318"/>
                  <wp:effectExtent b="0" l="0" r="0" t="0"/>
                  <wp:docPr id="4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6278" cy="19031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 Executive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7089" cy="191393"/>
                  <wp:effectExtent b="0" l="0" r="0" t="0"/>
                  <wp:docPr id="4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287089" cy="1913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Real-time/Instant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76535" cy="188267"/>
                  <wp:effectExtent b="0" l="0" r="0" t="0"/>
                  <wp:docPr id="4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376535" cy="188267"/>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 Reconciliation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814" cy="202034"/>
                  <wp:effectExtent b="0" l="0" r="0" t="0"/>
                  <wp:docPr id="4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814" cy="202034"/>
                  <wp:effectExtent b="0" l="0" r="0" t="0"/>
                  <wp:docPr id="5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91741" cy="190884"/>
                  <wp:effectExtent b="0" l="0" r="0" t="0"/>
                  <wp:docPr id="2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1741" cy="1908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time savings, the transition reduces the risk of human error. Over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Excel spreadsheets contain errors, which can lead to inaccurate financial records and flawed strategic decisions.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Automated systems significantly reduce these data entry errors and provide robust detection mechanisms for discrepancies. This is particularly critical in payment processing, where operational costs rise directly with increased volume due to the growing complexity of manual tasks.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Organizations that modernize their reconciliation and payment systems report efficiency gains of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day one of implementation.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Relational Selection Bias: From Habitual Procurement to Data-Backed Decisioning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Selection in the legacy state is often governed by habit or relationship rather than a rigorous assessment of value. This is particularly evident in relationship-based procurement (RBP), where a firm enters into long-term relationships with suppliers and incentivizes high-quality inputs by paying a premium over the supplier's costs.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Under this "relationship" system, instead of rigorous inspections, the firm relies on mutual trust and repeated exchange.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this can reduce demand uncertainty and search costs, it often leads to a failure in demonstrating "Value for Money" (VfM).</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public sector, RBP systems are frequently unpopular with decision-makers because of their inability to provide clear, price-based justifications for project selection.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Research into Australian infrastructure projects shows that while RBPs offer benefits in terms of collaboration and buildability, they are perceived as having a "softer price," making it difficult to get cabinet-level approval for contract awards.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firms often pay a </w:t>
      </w:r>
      <w:r w:rsidDel="00000000" w:rsidR="00000000" w:rsidRPr="00000000">
        <w:rPr>
          <w:rFonts w:ascii="Google Sans" w:cs="Google Sans" w:eastAsia="Google Sans" w:hAnsi="Google Sans"/>
          <w:color w:val="1f1f1f"/>
        </w:rPr>
        <w:drawing>
          <wp:inline distB="19050" distT="19050" distL="19050" distR="19050">
            <wp:extent cx="215206" cy="187136"/>
            <wp:effectExtent b="0" l="0" r="0" t="0"/>
            <wp:docPr id="2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15206" cy="1871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premium simply to purchase from a "known" supplier, even in the absence of other relationship benefits.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 Data-Backed Selection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 modernized state of selection involves the use of AI-driven analytics and predictive intelligence to optimize sourcing. Organizations deploying these tools can unlock around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savings potential and accelerate processes such as supplier selection by roughly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moving away from habit-based selection toward a unified data layer, procurement functions can transition from being cost centers to becoming "value creators".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analytics allow procurement teams to forecast demand more accurately and anticipate supply disruptions, leading to better inventory management and reduced costs.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2026, cloud-native systems are expected to be the norm, providing the foundation for AI agents that can make intelligent decisions based on the context provided by clean, orchestrated data.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represents a radical shift from the fragmented, relationship-dependent approach that has historically held many procurement teams back.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Sourcing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(Relationship-Based)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Modernized (Data-Backed)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Selection 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Habit, Trust, Long-term 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 Data, Predictive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38138" cy="216032"/>
                  <wp:effectExtent b="0" l="0" r="0" t="0"/>
                  <wp:docPr id="2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Savings Potential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Search Costs, Slow Iteration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Automated Sourcing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38138" cy="216032"/>
                  <wp:effectExtent b="0" l="0" r="0" t="0"/>
                  <wp:docPr id="2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faster selection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Pricing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for Trust (</w:t>
            </w:r>
            <w:r w:rsidDel="00000000" w:rsidR="00000000" w:rsidRPr="00000000">
              <w:rPr>
                <w:rFonts w:ascii="Google Sans" w:cs="Google Sans" w:eastAsia="Google Sans" w:hAnsi="Google Sans"/>
                <w:color w:val="1f1f1f"/>
                <w:shd w:fill="auto" w:val="clear"/>
              </w:rPr>
              <w:drawing>
                <wp:inline distB="19050" distT="19050" distL="19050" distR="19050">
                  <wp:extent cx="215206" cy="187136"/>
                  <wp:effectExtent b="0" l="0" r="0" t="0"/>
                  <wp:docPr id="2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15206" cy="1871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Value-based, competitive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 reduction in waste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Fragmented and Siloed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Unified Data Layer/Full 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3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Efficiency Increase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Deficit: Quantifying the Operational Cost of Functional Silos and Manual Reconciliation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pillar of the legacy state is integration, which is currently siloed by function and reconciled manually. This lack of business-wide integration is a primary inhibitor of scale. Research reveals that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scale-ups are hindered by manual data processes and data silos.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executives agree that their company's mix of software solutions is not fully integrated, making it difficult to manage new software and automate operations effectively.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"reconciliation tax" associated with manual integration is staggering. Large organizations lose an estimated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 yearly to manual reconciliation processes that drain resources and delay financial reporting.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manual processes rank among the top frustrations for accounting teams, often resulting in late nights during closing periods and a reduction in staff morale.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problem grows exponentially with organization size; as firms manage multiple entities, the volume of data requiring manual review multiplies, and staff members struggle to maintain accuracy standards.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Massive Opportunity Cost of Manual Integration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data reconciliation and cleanup work prevent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finance leaders from pursuing high-value strategic initiatives.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CFOs spend excessive time on routine matching tasks instead of focusing on strategic planning and risk management. This represents a significant opportunity cost as organizations demand more strategic input from their finance teams, particularly regarding mergers, acquisitions, and business development opportunities.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cost differential between manual and integrated systems is perhaps best illustrated in payment processing. Paper checks cost approximately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to process (including fees, postage, and administrative time), whereas digital transactions via FedNow cost as little as </w:t>
      </w:r>
      <w:r w:rsidDel="00000000" w:rsidR="00000000" w:rsidRPr="00000000">
        <w:rPr>
          <w:rFonts w:ascii="Google Sans" w:cs="Google Sans" w:eastAsia="Google Sans" w:hAnsi="Google Sans"/>
          <w:color w:val="1f1f1f"/>
        </w:rPr>
        <w:drawing>
          <wp:inline distB="19050" distT="19050" distL="19050" distR="19050">
            <wp:extent cx="448270" cy="190753"/>
            <wp:effectExtent b="0" l="0" r="0" t="0"/>
            <wp:docPr id="1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48270" cy="190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represents a </w:t>
      </w:r>
      <w:r w:rsidDel="00000000" w:rsidR="00000000" w:rsidRPr="00000000">
        <w:rPr>
          <w:rFonts w:ascii="Google Sans" w:cs="Google Sans" w:eastAsia="Google Sans" w:hAnsi="Google Sans"/>
          <w:color w:val="1f1f1f"/>
        </w:rPr>
        <w:drawing>
          <wp:inline distB="19050" distT="19050" distL="19050" distR="19050">
            <wp:extent cx="421333" cy="191515"/>
            <wp:effectExtent b="0" l="0" r="0" t="0"/>
            <wp:docPr id="17"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21333" cy="191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cost reduction available through modernization. For individual healthcare organizations, digital transformation in payments can save between </w:t>
      </w:r>
      <w:r w:rsidDel="00000000" w:rsidR="00000000" w:rsidRPr="00000000">
        <w:rPr>
          <w:rFonts w:ascii="Google Sans" w:cs="Google Sans" w:eastAsia="Google Sans" w:hAnsi="Google Sans"/>
          <w:color w:val="1f1f1f"/>
        </w:rPr>
        <w:drawing>
          <wp:inline distB="19050" distT="19050" distL="19050" distR="19050">
            <wp:extent cx="543222" cy="219195"/>
            <wp:effectExtent b="0" l="0" r="0" t="0"/>
            <wp:docPr id="1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43222" cy="21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9"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monthly, demonstrating a rapid and substantial ROI.</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Reconciliation (Legacy)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Integration (Modernized)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Opportunity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wasted on manual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38138" cy="216032"/>
                  <wp:effectExtent b="0" l="0" r="0" t="0"/>
                  <wp:docPr id="2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business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Negligible/Automated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re-allocation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 processing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67606" cy="188516"/>
                  <wp:effectExtent b="0" l="0" r="0" t="0"/>
                  <wp:docPr id="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367606" cy="1885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48270" cy="190753"/>
                  <wp:effectExtent b="0" l="0" r="0" t="0"/>
                  <wp:docPr id="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48270" cy="1907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421333" cy="191515"/>
                  <wp:effectExtent b="0" l="0" r="0" t="0"/>
                  <wp:docPr id="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21333" cy="1915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reduction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person-hours (1k person org)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56022" cy="191732"/>
                  <wp:effectExtent b="0" l="0" r="0" t="0"/>
                  <wp:docPr id="4"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56022" cy="1917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 on growth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 Leader Strategic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5"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(due to manual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66278" cy="190318"/>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6278" cy="1903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High-value ROI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addition to the direct financial costs, manual integration creates significant compliance and fraud risks. Manual reconciliation lacks the speed and accuracy to detect fraud promptly; automated systems, by contrast, flag discrepancies in real time, enabling swift action.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Association of Certified Fraud Examiners (ACFE) reports that organizations lose an estimated </w:t>
      </w:r>
      <w:r w:rsidDel="00000000" w:rsidR="00000000" w:rsidRPr="00000000">
        <w:rPr>
          <w:rFonts w:ascii="Google Sans" w:cs="Google Sans" w:eastAsia="Google Sans" w:hAnsi="Google Sans"/>
          <w:color w:val="1f1f1f"/>
        </w:rPr>
        <w:drawing>
          <wp:inline distB="19050" distT="19050" distL="19050" distR="19050">
            <wp:extent cx="245864" cy="217495"/>
            <wp:effectExtent b="0" l="0" r="0" t="0"/>
            <wp:docPr id="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245864" cy="21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annual revenue to fraud, highlighting the urgent need for the robust detection mechanisms provided by modern, integrated systems.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Outlook: The Path to Modernized Excellence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legacy state to a modernized state is a journey from "organizational fragility" toward "algorithmic resilience." The legacy state is inherently fragile because it relies on the subjective "feel" of individuals, the slow manual processing of data, and the static nature of periodic planning. This fragility makes organizations vulnerable to market volatility, human error, and systemic fraud. The modernized state, by contrast, is resilient because it leverages data to create a "single source of truth," uses predictive analytics to anticipate change, and employs automation to eliminate the "reconciliation tax."</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navigate this transition, organizations must address both technological and cultural readiness. Technological readiness involves investing in unified data layers, cloud-native systems, and integration platforms (iPaaS).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as research indicates, technological readiness alone does not guarantee success. Organizations must also cultivate an "analytics culture" where employees are comfortable with data-driven approaches and where AI initiatives are aligned with strategic objectives.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this shift extend to the very nature of organizational leadership. The "strategic compass" is no longer pointing solely in the direction of experience and personal judgment; it is now recalibrated by algorithms capable of identifying patterns and projecting outcomes at scales beyond human cognition.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does not mean the obsolescence of human leadership, but rather its evolution into "augmented intelligence." Leaders in 2026 and beyond must possess a combination of digital literacy, AI fluency, and strategic judgment.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size of the challenges associated with the legacy state is quantified in billions of dollars and hundreds of thousands of wasted person-hours. The ROI for modernization is not theoretical; it is measured in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efficiency gains from day one,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savings in procurement, and the recovery of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business time currently lost to manual processes. For the modern enterprise, the transition is no longer optional—it is the prerequisite for survival in a data-saturated, hyper-competitive global market. The transition pillars of measurability, predictability, transparency, continuous planning, data-backed selection, and seamless integration represent the blueprint for the high-performance organization of the future.</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Elements of Good Judgment | IR, accessed on February 26, 2026, </w:t>
      </w:r>
      <w:hyperlink r:id="rId36">
        <w:r w:rsidDel="00000000" w:rsidR="00000000" w:rsidRPr="00000000">
          <w:rPr>
            <w:rFonts w:ascii="Google Sans" w:cs="Google Sans" w:eastAsia="Google Sans" w:hAnsi="Google Sans"/>
            <w:color w:val="0000ee"/>
            <w:sz w:val="24"/>
            <w:szCs w:val="24"/>
            <w:u w:val="single"/>
            <w:rtl w:val="0"/>
          </w:rPr>
          <w:t xml:space="preserve">https://ir.westcliff.edu/wp-content/uploads/2020/01/The-Elements-of-Good-Judgment.pdf</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From Gut Feeling to Algorithmic Thinking: AI-Driven Decision ..., accessed on February 26,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https://www.researchgate.net/publication/394857012_FROM_GUT_FEELING_TO_ALGORITHMIC_THINKING_AI-DRIVEN_DECISION-_MAKING_IN_STRATEGIC_MANAGEMENT</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Advantages of Data-Driven Decision-Making | HBS Online, accessed on February 26, 2026, </w:t>
      </w:r>
      <w:hyperlink r:id="rId38">
        <w:r w:rsidDel="00000000" w:rsidR="00000000" w:rsidRPr="00000000">
          <w:rPr>
            <w:rFonts w:ascii="Google Sans" w:cs="Google Sans" w:eastAsia="Google Sans" w:hAnsi="Google Sans"/>
            <w:color w:val="0000ee"/>
            <w:sz w:val="24"/>
            <w:szCs w:val="24"/>
            <w:u w:val="single"/>
            <w:rtl w:val="0"/>
          </w:rPr>
          <w:t xml:space="preserve">https://online.hbs.edu/blog/post/data-driven-decision-making</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Effective Goal-Setting Frameworks Analyzed (+Tips for Selecting the Right One) - Deel, accessed on February 26, 2026, </w:t>
      </w:r>
      <w:hyperlink r:id="rId39">
        <w:r w:rsidDel="00000000" w:rsidR="00000000" w:rsidRPr="00000000">
          <w:rPr>
            <w:rFonts w:ascii="Google Sans" w:cs="Google Sans" w:eastAsia="Google Sans" w:hAnsi="Google Sans"/>
            <w:color w:val="0000ee"/>
            <w:sz w:val="24"/>
            <w:szCs w:val="24"/>
            <w:u w:val="single"/>
            <w:rtl w:val="0"/>
          </w:rPr>
          <w:t xml:space="preserve">https://www.deel.com/blog/goal-setting-frameworks/</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Power of Pricing - McKinsey, accessed on February 26, 2026, </w:t>
      </w:r>
      <w:hyperlink r:id="rId40">
        <w:r w:rsidDel="00000000" w:rsidR="00000000" w:rsidRPr="00000000">
          <w:rPr>
            <w:rFonts w:ascii="Google Sans" w:cs="Google Sans" w:eastAsia="Google Sans" w:hAnsi="Google Sans"/>
            <w:color w:val="0000ee"/>
            <w:sz w:val="24"/>
            <w:szCs w:val="24"/>
            <w:u w:val="single"/>
            <w:rtl w:val="0"/>
          </w:rPr>
          <w:t xml:space="preserve">https://www.mckinsey.com/~/media/mckinsey/business%20functions/marketing%20and%20sales/our%20insights/ebook%20the%20hidden%20power%20of%20pricing%20how%20b2b%20companies%20can%20unlock%20profit/the-hidden-power-of-pricing.pdf</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vs. planning: Why continuous planning must traverse time | CIO, accessed on February 26, 2026, </w:t>
      </w:r>
      <w:hyperlink r:id="rId41">
        <w:r w:rsidDel="00000000" w:rsidR="00000000" w:rsidRPr="00000000">
          <w:rPr>
            <w:rFonts w:ascii="Google Sans" w:cs="Google Sans" w:eastAsia="Google Sans" w:hAnsi="Google Sans"/>
            <w:color w:val="0000ee"/>
            <w:sz w:val="24"/>
            <w:szCs w:val="24"/>
            <w:u w:val="single"/>
            <w:rtl w:val="0"/>
          </w:rPr>
          <w:t xml:space="preserve">https://www.cio.com/article/4134757/plan-vs-planning-why-continuous-planning-must-traverse-time.html</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Between Periodic and Continuous Planning for ..., accessed on February 26, 2026, </w:t>
      </w:r>
      <w:hyperlink r:id="rId42">
        <w:r w:rsidDel="00000000" w:rsidR="00000000" w:rsidRPr="00000000">
          <w:rPr>
            <w:rFonts w:ascii="Google Sans" w:cs="Google Sans" w:eastAsia="Google Sans" w:hAnsi="Google Sans"/>
            <w:color w:val="0000ee"/>
            <w:sz w:val="24"/>
            <w:szCs w:val="24"/>
            <w:u w:val="single"/>
            <w:rtl w:val="0"/>
          </w:rPr>
          <w:t xml:space="preserve">https://www.pigment.com/blog/continuous-planning-for-forward-looking-fpa-teams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Procurement - Trends and Predictions for 2026, accessed on February 26, 2026, </w:t>
      </w:r>
      <w:hyperlink r:id="rId43">
        <w:r w:rsidDel="00000000" w:rsidR="00000000" w:rsidRPr="00000000">
          <w:rPr>
            <w:rFonts w:ascii="Google Sans" w:cs="Google Sans" w:eastAsia="Google Sans" w:hAnsi="Google Sans"/>
            <w:color w:val="0000ee"/>
            <w:sz w:val="24"/>
            <w:szCs w:val="24"/>
            <w:u w:val="single"/>
            <w:rtl w:val="0"/>
          </w:rPr>
          <w:t xml:space="preserve">https://www.getfocalpoint.com/the-future-of-procurement-trends-and-predictions-for-2026/</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Organizational Control Framework (Chapter 4), accessed on February 26, 2026, </w:t>
      </w:r>
      <w:hyperlink r:id="rId44">
        <w:r w:rsidDel="00000000" w:rsidR="00000000" w:rsidRPr="00000000">
          <w:rPr>
            <w:rFonts w:ascii="Google Sans" w:cs="Google Sans" w:eastAsia="Google Sans" w:hAnsi="Google Sans"/>
            <w:color w:val="0000ee"/>
            <w:sz w:val="24"/>
            <w:szCs w:val="24"/>
            <w:u w:val="single"/>
            <w:rtl w:val="0"/>
          </w:rPr>
          <w:t xml:space="preserve">https://www.cambridge.org/core/books/reconceptualizing-organizational-control/an-organizational-control-framework/AFA3FAAE0820A83280576FF2AC3AF314</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Perceptual Expertise and Attention: An Exploration using Deep Neural Networks - PMC, accessed on February 26,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https://pmc.ncbi.nlm.nih.gov/articles/PMC11507720/</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Vision and the Compensatory Effect of a Minimal Instructional Intervention: A Quasi-Experimental Eye-Tracking Study With Novice and Expert Teachers - Frontiers, accessed on February 26, 2026,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https://www.frontiersin.org/journals/education/articles/10.3389/feduc.2022.890690/full</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Expertise-driven temporal gaze dynamics during anticipation in volleyball - PMC - NIH, accessed on February 26,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https://pmc.ncbi.nlm.nih.gov/articles/PMC12530602/</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Large Language Model Agents for Fully Automated Radiotherapy Treatment Planning - arXiv, accessed on February 26, 2026, </w:t>
      </w:r>
      <w:hyperlink r:id="rId48">
        <w:r w:rsidDel="00000000" w:rsidR="00000000" w:rsidRPr="00000000">
          <w:rPr>
            <w:rFonts w:ascii="Google Sans" w:cs="Google Sans" w:eastAsia="Google Sans" w:hAnsi="Google Sans"/>
            <w:color w:val="0000ee"/>
            <w:sz w:val="24"/>
            <w:szCs w:val="24"/>
            <w:u w:val="single"/>
            <w:rtl w:val="0"/>
          </w:rPr>
          <w:t xml:space="preserve">https://arxiv.org/html/2510.11754v1</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records. The proposed method was evaluated on a retrospective cohort of 2,985 cancer patients, including those with oropharyngea - Ovid, accessed on February 26, 2026, </w:t>
      </w:r>
      <w:hyperlink r:id="rId49">
        <w:r w:rsidDel="00000000" w:rsidR="00000000" w:rsidRPr="00000000">
          <w:rPr>
            <w:rFonts w:ascii="Google Sans" w:cs="Google Sans" w:eastAsia="Google Sans" w:hAnsi="Google Sans"/>
            <w:color w:val="0000ee"/>
            <w:sz w:val="24"/>
            <w:szCs w:val="24"/>
            <w:u w:val="single"/>
            <w:rtl w:val="0"/>
          </w:rPr>
          <w:t xml:space="preserve">https://www.ovid.com/journals/medph/pdf/00005706-202510000-01127~large-language-model-driven-agentic-system-for-collaborative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Statistics That Expose Reconciliation Bottlenecks in Multi-entity Orgs - Resolve Pay, accessed on February 26, 2026, </w:t>
      </w:r>
      <w:hyperlink r:id="rId50">
        <w:r w:rsidDel="00000000" w:rsidR="00000000" w:rsidRPr="00000000">
          <w:rPr>
            <w:rFonts w:ascii="Google Sans" w:cs="Google Sans" w:eastAsia="Google Sans" w:hAnsi="Google Sans"/>
            <w:color w:val="0000ee"/>
            <w:sz w:val="24"/>
            <w:szCs w:val="24"/>
            <w:u w:val="single"/>
            <w:rtl w:val="0"/>
          </w:rPr>
          <w:t xml:space="preserve">https://resolvepay.com/blog/16-statistics-that-expose-reconciliation-bottlenecks-in-multi-entity-orgs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Expertise-dependent perceptual performance in chess tasks with varying complexity - Frontiers, accessed on February 26, 2026, </w:t>
      </w:r>
      <w:hyperlink r:id="rId51">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https://www.frontiersin.org/journals/psychology/articles/10.3389/fpsyg.2022.986787/full</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Manual Payment Reconciliation is Risky in 2025 - Optimus Fintech, accessed on February 26, 2026, </w:t>
      </w:r>
      <w:hyperlink r:id="rId52">
        <w:r w:rsidDel="00000000" w:rsidR="00000000" w:rsidRPr="00000000">
          <w:rPr>
            <w:rFonts w:ascii="Google Sans" w:cs="Google Sans" w:eastAsia="Google Sans" w:hAnsi="Google Sans"/>
            <w:color w:val="0000ee"/>
            <w:sz w:val="24"/>
            <w:szCs w:val="24"/>
            <w:u w:val="single"/>
            <w:rtl w:val="0"/>
          </w:rPr>
          <w:t xml:space="preserve">https://optimus.tech/blog/why-manual-payment-reconciliation-is-risky-in-2025</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Claims Reconciliation Statistics — 24 Critical Facts Transforming Payment Processing in 2025 - Talli Insights, accessed on February 26, 2026, </w:t>
      </w:r>
      <w:hyperlink r:id="rId53">
        <w:r w:rsidDel="00000000" w:rsidR="00000000" w:rsidRPr="00000000">
          <w:rPr>
            <w:rFonts w:ascii="Google Sans" w:cs="Google Sans" w:eastAsia="Google Sans" w:hAnsi="Google Sans"/>
            <w:color w:val="0000ee"/>
            <w:sz w:val="24"/>
            <w:szCs w:val="24"/>
            <w:u w:val="single"/>
            <w:rtl w:val="0"/>
          </w:rPr>
          <w:t xml:space="preserve">https://blog.talli.ai/reconciliation-in-claims-statistics/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 Policy Uncertainty May Affect the Organization of Firms' Supply Chains, accessed on February 26, 2026, </w:t>
      </w:r>
      <w:hyperlink r:id="rId54">
        <w:r w:rsidDel="00000000" w:rsidR="00000000" w:rsidRPr="00000000">
          <w:rPr>
            <w:rFonts w:ascii="Google Sans" w:cs="Google Sans" w:eastAsia="Google Sans" w:hAnsi="Google Sans"/>
            <w:color w:val="0000ee"/>
            <w:sz w:val="24"/>
            <w:szCs w:val="24"/>
            <w:u w:val="single"/>
            <w:rtl w:val="0"/>
          </w:rPr>
          <w:t xml:space="preserve">https://libertystreeteconomics.newyorkfed.org/2019/11/trade-policy-uncertainty-may-affect-the-organization-of-firms-supply-chains/</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Costs and Relational Contracting - GitHub Pages, accessed on February 26, 2026, </w:t>
      </w:r>
      <w:hyperlink r:id="rId55">
        <w:r w:rsidDel="00000000" w:rsidR="00000000" w:rsidRPr="00000000">
          <w:rPr>
            <w:rFonts w:ascii="Google Sans" w:cs="Google Sans" w:eastAsia="Google Sans" w:hAnsi="Google Sans"/>
            <w:color w:val="0000ee"/>
            <w:sz w:val="24"/>
            <w:szCs w:val="24"/>
            <w:u w:val="single"/>
            <w:rtl w:val="0"/>
          </w:rPr>
          <w:t xml:space="preserve">https://jrudder4.github.io/papers/Phonebooks_RudderDillon.pdf</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Lessons learnt from the use of relationship-based procurement methods in Australia: clients' perspectives - ResearchGate, accessed on February 26, 2026,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https://www.researchgate.net/publication/304032657_Lessons_learnt_from_the_use_of_relationship-based_procurement_methods_in_Australia_Clients'_perspectives</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Data Processes Hindering Growth for 87% of Scale-Ups - Jitterbit, accessed on February 26, 2026, </w:t>
      </w:r>
      <w:hyperlink r:id="rId57">
        <w:r w:rsidDel="00000000" w:rsidR="00000000" w:rsidRPr="00000000">
          <w:rPr>
            <w:rFonts w:ascii="Google Sans" w:cs="Google Sans" w:eastAsia="Google Sans" w:hAnsi="Google Sans"/>
            <w:color w:val="0000ee"/>
            <w:sz w:val="24"/>
            <w:szCs w:val="24"/>
            <w:u w:val="single"/>
            <w:rtl w:val="0"/>
          </w:rPr>
          <w:t xml:space="preserve">https://www.jitterbit.com/press-release/manual-data-processes-hindering-growth-for-87-of-scale-ups-new-jitterbit-research-reveals/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vs Dynamic Performance Management: Complete 2025 Comparison Guide, accessed on February 26, 2026, </w:t>
      </w:r>
      <w:hyperlink r:id="rId58">
        <w:r w:rsidDel="00000000" w:rsidR="00000000" w:rsidRPr="00000000">
          <w:rPr>
            <w:rFonts w:ascii="Google Sans" w:cs="Google Sans" w:eastAsia="Google Sans" w:hAnsi="Google Sans"/>
            <w:color w:val="0000ee"/>
            <w:sz w:val="24"/>
            <w:szCs w:val="24"/>
            <w:u w:val="single"/>
            <w:rtl w:val="0"/>
          </w:rPr>
          <w:t xml:space="preserve">https://www.profit.co/blog/performance-management/traditional-vs-dynamic-performance-management-complete-2025-comparison-guide/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ckinsey.com/~/media/mckinsey/business%20functions/marketing%20and%20sales/our%20insights/ebook%20the%20hidden%20power%20of%20pricing%20how%20b2b%20companies%20can%20unlock%20profit/the-hidden-power-of-pricing.pdf" TargetMode="External"/><Relationship Id="rId42" Type="http://schemas.openxmlformats.org/officeDocument/2006/relationships/hyperlink" Target="https://www.pigment.com/blog/continuous-planning-for-forward-looking-fpa-teams" TargetMode="External"/><Relationship Id="rId41" Type="http://schemas.openxmlformats.org/officeDocument/2006/relationships/hyperlink" Target="https://www.cio.com/article/4134757/plan-vs-planning-why-continuous-planning-must-traverse-time.html" TargetMode="External"/><Relationship Id="rId44" Type="http://schemas.openxmlformats.org/officeDocument/2006/relationships/hyperlink" Target="https://www.cambridge.org/core/books/reconceptualizing-organizational-control/an-organizational-control-framework/AFA3FAAE0820A83280576FF2AC3AF314" TargetMode="External"/><Relationship Id="rId43" Type="http://schemas.openxmlformats.org/officeDocument/2006/relationships/hyperlink" Target="https://www.getfocalpoint.com/the-future-of-procurement-trends-and-predictions-for-2026/" TargetMode="External"/><Relationship Id="rId46" Type="http://schemas.openxmlformats.org/officeDocument/2006/relationships/hyperlink" Target="https://www.frontiersin.org/journals/education/articles/10.3389/feduc.2022.890690/full" TargetMode="External"/><Relationship Id="rId45" Type="http://schemas.openxmlformats.org/officeDocument/2006/relationships/hyperlink" Target="https://pmc.ncbi.nlm.nih.gov/articles/PMC115077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arxiv.org/html/2510.11754v1" TargetMode="External"/><Relationship Id="rId47" Type="http://schemas.openxmlformats.org/officeDocument/2006/relationships/hyperlink" Target="https://pmc.ncbi.nlm.nih.gov/articles/PMC12530602/" TargetMode="External"/><Relationship Id="rId49" Type="http://schemas.openxmlformats.org/officeDocument/2006/relationships/hyperlink" Target="https://www.ovid.com/journals/medph/pdf/00005706-202510000-01127~large-language-model-driven-agentic-system-for-collaborative"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7.png"/><Relationship Id="rId8" Type="http://schemas.openxmlformats.org/officeDocument/2006/relationships/image" Target="media/image20.png"/><Relationship Id="rId31" Type="http://schemas.openxmlformats.org/officeDocument/2006/relationships/image" Target="media/image26.png"/><Relationship Id="rId30" Type="http://schemas.openxmlformats.org/officeDocument/2006/relationships/image" Target="media/image14.png"/><Relationship Id="rId33" Type="http://schemas.openxmlformats.org/officeDocument/2006/relationships/image" Target="media/image11.png"/><Relationship Id="rId32" Type="http://schemas.openxmlformats.org/officeDocument/2006/relationships/image" Target="media/image10.png"/><Relationship Id="rId35" Type="http://schemas.openxmlformats.org/officeDocument/2006/relationships/image" Target="media/image8.png"/><Relationship Id="rId34" Type="http://schemas.openxmlformats.org/officeDocument/2006/relationships/image" Target="media/image7.png"/><Relationship Id="rId37" Type="http://schemas.openxmlformats.org/officeDocument/2006/relationships/hyperlink" Target="https://www.researchgate.net/publication/394857012_FROM_GUT_FEELING_TO_ALGORITHMIC_THINKING_AI-DRIVEN_DECISION-_MAKING_IN_STRATEGIC_MANAGEMENT" TargetMode="External"/><Relationship Id="rId36" Type="http://schemas.openxmlformats.org/officeDocument/2006/relationships/hyperlink" Target="https://ir.westcliff.edu/wp-content/uploads/2020/01/The-Elements-of-Good-Judgment.pdf" TargetMode="External"/><Relationship Id="rId39" Type="http://schemas.openxmlformats.org/officeDocument/2006/relationships/hyperlink" Target="https://www.deel.com/blog/goal-setting-frameworks/" TargetMode="External"/><Relationship Id="rId38" Type="http://schemas.openxmlformats.org/officeDocument/2006/relationships/hyperlink" Target="https://online.hbs.edu/blog/post/data-driven-decision-making" TargetMode="External"/><Relationship Id="rId20" Type="http://schemas.openxmlformats.org/officeDocument/2006/relationships/image" Target="media/image30.png"/><Relationship Id="rId22" Type="http://schemas.openxmlformats.org/officeDocument/2006/relationships/image" Target="media/image4.png"/><Relationship Id="rId21" Type="http://schemas.openxmlformats.org/officeDocument/2006/relationships/image" Target="media/image16.png"/><Relationship Id="rId24" Type="http://schemas.openxmlformats.org/officeDocument/2006/relationships/image" Target="media/image1.png"/><Relationship Id="rId23" Type="http://schemas.openxmlformats.org/officeDocument/2006/relationships/image" Target="media/image9.png"/><Relationship Id="rId26" Type="http://schemas.openxmlformats.org/officeDocument/2006/relationships/image" Target="media/image23.png"/><Relationship Id="rId25" Type="http://schemas.openxmlformats.org/officeDocument/2006/relationships/image" Target="media/image28.png"/><Relationship Id="rId28" Type="http://schemas.openxmlformats.org/officeDocument/2006/relationships/image" Target="media/image12.png"/><Relationship Id="rId27" Type="http://schemas.openxmlformats.org/officeDocument/2006/relationships/image" Target="media/image6.png"/><Relationship Id="rId29" Type="http://schemas.openxmlformats.org/officeDocument/2006/relationships/image" Target="media/image25.png"/><Relationship Id="rId51" Type="http://schemas.openxmlformats.org/officeDocument/2006/relationships/hyperlink" Target="https://www.frontiersin.org/journals/psychology/articles/10.3389/fpsyg.2022.986787/full" TargetMode="External"/><Relationship Id="rId50" Type="http://schemas.openxmlformats.org/officeDocument/2006/relationships/hyperlink" Target="https://resolvepay.com/blog/16-statistics-that-expose-reconciliation-bottlenecks-in-multi-entity-orgs" TargetMode="External"/><Relationship Id="rId53" Type="http://schemas.openxmlformats.org/officeDocument/2006/relationships/hyperlink" Target="https://blog.talli.ai/reconciliation-in-claims-statistics/" TargetMode="External"/><Relationship Id="rId52" Type="http://schemas.openxmlformats.org/officeDocument/2006/relationships/hyperlink" Target="https://optimus.tech/blog/why-manual-payment-reconciliation-is-risky-in-2025" TargetMode="External"/><Relationship Id="rId11" Type="http://schemas.openxmlformats.org/officeDocument/2006/relationships/image" Target="media/image27.png"/><Relationship Id="rId55" Type="http://schemas.openxmlformats.org/officeDocument/2006/relationships/hyperlink" Target="https://jrudder4.github.io/papers/Phonebooks_RudderDillon.pdf" TargetMode="External"/><Relationship Id="rId10" Type="http://schemas.openxmlformats.org/officeDocument/2006/relationships/image" Target="media/image3.png"/><Relationship Id="rId54" Type="http://schemas.openxmlformats.org/officeDocument/2006/relationships/hyperlink" Target="https://libertystreeteconomics.newyorkfed.org/2019/11/trade-policy-uncertainty-may-affect-the-organization-of-firms-supply-chains/" TargetMode="External"/><Relationship Id="rId13" Type="http://schemas.openxmlformats.org/officeDocument/2006/relationships/image" Target="media/image18.png"/><Relationship Id="rId57" Type="http://schemas.openxmlformats.org/officeDocument/2006/relationships/hyperlink" Target="https://www.jitterbit.com/press-release/manual-data-processes-hindering-growth-for-87-of-scale-ups-new-jitterbit-research-reveals/" TargetMode="External"/><Relationship Id="rId12" Type="http://schemas.openxmlformats.org/officeDocument/2006/relationships/image" Target="media/image5.png"/><Relationship Id="rId56" Type="http://schemas.openxmlformats.org/officeDocument/2006/relationships/hyperlink" Target="https://www.researchgate.net/publication/304032657_Lessons_learnt_from_the_use_of_relationship-based_procurement_methods_in_Australia_Clients'_perspectives" TargetMode="External"/><Relationship Id="rId15" Type="http://schemas.openxmlformats.org/officeDocument/2006/relationships/image" Target="media/image19.png"/><Relationship Id="rId14" Type="http://schemas.openxmlformats.org/officeDocument/2006/relationships/image" Target="media/image24.png"/><Relationship Id="rId58" Type="http://schemas.openxmlformats.org/officeDocument/2006/relationships/hyperlink" Target="https://www.profit.co/blog/performance-management/traditional-vs-dynamic-performance-management-complete-2025-comparison-guide/" TargetMode="External"/><Relationship Id="rId17" Type="http://schemas.openxmlformats.org/officeDocument/2006/relationships/image" Target="media/image15.png"/><Relationship Id="rId16" Type="http://schemas.openxmlformats.org/officeDocument/2006/relationships/image" Target="media/image22.png"/><Relationship Id="rId19" Type="http://schemas.openxmlformats.org/officeDocument/2006/relationships/image" Target="media/image29.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