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C3BA" w14:textId="51AB902D" w:rsidR="00B06828" w:rsidRPr="00C935AD" w:rsidRDefault="00B06828" w:rsidP="00C935A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935AD">
        <w:rPr>
          <w:rFonts w:ascii="Times New Roman" w:hAnsi="Times New Roman" w:cs="Times New Roman"/>
          <w:b/>
          <w:bCs/>
        </w:rPr>
        <w:t>Exploratory analysis</w:t>
      </w:r>
    </w:p>
    <w:p w14:paraId="523E2F28" w14:textId="77777777" w:rsidR="00C935AD" w:rsidRDefault="00560EE1" w:rsidP="00C935AD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  <w:r w:rsidRPr="00C935AD">
        <w:rPr>
          <w:rFonts w:ascii="Times New Roman" w:hAnsi="Times New Roman" w:cs="Times New Roman"/>
        </w:rPr>
        <w:t>Of the 700 patients (</w:t>
      </w:r>
      <w:r w:rsidR="00C935AD" w:rsidRPr="00C935AD">
        <w:rPr>
          <w:rFonts w:ascii="Times New Roman" w:hAnsi="Times New Roman" w:cs="Times New Roman"/>
        </w:rPr>
        <w:t>Female</w:t>
      </w:r>
      <w:r w:rsidRPr="00C935AD">
        <w:rPr>
          <w:rFonts w:ascii="Times New Roman" w:hAnsi="Times New Roman" w:cs="Times New Roman"/>
        </w:rPr>
        <w:t xml:space="preserve"> = 306 (43.71%)</w:t>
      </w:r>
      <w:r w:rsidR="00C935AD" w:rsidRPr="00C935AD">
        <w:rPr>
          <w:rFonts w:ascii="Times New Roman" w:hAnsi="Times New Roman" w:cs="Times New Roman"/>
        </w:rPr>
        <w:t>;</w:t>
      </w:r>
      <w:r w:rsidRPr="00C935AD">
        <w:rPr>
          <w:rFonts w:ascii="Times New Roman" w:hAnsi="Times New Roman" w:cs="Times New Roman"/>
        </w:rPr>
        <w:t xml:space="preserve"> </w:t>
      </w:r>
      <w:r w:rsidR="00C935AD" w:rsidRPr="00C935AD">
        <w:rPr>
          <w:rFonts w:ascii="Times New Roman" w:hAnsi="Times New Roman" w:cs="Times New Roman"/>
        </w:rPr>
        <w:t>Male</w:t>
      </w:r>
      <w:r w:rsidRPr="00C935AD">
        <w:rPr>
          <w:rFonts w:ascii="Times New Roman" w:hAnsi="Times New Roman" w:cs="Times New Roman"/>
        </w:rPr>
        <w:t xml:space="preserve"> = 394 (56.23%</w:t>
      </w:r>
      <w:r w:rsidR="00C935AD" w:rsidRPr="00C935AD">
        <w:rPr>
          <w:rFonts w:ascii="Times New Roman" w:hAnsi="Times New Roman" w:cs="Times New Roman"/>
        </w:rPr>
        <w:t>))</w:t>
      </w:r>
      <w:r w:rsidRPr="00C935AD">
        <w:rPr>
          <w:rFonts w:ascii="Times New Roman" w:hAnsi="Times New Roman" w:cs="Times New Roman"/>
        </w:rPr>
        <w:t>, 227 had heart failure, and 473 did not.</w:t>
      </w:r>
      <w:r w:rsidR="00C935AD">
        <w:rPr>
          <w:rFonts w:ascii="Times New Roman" w:hAnsi="Times New Roman" w:cs="Times New Roman"/>
          <w:b/>
          <w:bCs/>
        </w:rPr>
        <w:t xml:space="preserve"> </w:t>
      </w:r>
    </w:p>
    <w:p w14:paraId="75C2B0DF" w14:textId="62CFFE98" w:rsidR="00C935AD" w:rsidRPr="00A41CF2" w:rsidRDefault="00560EE1" w:rsidP="000117EC">
      <w:pPr>
        <w:spacing w:line="480" w:lineRule="auto"/>
        <w:ind w:firstLine="720"/>
        <w:rPr>
          <w:rFonts w:ascii="Times New Roman" w:hAnsi="Times New Roman" w:cs="Times New Roman"/>
          <w:b/>
          <w:bCs/>
          <w:i/>
          <w:iCs/>
        </w:rPr>
      </w:pPr>
      <w:r w:rsidRPr="00C935AD">
        <w:rPr>
          <w:rFonts w:ascii="Times New Roman" w:hAnsi="Times New Roman" w:cs="Times New Roman"/>
        </w:rPr>
        <w:t>For continuous variables stratified by heart failure status, patients with heart failure were more likely to be older have significantly lower ejection fraction and eGFR, and significantly higher NT-proBNP levels</w:t>
      </w:r>
      <w:r w:rsidR="00040106" w:rsidRPr="00C935AD">
        <w:rPr>
          <w:rFonts w:ascii="Times New Roman" w:hAnsi="Times New Roman" w:cs="Times New Roman"/>
        </w:rPr>
        <w:t xml:space="preserve">, </w:t>
      </w:r>
      <w:r w:rsidRPr="00C935AD">
        <w:rPr>
          <w:rFonts w:ascii="Times New Roman" w:hAnsi="Times New Roman" w:cs="Times New Roman"/>
        </w:rPr>
        <w:t>and serum creatinine.</w:t>
      </w:r>
      <w:r w:rsidR="000117EC">
        <w:rPr>
          <w:rFonts w:ascii="Times New Roman" w:hAnsi="Times New Roman" w:cs="Times New Roman"/>
          <w:b/>
          <w:bCs/>
        </w:rPr>
        <w:t xml:space="preserve"> </w:t>
      </w:r>
      <w:r w:rsidRPr="00C935AD">
        <w:rPr>
          <w:rFonts w:ascii="Times New Roman" w:hAnsi="Times New Roman" w:cs="Times New Roman"/>
        </w:rPr>
        <w:t xml:space="preserve">For categorical variables stratified by heart failure status, hypertension, prior myocardial, </w:t>
      </w:r>
      <w:r w:rsidR="00040106" w:rsidRPr="00C935AD">
        <w:rPr>
          <w:rFonts w:ascii="Times New Roman" w:hAnsi="Times New Roman" w:cs="Times New Roman"/>
        </w:rPr>
        <w:t>diuretics</w:t>
      </w:r>
      <w:r w:rsidR="000117EC">
        <w:rPr>
          <w:rFonts w:ascii="Times New Roman" w:hAnsi="Times New Roman" w:cs="Times New Roman"/>
        </w:rPr>
        <w:t>,</w:t>
      </w:r>
      <w:r w:rsidR="00040106" w:rsidRPr="00C935AD">
        <w:rPr>
          <w:rFonts w:ascii="Times New Roman" w:hAnsi="Times New Roman" w:cs="Times New Roman"/>
        </w:rPr>
        <w:t xml:space="preserve"> </w:t>
      </w:r>
      <w:r w:rsidRPr="00C935AD">
        <w:rPr>
          <w:rFonts w:ascii="Times New Roman" w:hAnsi="Times New Roman" w:cs="Times New Roman"/>
        </w:rPr>
        <w:t>and atrial fibrillation were more prevalent in the heart failure group</w:t>
      </w:r>
      <w:r w:rsidR="000117EC">
        <w:rPr>
          <w:rFonts w:ascii="Times New Roman" w:hAnsi="Times New Roman" w:cs="Times New Roman"/>
        </w:rPr>
        <w:t xml:space="preserve">. </w:t>
      </w:r>
      <w:r w:rsidRPr="00C935AD">
        <w:rPr>
          <w:rFonts w:ascii="Times New Roman" w:hAnsi="Times New Roman" w:cs="Times New Roman"/>
        </w:rPr>
        <w:t>For sex</w:t>
      </w:r>
      <w:r w:rsidR="000117EC">
        <w:rPr>
          <w:rFonts w:ascii="Times New Roman" w:hAnsi="Times New Roman" w:cs="Times New Roman"/>
        </w:rPr>
        <w:t xml:space="preserve">, </w:t>
      </w:r>
      <w:r w:rsidRPr="00C935AD">
        <w:rPr>
          <w:rFonts w:ascii="Times New Roman" w:hAnsi="Times New Roman" w:cs="Times New Roman"/>
        </w:rPr>
        <w:t>BMI</w:t>
      </w:r>
      <w:r w:rsidR="000117EC">
        <w:rPr>
          <w:rFonts w:ascii="Times New Roman" w:hAnsi="Times New Roman" w:cs="Times New Roman"/>
        </w:rPr>
        <w:t xml:space="preserve">, </w:t>
      </w:r>
      <w:r w:rsidRPr="00C935AD">
        <w:rPr>
          <w:rFonts w:ascii="Times New Roman" w:hAnsi="Times New Roman" w:cs="Times New Roman"/>
        </w:rPr>
        <w:t>heart rate, systolic blood pressure, diastolic blood pressure</w:t>
      </w:r>
      <w:r w:rsidR="000117EC">
        <w:rPr>
          <w:rFonts w:ascii="Times New Roman" w:hAnsi="Times New Roman" w:cs="Times New Roman"/>
        </w:rPr>
        <w:t xml:space="preserve">, </w:t>
      </w:r>
      <w:r w:rsidRPr="00C935AD">
        <w:rPr>
          <w:rFonts w:ascii="Times New Roman" w:hAnsi="Times New Roman" w:cs="Times New Roman"/>
        </w:rPr>
        <w:t xml:space="preserve">smoking, </w:t>
      </w:r>
      <w:r w:rsidR="000117EC" w:rsidRPr="00C935AD">
        <w:rPr>
          <w:rFonts w:ascii="Times New Roman" w:hAnsi="Times New Roman" w:cs="Times New Roman"/>
        </w:rPr>
        <w:t>diabetes,</w:t>
      </w:r>
      <w:r w:rsidRPr="00C935AD">
        <w:rPr>
          <w:rFonts w:ascii="Times New Roman" w:hAnsi="Times New Roman" w:cs="Times New Roman"/>
        </w:rPr>
        <w:t xml:space="preserve"> anaemia,</w:t>
      </w:r>
      <w:r w:rsidR="00040106" w:rsidRPr="00C935AD">
        <w:rPr>
          <w:rFonts w:ascii="Times New Roman" w:hAnsi="Times New Roman" w:cs="Times New Roman"/>
        </w:rPr>
        <w:t xml:space="preserve"> and</w:t>
      </w:r>
      <w:r w:rsidRPr="00C935AD">
        <w:rPr>
          <w:rFonts w:ascii="Times New Roman" w:hAnsi="Times New Roman" w:cs="Times New Roman"/>
        </w:rPr>
        <w:t xml:space="preserve"> beta</w:t>
      </w:r>
      <w:r w:rsidR="00040106" w:rsidRPr="00C935AD">
        <w:rPr>
          <w:rFonts w:ascii="Times New Roman" w:hAnsi="Times New Roman" w:cs="Times New Roman"/>
        </w:rPr>
        <w:t>, the</w:t>
      </w:r>
      <w:r w:rsidRPr="00C935AD">
        <w:rPr>
          <w:rFonts w:ascii="Times New Roman" w:hAnsi="Times New Roman" w:cs="Times New Roman"/>
        </w:rPr>
        <w:t xml:space="preserve"> difference </w:t>
      </w:r>
      <w:r w:rsidRPr="00A41CF2">
        <w:rPr>
          <w:rFonts w:ascii="Times New Roman" w:hAnsi="Times New Roman" w:cs="Times New Roman"/>
        </w:rPr>
        <w:t>observed was non</w:t>
      </w:r>
      <w:r w:rsidR="00B14062" w:rsidRPr="00A41CF2">
        <w:rPr>
          <w:rFonts w:ascii="Times New Roman" w:hAnsi="Times New Roman" w:cs="Times New Roman"/>
        </w:rPr>
        <w:t>-</w:t>
      </w:r>
      <w:r w:rsidRPr="00A41CF2">
        <w:rPr>
          <w:rFonts w:ascii="Times New Roman" w:hAnsi="Times New Roman" w:cs="Times New Roman"/>
        </w:rPr>
        <w:t>significant</w:t>
      </w:r>
      <w:r w:rsidR="000117EC" w:rsidRPr="00A41CF2">
        <w:rPr>
          <w:rFonts w:ascii="Times New Roman" w:hAnsi="Times New Roman" w:cs="Times New Roman"/>
        </w:rPr>
        <w:t xml:space="preserve"> (</w:t>
      </w:r>
      <w:r w:rsidR="000117EC" w:rsidRPr="00A41CF2">
        <w:rPr>
          <w:rFonts w:ascii="Times New Roman" w:hAnsi="Times New Roman" w:cs="Times New Roman"/>
          <w:i/>
          <w:iCs/>
        </w:rPr>
        <w:t>See Table 1).</w:t>
      </w:r>
    </w:p>
    <w:p w14:paraId="69D5D6C6" w14:textId="5BD46F8B" w:rsidR="00C935AD" w:rsidRDefault="00560EE1" w:rsidP="00C935AD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  <w:r w:rsidRPr="00A41CF2">
        <w:rPr>
          <w:rFonts w:ascii="Times New Roman" w:hAnsi="Times New Roman" w:cs="Times New Roman"/>
        </w:rPr>
        <w:t>Boxplots and i</w:t>
      </w:r>
      <w:r w:rsidR="006D7F27" w:rsidRPr="00A41CF2">
        <w:rPr>
          <w:rFonts w:ascii="Times New Roman" w:hAnsi="Times New Roman" w:cs="Times New Roman"/>
        </w:rPr>
        <w:t>nterquartile range analysis revealed that NT-proBNP had the highest number of outliers (n</w:t>
      </w:r>
      <w:r w:rsidR="00391869" w:rsidRPr="00A41CF2">
        <w:rPr>
          <w:rFonts w:ascii="Times New Roman" w:hAnsi="Times New Roman" w:cs="Times New Roman"/>
        </w:rPr>
        <w:t xml:space="preserve"> </w:t>
      </w:r>
      <w:r w:rsidR="006D7F27" w:rsidRPr="00A41CF2">
        <w:rPr>
          <w:rFonts w:ascii="Times New Roman" w:hAnsi="Times New Roman" w:cs="Times New Roman"/>
        </w:rPr>
        <w:t>=</w:t>
      </w:r>
      <w:r w:rsidR="00391869" w:rsidRPr="00A41CF2">
        <w:rPr>
          <w:rFonts w:ascii="Times New Roman" w:hAnsi="Times New Roman" w:cs="Times New Roman"/>
        </w:rPr>
        <w:t xml:space="preserve"> </w:t>
      </w:r>
      <w:r w:rsidR="006D7F27" w:rsidRPr="00A41CF2">
        <w:rPr>
          <w:rFonts w:ascii="Times New Roman" w:hAnsi="Times New Roman" w:cs="Times New Roman"/>
        </w:rPr>
        <w:t xml:space="preserve">45, 6.4% of observations). </w:t>
      </w:r>
      <w:r w:rsidR="00040106" w:rsidRPr="00A41CF2">
        <w:rPr>
          <w:rFonts w:ascii="Times New Roman" w:hAnsi="Times New Roman" w:cs="Times New Roman"/>
        </w:rPr>
        <w:t>e</w:t>
      </w:r>
      <w:r w:rsidR="006D7F27" w:rsidRPr="00A41CF2">
        <w:rPr>
          <w:rFonts w:ascii="Times New Roman" w:hAnsi="Times New Roman" w:cs="Times New Roman"/>
        </w:rPr>
        <w:t>G</w:t>
      </w:r>
      <w:r w:rsidR="00186311" w:rsidRPr="00A41CF2">
        <w:rPr>
          <w:rFonts w:ascii="Times New Roman" w:hAnsi="Times New Roman" w:cs="Times New Roman"/>
        </w:rPr>
        <w:t>F</w:t>
      </w:r>
      <w:r w:rsidRPr="00A41CF2">
        <w:rPr>
          <w:rFonts w:ascii="Times New Roman" w:hAnsi="Times New Roman" w:cs="Times New Roman"/>
        </w:rPr>
        <w:t>R</w:t>
      </w:r>
      <w:r w:rsidR="006D7F27" w:rsidRPr="00A41CF2">
        <w:rPr>
          <w:rFonts w:ascii="Times New Roman" w:hAnsi="Times New Roman" w:cs="Times New Roman"/>
        </w:rPr>
        <w:t xml:space="preserve"> also displayed substantial outliers (n</w:t>
      </w:r>
      <w:r w:rsidR="00391869" w:rsidRPr="00A41CF2">
        <w:rPr>
          <w:rFonts w:ascii="Times New Roman" w:hAnsi="Times New Roman" w:cs="Times New Roman"/>
        </w:rPr>
        <w:t xml:space="preserve"> </w:t>
      </w:r>
      <w:r w:rsidR="006D7F27" w:rsidRPr="00A41CF2">
        <w:rPr>
          <w:rFonts w:ascii="Times New Roman" w:hAnsi="Times New Roman" w:cs="Times New Roman"/>
        </w:rPr>
        <w:t>=</w:t>
      </w:r>
      <w:r w:rsidR="00391869" w:rsidRPr="00A41CF2">
        <w:rPr>
          <w:rFonts w:ascii="Times New Roman" w:hAnsi="Times New Roman" w:cs="Times New Roman"/>
        </w:rPr>
        <w:t xml:space="preserve"> </w:t>
      </w:r>
      <w:r w:rsidR="006D7F27" w:rsidRPr="00A41CF2">
        <w:rPr>
          <w:rFonts w:ascii="Times New Roman" w:hAnsi="Times New Roman" w:cs="Times New Roman"/>
        </w:rPr>
        <w:t xml:space="preserve">31, 4.4%), </w:t>
      </w:r>
      <w:r w:rsidR="000117EC" w:rsidRPr="00A41CF2">
        <w:rPr>
          <w:rFonts w:ascii="Times New Roman" w:hAnsi="Times New Roman" w:cs="Times New Roman"/>
        </w:rPr>
        <w:t>showing</w:t>
      </w:r>
      <w:r w:rsidR="006D7F27" w:rsidRPr="00A41CF2">
        <w:rPr>
          <w:rFonts w:ascii="Times New Roman" w:hAnsi="Times New Roman" w:cs="Times New Roman"/>
        </w:rPr>
        <w:t xml:space="preserve"> the </w:t>
      </w:r>
      <w:r w:rsidR="000117EC" w:rsidRPr="00A41CF2">
        <w:rPr>
          <w:rFonts w:ascii="Times New Roman" w:hAnsi="Times New Roman" w:cs="Times New Roman"/>
        </w:rPr>
        <w:t>range</w:t>
      </w:r>
      <w:r w:rsidR="006D7F27" w:rsidRPr="00A41CF2">
        <w:rPr>
          <w:rFonts w:ascii="Times New Roman" w:hAnsi="Times New Roman" w:cs="Times New Roman"/>
        </w:rPr>
        <w:t xml:space="preserve"> in kidney function among heart failure patients. </w:t>
      </w:r>
    </w:p>
    <w:p w14:paraId="51F4F1AA" w14:textId="7FC81004" w:rsidR="00043F99" w:rsidRDefault="006D7F27" w:rsidP="00C935AD">
      <w:pPr>
        <w:spacing w:line="480" w:lineRule="auto"/>
        <w:ind w:firstLine="720"/>
        <w:rPr>
          <w:rFonts w:ascii="Times New Roman" w:hAnsi="Times New Roman" w:cs="Times New Roman"/>
        </w:rPr>
      </w:pPr>
      <w:r w:rsidRPr="00C935AD">
        <w:rPr>
          <w:rFonts w:ascii="Times New Roman" w:hAnsi="Times New Roman" w:cs="Times New Roman"/>
        </w:rPr>
        <w:t>These findings support the use of log transformation for NT-proBNP in regression modelling to address skewness</w:t>
      </w:r>
      <w:r w:rsidR="00560EE1" w:rsidRPr="00C935AD">
        <w:rPr>
          <w:rFonts w:ascii="Times New Roman" w:hAnsi="Times New Roman" w:cs="Times New Roman"/>
        </w:rPr>
        <w:t xml:space="preserve">, however, in the final model it was retained for interpretability, as the continuous </w:t>
      </w:r>
      <w:r w:rsidR="00040106" w:rsidRPr="00C935AD">
        <w:rPr>
          <w:rFonts w:ascii="Times New Roman" w:hAnsi="Times New Roman" w:cs="Times New Roman"/>
        </w:rPr>
        <w:t>form</w:t>
      </w:r>
      <w:r w:rsidR="00560EE1" w:rsidRPr="00C935AD">
        <w:rPr>
          <w:rFonts w:ascii="Times New Roman" w:hAnsi="Times New Roman" w:cs="Times New Roman"/>
        </w:rPr>
        <w:t xml:space="preserve"> remained highly significant in all models (p &lt; .001)</w:t>
      </w:r>
      <w:r w:rsidR="000117EC">
        <w:rPr>
          <w:rFonts w:ascii="Times New Roman" w:hAnsi="Times New Roman" w:cs="Times New Roman"/>
        </w:rPr>
        <w:t xml:space="preserve">, </w:t>
      </w:r>
      <w:r w:rsidR="00560EE1" w:rsidRPr="00C935AD">
        <w:rPr>
          <w:rFonts w:ascii="Times New Roman" w:hAnsi="Times New Roman" w:cs="Times New Roman"/>
        </w:rPr>
        <w:t xml:space="preserve">indicating that the skewness did not negatively affect its predictive power. </w:t>
      </w:r>
      <w:r w:rsidR="009F3D1C">
        <w:rPr>
          <w:rFonts w:ascii="Times New Roman" w:hAnsi="Times New Roman" w:cs="Times New Roman"/>
        </w:rPr>
        <w:t xml:space="preserve"> </w:t>
      </w:r>
    </w:p>
    <w:p w14:paraId="649CB7FB" w14:textId="77777777" w:rsidR="00560EE1" w:rsidRPr="00C935AD" w:rsidRDefault="00560EE1" w:rsidP="00C935AD">
      <w:pPr>
        <w:spacing w:line="480" w:lineRule="auto"/>
        <w:rPr>
          <w:rFonts w:ascii="Times New Roman" w:hAnsi="Times New Roman" w:cs="Times New Roman"/>
        </w:rPr>
      </w:pPr>
    </w:p>
    <w:p w14:paraId="2D729711" w14:textId="3DC6E81D" w:rsidR="00043F99" w:rsidRPr="00C935AD" w:rsidRDefault="00043F99" w:rsidP="00C935A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935AD">
        <w:rPr>
          <w:rFonts w:ascii="Times New Roman" w:hAnsi="Times New Roman" w:cs="Times New Roman"/>
          <w:b/>
          <w:bCs/>
        </w:rPr>
        <w:t>Variable treatment and model description</w:t>
      </w:r>
    </w:p>
    <w:p w14:paraId="75523C2A" w14:textId="25085EAC" w:rsidR="004E29D9" w:rsidRPr="00C935AD" w:rsidRDefault="00560EE1" w:rsidP="000117EC">
      <w:pPr>
        <w:spacing w:line="480" w:lineRule="auto"/>
        <w:ind w:firstLine="720"/>
        <w:rPr>
          <w:rFonts w:ascii="Times New Roman" w:hAnsi="Times New Roman" w:cs="Times New Roman"/>
        </w:rPr>
      </w:pPr>
      <w:r w:rsidRPr="00C935AD">
        <w:rPr>
          <w:rFonts w:ascii="Times New Roman" w:hAnsi="Times New Roman" w:cs="Times New Roman"/>
        </w:rPr>
        <w:t>Categorical variables were converted from ‘0’/’1’ integers to factors with labels.</w:t>
      </w:r>
      <w:r w:rsidR="000117EC">
        <w:rPr>
          <w:rFonts w:ascii="Times New Roman" w:hAnsi="Times New Roman" w:cs="Times New Roman"/>
        </w:rPr>
        <w:t xml:space="preserve"> </w:t>
      </w:r>
      <w:r w:rsidRPr="00C935AD">
        <w:rPr>
          <w:rFonts w:ascii="Times New Roman" w:hAnsi="Times New Roman" w:cs="Times New Roman"/>
        </w:rPr>
        <w:t>These were ‘No’/’Yes’, in exception for heart failure which was converted to ‘Absent’/’Present’, and sex, which was converted to ‘Female’/’Male’. This was done to improve readability and interpretability for outputs and summary tables.</w:t>
      </w:r>
      <w:r w:rsidR="000117EC">
        <w:rPr>
          <w:rFonts w:ascii="Times New Roman" w:hAnsi="Times New Roman" w:cs="Times New Roman"/>
        </w:rPr>
        <w:t xml:space="preserve"> </w:t>
      </w:r>
      <w:r w:rsidR="004E29D9" w:rsidRPr="00C935AD">
        <w:rPr>
          <w:rFonts w:ascii="Times New Roman" w:hAnsi="Times New Roman" w:cs="Times New Roman"/>
        </w:rPr>
        <w:t>All variables from the dataset were initially considered, excluding only patient identifiers to allow for analysis.</w:t>
      </w:r>
    </w:p>
    <w:p w14:paraId="2DC201F3" w14:textId="7C40C50D" w:rsidR="00560EE1" w:rsidRPr="00C935AD" w:rsidRDefault="00040106" w:rsidP="000117EC">
      <w:pPr>
        <w:spacing w:line="480" w:lineRule="auto"/>
        <w:ind w:firstLine="720"/>
        <w:rPr>
          <w:rFonts w:ascii="Times New Roman" w:hAnsi="Times New Roman" w:cs="Times New Roman"/>
        </w:rPr>
      </w:pPr>
      <w:r w:rsidRPr="00C935AD">
        <w:rPr>
          <w:rFonts w:ascii="Times New Roman" w:hAnsi="Times New Roman" w:cs="Times New Roman"/>
        </w:rPr>
        <w:lastRenderedPageBreak/>
        <w:t>Continuous and categorical versions of each predictor were compared using chi-squared and likelihood ratio tests, to determine the best model fit.</w:t>
      </w:r>
      <w:r w:rsidR="00A41CF2">
        <w:rPr>
          <w:rFonts w:ascii="Times New Roman" w:hAnsi="Times New Roman" w:cs="Times New Roman"/>
        </w:rPr>
        <w:t>, and categorised along standard clinical cutoffs</w:t>
      </w:r>
      <w:r w:rsidR="000117EC">
        <w:rPr>
          <w:rFonts w:ascii="Times New Roman" w:hAnsi="Times New Roman" w:cs="Times New Roman"/>
        </w:rPr>
        <w:t xml:space="preserve"> </w:t>
      </w:r>
      <w:r w:rsidR="00560EE1" w:rsidRPr="00C935AD">
        <w:rPr>
          <w:rFonts w:ascii="Times New Roman" w:hAnsi="Times New Roman" w:cs="Times New Roman"/>
        </w:rPr>
        <w:t>(</w:t>
      </w:r>
      <w:r w:rsidR="00B14062" w:rsidRPr="00C935AD">
        <w:rPr>
          <w:rFonts w:ascii="Times New Roman" w:hAnsi="Times New Roman" w:cs="Times New Roman"/>
          <w:i/>
          <w:iCs/>
        </w:rPr>
        <w:t>Yuan et al., 2025; Tromp et al., 2021</w:t>
      </w:r>
      <w:r w:rsidR="00A41CF2">
        <w:rPr>
          <w:rFonts w:ascii="Times New Roman" w:hAnsi="Times New Roman" w:cs="Times New Roman"/>
          <w:i/>
          <w:iCs/>
        </w:rPr>
        <w:t>; NHS, 2023; National Kidney Foundation, 2022; Welsh, 2022; see References</w:t>
      </w:r>
      <w:r w:rsidR="00560EE1" w:rsidRPr="00C935AD">
        <w:rPr>
          <w:rFonts w:ascii="Times New Roman" w:hAnsi="Times New Roman" w:cs="Times New Roman"/>
        </w:rPr>
        <w:t>)</w:t>
      </w:r>
      <w:r w:rsidR="000117EC">
        <w:rPr>
          <w:rFonts w:ascii="Times New Roman" w:hAnsi="Times New Roman" w:cs="Times New Roman"/>
        </w:rPr>
        <w:t>;</w:t>
      </w:r>
    </w:p>
    <w:p w14:paraId="1BA979CF" w14:textId="6B11CC4C" w:rsidR="00560EE1" w:rsidRPr="00C935AD" w:rsidRDefault="00BC472A" w:rsidP="00C935AD">
      <w:pPr>
        <w:spacing w:line="480" w:lineRule="auto"/>
        <w:ind w:firstLine="720"/>
        <w:rPr>
          <w:rFonts w:ascii="Times New Roman" w:hAnsi="Times New Roman" w:cs="Times New Roman"/>
        </w:rPr>
      </w:pPr>
      <w:r w:rsidRPr="00C935AD">
        <w:rPr>
          <w:rFonts w:ascii="Times New Roman" w:hAnsi="Times New Roman" w:cs="Times New Roman"/>
        </w:rPr>
        <w:t xml:space="preserve">Examining the likelihood ratio tests, </w:t>
      </w:r>
      <w:r w:rsidR="0088710B" w:rsidRPr="00C935AD">
        <w:rPr>
          <w:rFonts w:ascii="Times New Roman" w:hAnsi="Times New Roman" w:cs="Times New Roman"/>
        </w:rPr>
        <w:t>age (LRT p = .</w:t>
      </w:r>
      <w:r w:rsidR="00C67037" w:rsidRPr="00C935AD">
        <w:rPr>
          <w:rFonts w:ascii="Times New Roman" w:hAnsi="Times New Roman" w:cs="Times New Roman"/>
        </w:rPr>
        <w:t>001</w:t>
      </w:r>
      <w:r w:rsidR="0088710B" w:rsidRPr="00C935AD">
        <w:rPr>
          <w:rFonts w:ascii="Times New Roman" w:hAnsi="Times New Roman" w:cs="Times New Roman"/>
        </w:rPr>
        <w:t>), ejection fraction (p</w:t>
      </w:r>
      <w:r w:rsidR="00772D4D" w:rsidRPr="00C935AD">
        <w:rPr>
          <w:rFonts w:ascii="Times New Roman" w:hAnsi="Times New Roman" w:cs="Times New Roman"/>
        </w:rPr>
        <w:t xml:space="preserve"> </w:t>
      </w:r>
      <w:r w:rsidR="0088710B" w:rsidRPr="00C935AD">
        <w:rPr>
          <w:rFonts w:ascii="Times New Roman" w:hAnsi="Times New Roman" w:cs="Times New Roman"/>
        </w:rPr>
        <w:t>&lt;</w:t>
      </w:r>
      <w:r w:rsidR="00560EE1" w:rsidRPr="00C935AD">
        <w:rPr>
          <w:rFonts w:ascii="Times New Roman" w:hAnsi="Times New Roman" w:cs="Times New Roman"/>
        </w:rPr>
        <w:t xml:space="preserve"> </w:t>
      </w:r>
      <w:r w:rsidR="0088710B" w:rsidRPr="00C935AD">
        <w:rPr>
          <w:rFonts w:ascii="Times New Roman" w:hAnsi="Times New Roman" w:cs="Times New Roman"/>
        </w:rPr>
        <w:t>.001), and NT-proBNP (p</w:t>
      </w:r>
      <w:r w:rsidR="00772D4D" w:rsidRPr="00C935AD">
        <w:rPr>
          <w:rFonts w:ascii="Times New Roman" w:hAnsi="Times New Roman" w:cs="Times New Roman"/>
        </w:rPr>
        <w:t xml:space="preserve"> </w:t>
      </w:r>
      <w:r w:rsidR="0088710B" w:rsidRPr="00C935AD">
        <w:rPr>
          <w:rFonts w:ascii="Times New Roman" w:hAnsi="Times New Roman" w:cs="Times New Roman"/>
        </w:rPr>
        <w:t>&lt;</w:t>
      </w:r>
      <w:r w:rsidR="00560EE1" w:rsidRPr="00C935AD">
        <w:rPr>
          <w:rFonts w:ascii="Times New Roman" w:hAnsi="Times New Roman" w:cs="Times New Roman"/>
        </w:rPr>
        <w:t xml:space="preserve"> </w:t>
      </w:r>
      <w:r w:rsidR="0088710B" w:rsidRPr="00C935AD">
        <w:rPr>
          <w:rFonts w:ascii="Times New Roman" w:hAnsi="Times New Roman" w:cs="Times New Roman"/>
        </w:rPr>
        <w:t xml:space="preserve">.001) all showed significantly better fit as continuous </w:t>
      </w:r>
      <w:r w:rsidR="00560EE1" w:rsidRPr="00C935AD">
        <w:rPr>
          <w:rFonts w:ascii="Times New Roman" w:hAnsi="Times New Roman" w:cs="Times New Roman"/>
        </w:rPr>
        <w:t>variables and</w:t>
      </w:r>
      <w:r w:rsidR="0088710B" w:rsidRPr="00C935AD">
        <w:rPr>
          <w:rFonts w:ascii="Times New Roman" w:hAnsi="Times New Roman" w:cs="Times New Roman"/>
        </w:rPr>
        <w:t xml:space="preserve"> therefore remained continuous in the final model. </w:t>
      </w:r>
    </w:p>
    <w:p w14:paraId="7060B715" w14:textId="69C551F8" w:rsidR="007B0951" w:rsidRPr="00C935AD" w:rsidRDefault="007B0951" w:rsidP="00C935AD">
      <w:pPr>
        <w:spacing w:line="480" w:lineRule="auto"/>
        <w:rPr>
          <w:rFonts w:ascii="Times New Roman" w:hAnsi="Times New Roman" w:cs="Times New Roman"/>
          <w:b/>
          <w:bCs/>
        </w:rPr>
      </w:pPr>
      <w:r w:rsidRPr="00C935AD">
        <w:rPr>
          <w:rFonts w:ascii="Times New Roman" w:hAnsi="Times New Roman" w:cs="Times New Roman"/>
          <w:b/>
          <w:bCs/>
        </w:rPr>
        <w:t>Variable selection</w:t>
      </w:r>
      <w:r w:rsidR="006E4425">
        <w:rPr>
          <w:rFonts w:ascii="Times New Roman" w:hAnsi="Times New Roman" w:cs="Times New Roman"/>
          <w:b/>
          <w:bCs/>
        </w:rPr>
        <w:t>.</w:t>
      </w:r>
    </w:p>
    <w:p w14:paraId="29B828A0" w14:textId="59DF7860" w:rsidR="007B0951" w:rsidRPr="00C935AD" w:rsidRDefault="00560EE1" w:rsidP="000117EC">
      <w:pPr>
        <w:spacing w:line="480" w:lineRule="auto"/>
        <w:ind w:firstLine="720"/>
        <w:rPr>
          <w:rFonts w:ascii="Times New Roman" w:hAnsi="Times New Roman" w:cs="Times New Roman"/>
        </w:rPr>
      </w:pPr>
      <w:r w:rsidRPr="00C935AD">
        <w:rPr>
          <w:rFonts w:ascii="Times New Roman" w:hAnsi="Times New Roman" w:cs="Times New Roman"/>
        </w:rPr>
        <w:t>A</w:t>
      </w:r>
      <w:r w:rsidR="007B0951" w:rsidRPr="00C935AD">
        <w:rPr>
          <w:rFonts w:ascii="Times New Roman" w:hAnsi="Times New Roman" w:cs="Times New Roman"/>
        </w:rPr>
        <w:t xml:space="preserve"> stepwise </w:t>
      </w:r>
      <w:r w:rsidRPr="00C935AD">
        <w:rPr>
          <w:rFonts w:ascii="Times New Roman" w:hAnsi="Times New Roman" w:cs="Times New Roman"/>
        </w:rPr>
        <w:t>AIC</w:t>
      </w:r>
      <w:r w:rsidR="007B0951" w:rsidRPr="00C935AD">
        <w:rPr>
          <w:rFonts w:ascii="Times New Roman" w:hAnsi="Times New Roman" w:cs="Times New Roman"/>
        </w:rPr>
        <w:t xml:space="preserve"> </w:t>
      </w:r>
      <w:r w:rsidRPr="00C935AD">
        <w:rPr>
          <w:rFonts w:ascii="Times New Roman" w:hAnsi="Times New Roman" w:cs="Times New Roman"/>
        </w:rPr>
        <w:t xml:space="preserve">was performed </w:t>
      </w:r>
      <w:r w:rsidR="007B0951" w:rsidRPr="00C935AD">
        <w:rPr>
          <w:rFonts w:ascii="Times New Roman" w:hAnsi="Times New Roman" w:cs="Times New Roman"/>
        </w:rPr>
        <w:t>on the training data set</w:t>
      </w:r>
      <w:r w:rsidRPr="00C935AD">
        <w:rPr>
          <w:rFonts w:ascii="Times New Roman" w:hAnsi="Times New Roman" w:cs="Times New Roman"/>
        </w:rPr>
        <w:t xml:space="preserve"> to identify the most relevant predictor variables</w:t>
      </w:r>
      <w:r w:rsidR="007B0951" w:rsidRPr="00C935AD">
        <w:rPr>
          <w:rFonts w:ascii="Times New Roman" w:hAnsi="Times New Roman" w:cs="Times New Roman"/>
        </w:rPr>
        <w:t>.</w:t>
      </w:r>
      <w:r w:rsidRPr="00C935AD">
        <w:rPr>
          <w:rFonts w:ascii="Times New Roman" w:hAnsi="Times New Roman" w:cs="Times New Roman"/>
        </w:rPr>
        <w:t xml:space="preserve"> It was bidirectional, allowing for forward selection and backward elimination in order to avoid local optima.  </w:t>
      </w:r>
      <w:r w:rsidR="007B0951" w:rsidRPr="00C935AD">
        <w:rPr>
          <w:rFonts w:ascii="Times New Roman" w:hAnsi="Times New Roman" w:cs="Times New Roman"/>
        </w:rPr>
        <w:t xml:space="preserve">The stepwise model retained </w:t>
      </w:r>
      <w:r w:rsidR="00AC513D" w:rsidRPr="00C935AD">
        <w:rPr>
          <w:rFonts w:ascii="Times New Roman" w:hAnsi="Times New Roman" w:cs="Times New Roman"/>
        </w:rPr>
        <w:t>seven</w:t>
      </w:r>
      <w:r w:rsidR="007B0951" w:rsidRPr="00C935AD">
        <w:rPr>
          <w:rFonts w:ascii="Times New Roman" w:hAnsi="Times New Roman" w:cs="Times New Roman"/>
        </w:rPr>
        <w:t xml:space="preserve"> variables: sex, ejection fraction, NT-proBNP, serum creatinine, eGFR, atrial fibrillation,</w:t>
      </w:r>
      <w:r w:rsidR="00AC513D" w:rsidRPr="00C935AD">
        <w:rPr>
          <w:rFonts w:ascii="Times New Roman" w:hAnsi="Times New Roman" w:cs="Times New Roman"/>
        </w:rPr>
        <w:t xml:space="preserve"> and </w:t>
      </w:r>
      <w:r w:rsidR="00886523" w:rsidRPr="00C935AD">
        <w:rPr>
          <w:rFonts w:ascii="Times New Roman" w:hAnsi="Times New Roman" w:cs="Times New Roman"/>
        </w:rPr>
        <w:t>ACE inhibitors.</w:t>
      </w:r>
    </w:p>
    <w:p w14:paraId="3678A5F3" w14:textId="0E0D81A5" w:rsidR="00C935AD" w:rsidRDefault="00C61D1C" w:rsidP="00C935AD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hAnsi="Times New Roman" w:cs="Times New Roman"/>
        </w:rPr>
        <w:t>To compare relative influence that each predictor variable had on heart failure,</w:t>
      </w:r>
      <w:r w:rsidR="004E29D9" w:rsidRPr="00C935AD">
        <w:rPr>
          <w:rFonts w:ascii="Times New Roman" w:hAnsi="Times New Roman" w:cs="Times New Roman"/>
        </w:rPr>
        <w:t xml:space="preserve"> the logistic regression was then refitted with</w:t>
      </w:r>
      <w:r w:rsidRPr="00C935AD">
        <w:rPr>
          <w:rFonts w:ascii="Times New Roman" w:hAnsi="Times New Roman" w:cs="Times New Roman"/>
        </w:rPr>
        <w:t xml:space="preserve"> all continuous variables standardise</w:t>
      </w:r>
      <w:r w:rsidR="004E29D9" w:rsidRPr="00C935AD">
        <w:rPr>
          <w:rFonts w:ascii="Times New Roman" w:hAnsi="Times New Roman" w:cs="Times New Roman"/>
        </w:rPr>
        <w:t xml:space="preserve">d. Within the training data we observed that </w:t>
      </w:r>
      <w:r w:rsidR="00886523" w:rsidRPr="00C935AD">
        <w:rPr>
          <w:rFonts w:ascii="Times New Roman" w:hAnsi="Times New Roman" w:cs="Times New Roman"/>
        </w:rPr>
        <w:t>age (</w:t>
      </w:r>
      <w:r w:rsidR="00886523" w:rsidRPr="00C935AD">
        <w:rPr>
          <w:rFonts w:ascii="Cambria Math" w:eastAsia="Times New Roman" w:hAnsi="Cambria Math" w:cs="Cambria Math"/>
          <w:color w:val="0A0A0A"/>
          <w:kern w:val="0"/>
          <w:lang w:eastAsia="en-GB"/>
          <w14:ligatures w14:val="none"/>
        </w:rPr>
        <w:t>𝜷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= 0.59), </w:t>
      </w:r>
      <w:r w:rsidR="009162E0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ejection</w:t>
      </w:r>
      <w:r w:rsidR="00040106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9162E0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fraction (</w:t>
      </w:r>
      <w:r w:rsidR="009162E0" w:rsidRPr="00C935AD">
        <w:rPr>
          <w:rFonts w:ascii="Cambria Math" w:eastAsia="Times New Roman" w:hAnsi="Cambria Math" w:cs="Cambria Math"/>
          <w:color w:val="0A0A0A"/>
          <w:kern w:val="0"/>
          <w:lang w:eastAsia="en-GB"/>
          <w14:ligatures w14:val="none"/>
        </w:rPr>
        <w:t>𝜷</w:t>
      </w:r>
      <w:r w:rsidR="009162E0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= -0.40), 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and NT-proBNP (</w:t>
      </w:r>
      <w:r w:rsidR="00886523" w:rsidRPr="00C935AD">
        <w:rPr>
          <w:rFonts w:ascii="Cambria Math" w:eastAsia="Times New Roman" w:hAnsi="Cambria Math" w:cs="Cambria Math"/>
          <w:color w:val="0A0A0A"/>
          <w:kern w:val="0"/>
          <w:lang w:eastAsia="en-GB"/>
          <w14:ligatures w14:val="none"/>
        </w:rPr>
        <w:t>𝜷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= 0.38) had the largest standardised coefficients, highlighting them as the most influential continuous predictors. Sex was not significant in the scaled model (p</w:t>
      </w:r>
      <w:r w:rsidR="00772D4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=</w:t>
      </w:r>
      <w:r w:rsidR="00772D4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.43) when age was included, but it remained highly significant in stepwise (p</w:t>
      </w:r>
      <w:r w:rsidR="00772D4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&lt;</w:t>
      </w:r>
      <w:r w:rsidR="00772D4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.001) after age 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exclusion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, suggesting 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confounding effect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. Given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the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significance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in the stepwise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AIC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,</w:t>
      </w:r>
      <w:r w:rsidR="000117EC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sex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was retained as a predictor variable in the final model.</w:t>
      </w:r>
    </w:p>
    <w:p w14:paraId="3A042875" w14:textId="3981752A" w:rsidR="00886523" w:rsidRPr="00C935AD" w:rsidRDefault="00886523" w:rsidP="00C935AD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hAnsi="Times New Roman" w:cs="Times New Roman"/>
        </w:rPr>
        <w:t xml:space="preserve">Serum creatinine </w:t>
      </w:r>
      <w:r w:rsidR="00560EE1" w:rsidRPr="00C935AD">
        <w:rPr>
          <w:rFonts w:ascii="Times New Roman" w:hAnsi="Times New Roman" w:cs="Times New Roman"/>
        </w:rPr>
        <w:t xml:space="preserve">showed a </w:t>
      </w:r>
      <w:r w:rsidRPr="00C935AD">
        <w:rPr>
          <w:rFonts w:ascii="Times New Roman" w:hAnsi="Times New Roman" w:cs="Times New Roman"/>
        </w:rPr>
        <w:t>negative coefficient in the stepwise model (</w:t>
      </w:r>
      <w:r w:rsidRPr="00C935AD">
        <w:rPr>
          <w:rFonts w:ascii="Cambria Math" w:eastAsia="Times New Roman" w:hAnsi="Cambria Math" w:cs="Cambria Math"/>
          <w:color w:val="0A0A0A"/>
          <w:kern w:val="0"/>
          <w:lang w:eastAsia="en-GB"/>
          <w14:ligatures w14:val="none"/>
        </w:rPr>
        <w:t>𝜷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= -4.36, OR = 0.01)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, which would suggest higher creatinine reduces heart failure risk. As eGFR is calculated from serum creatinine, the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high collinearity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may explain this result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. Serum creatinine was therefore excluded and eGFR was retained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(</w:t>
      </w:r>
      <w:r w:rsidRPr="00C935AD">
        <w:rPr>
          <w:rFonts w:ascii="Cambria Math" w:eastAsia="Times New Roman" w:hAnsi="Cambria Math" w:cs="Cambria Math"/>
          <w:color w:val="0A0A0A"/>
          <w:kern w:val="0"/>
          <w:lang w:eastAsia="en-GB"/>
          <w14:ligatures w14:val="none"/>
        </w:rPr>
        <w:t>𝜷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= -0.072, p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&lt;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.001)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as it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lastRenderedPageBreak/>
        <w:t>followed the clinically expected direction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. Although ACE inhibitor use was statistically significant (p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=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.036), it was excluded as it is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a treatment for heart failure, not a risk factor.</w:t>
      </w:r>
    </w:p>
    <w:p w14:paraId="344E61AF" w14:textId="77777777" w:rsidR="00C935AD" w:rsidRDefault="00560EE1" w:rsidP="00C935AD">
      <w:pPr>
        <w:spacing w:line="480" w:lineRule="auto"/>
        <w:ind w:firstLine="720"/>
        <w:rPr>
          <w:rFonts w:ascii="Times New Roman" w:hAnsi="Times New Roman" w:cs="Times New Roman"/>
        </w:rPr>
      </w:pPr>
      <w:r w:rsidRPr="00C935AD">
        <w:rPr>
          <w:rFonts w:ascii="Times New Roman" w:hAnsi="Times New Roman" w:cs="Times New Roman"/>
        </w:rPr>
        <w:t xml:space="preserve">While age was not retained in the stepwise AIC model, its statistical significance in the scaled model and exploratory analysis, as well as </w:t>
      </w:r>
      <w:r w:rsidR="00B14062" w:rsidRPr="00C935AD">
        <w:rPr>
          <w:rFonts w:ascii="Times New Roman" w:hAnsi="Times New Roman" w:cs="Times New Roman"/>
        </w:rPr>
        <w:t>its</w:t>
      </w:r>
      <w:r w:rsidRPr="00C935AD">
        <w:rPr>
          <w:rFonts w:ascii="Times New Roman" w:hAnsi="Times New Roman" w:cs="Times New Roman"/>
        </w:rPr>
        <w:t xml:space="preserve"> clinical significance (</w:t>
      </w:r>
      <w:r w:rsidR="00B14062" w:rsidRPr="00C935AD">
        <w:rPr>
          <w:rFonts w:ascii="Times New Roman" w:hAnsi="Times New Roman" w:cs="Times New Roman"/>
          <w:i/>
          <w:iCs/>
        </w:rPr>
        <w:t>Tromp et al., 2021</w:t>
      </w:r>
      <w:r w:rsidRPr="00C935AD">
        <w:rPr>
          <w:rFonts w:ascii="Times New Roman" w:hAnsi="Times New Roman" w:cs="Times New Roman"/>
        </w:rPr>
        <w:t>)</w:t>
      </w:r>
      <w:r w:rsidR="00B14062" w:rsidRPr="00C935AD">
        <w:rPr>
          <w:rFonts w:ascii="Times New Roman" w:hAnsi="Times New Roman" w:cs="Times New Roman"/>
        </w:rPr>
        <w:t>, justified retaining it in the final model.</w:t>
      </w:r>
    </w:p>
    <w:p w14:paraId="718FDD2C" w14:textId="036D677F" w:rsidR="00FC2219" w:rsidRPr="006E4425" w:rsidRDefault="00A41CF2" w:rsidP="006E442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C935AD">
        <w:rPr>
          <w:rFonts w:ascii="Times New Roman" w:hAnsi="Times New Roman" w:cs="Times New Roman"/>
        </w:rPr>
        <w:t>he final model</w:t>
      </w:r>
      <w:r w:rsidR="003723A2" w:rsidRPr="00C935AD">
        <w:rPr>
          <w:rFonts w:ascii="Times New Roman" w:hAnsi="Times New Roman" w:cs="Times New Roman"/>
        </w:rPr>
        <w:t xml:space="preserve"> therefore</w:t>
      </w:r>
      <w:r w:rsidR="00C935AD">
        <w:rPr>
          <w:rFonts w:ascii="Times New Roman" w:hAnsi="Times New Roman" w:cs="Times New Roman"/>
        </w:rPr>
        <w:t xml:space="preserve"> comprised of</w:t>
      </w:r>
      <w:r w:rsidR="003723A2" w:rsidRPr="00C935AD">
        <w:rPr>
          <w:rFonts w:ascii="Times New Roman" w:hAnsi="Times New Roman" w:cs="Times New Roman"/>
        </w:rPr>
        <w:t>: Age, ejection fraction, NT-proBNP, eGFR, sex, and atrial fibrillation.</w:t>
      </w:r>
    </w:p>
    <w:p w14:paraId="5F9FE94D" w14:textId="51E67919" w:rsidR="00560EE1" w:rsidRPr="00C935AD" w:rsidRDefault="005C510F" w:rsidP="00C935A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  <w:t>Model training</w:t>
      </w:r>
    </w:p>
    <w:p w14:paraId="292EC082" w14:textId="33E18EA4" w:rsidR="005C510F" w:rsidRPr="00C935AD" w:rsidRDefault="00C935AD" w:rsidP="00C935AD">
      <w:pPr>
        <w:spacing w:line="480" w:lineRule="auto"/>
        <w:ind w:firstLine="720"/>
        <w:rPr>
          <w:rFonts w:ascii="Times New Roman" w:hAnsi="Times New Roman" w:cs="Times New Roman"/>
        </w:rPr>
      </w:pPr>
      <w:r w:rsidRPr="00C935AD">
        <w:rPr>
          <w:rFonts w:ascii="Times New Roman" w:hAnsi="Times New Roman" w:cs="Times New Roman"/>
        </w:rPr>
        <w:t xml:space="preserve">A logistic regression model was used to predict heart failure status, given it is a binary outcome. 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The data set was split into a training (80%, n = 560) and testing (20%, n = 140) set,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allowing sufficient data for model training and validation. A random seed was used to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ensure 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reproducibilit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y as the data will be split in the same way.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The final model was </w:t>
      </w:r>
      <w:r w:rsidR="006D4E7E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fitted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6D4E7E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using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only the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training data </w:t>
      </w:r>
      <w:r w:rsidR="006D4E7E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and was then validated against the test data to obtain an accurate estimate of the model’s performance. </w:t>
      </w:r>
    </w:p>
    <w:p w14:paraId="15BDEA97" w14:textId="62535754" w:rsidR="00110C43" w:rsidRPr="00C935AD" w:rsidRDefault="00110C43" w:rsidP="00C935AD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To assess model stability and prevent over/under-fitting, </w:t>
      </w:r>
      <w:r w:rsidR="00B14062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five-fold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cross-validation was performed on the training data. </w:t>
      </w:r>
      <w:r w:rsidR="00B14062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P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erformance metrics were AUC (0.734), sensitivity (89.2%), and specificity (43.0%), which indicate that the model has moderate discrimination ability and high sensitivity, however it has lower specificity</w:t>
      </w:r>
      <w:r w:rsidR="00B14062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,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suggesting there were lots of false positives.</w:t>
      </w:r>
    </w:p>
    <w:p w14:paraId="6D6FFF9B" w14:textId="756B5E2F" w:rsidR="00DC16FF" w:rsidRDefault="00110C43" w:rsidP="000117EC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Area Under the Curve was used to assess the model’s ability to accurately discriminate between patients with and without heart failure, independent of any probability threshold. The observed 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ROC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(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AUC =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0.734) indicates moderate discrimination ability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A41CF2">
        <w:rPr>
          <w:rFonts w:ascii="Times New Roman" w:hAnsi="Times New Roman" w:cs="Times New Roman"/>
        </w:rPr>
        <w:t>(</w:t>
      </w:r>
      <w:r w:rsidR="00A41CF2">
        <w:rPr>
          <w:rFonts w:ascii="Times New Roman" w:hAnsi="Times New Roman" w:cs="Times New Roman"/>
          <w:i/>
          <w:iCs/>
        </w:rPr>
        <w:t>See figure 1</w:t>
      </w:r>
      <w:r w:rsidR="00A41CF2">
        <w:rPr>
          <w:rFonts w:ascii="Times New Roman" w:hAnsi="Times New Roman" w:cs="Times New Roman"/>
        </w:rPr>
        <w:t>)</w:t>
      </w:r>
    </w:p>
    <w:p w14:paraId="071C349C" w14:textId="77777777" w:rsidR="00C935AD" w:rsidRPr="00C935AD" w:rsidRDefault="00C935AD" w:rsidP="00C935AD">
      <w:pPr>
        <w:spacing w:line="480" w:lineRule="auto"/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</w:pPr>
    </w:p>
    <w:p w14:paraId="6AF29666" w14:textId="11C0A467" w:rsidR="005C510F" w:rsidRPr="00C935AD" w:rsidRDefault="00560EE1" w:rsidP="00C935A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  <w:t>Internal validation and s</w:t>
      </w:r>
      <w:r w:rsidR="005C510F" w:rsidRPr="00C935AD"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  <w:t>ensitivity analysis</w:t>
      </w:r>
    </w:p>
    <w:p w14:paraId="39968951" w14:textId="3ACECAF3" w:rsidR="005C510F" w:rsidRPr="00C935AD" w:rsidRDefault="005C510F" w:rsidP="00C935AD">
      <w:pPr>
        <w:spacing w:line="48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 assess model robustness, several sensitivity analyses were conducted.</w:t>
      </w:r>
      <w:r w:rsidR="00C935AD"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was refitted on 100 bootstrap samples of the training data</w:t>
      </w:r>
      <w:r w:rsidR="00C935AD"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the </w:t>
      </w:r>
      <w:r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95% confidence interval</w:t>
      </w:r>
      <w:r w:rsidR="00C67037"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 for the AUC obtained via bootstrap [0.677</w:t>
      </w:r>
      <w:r w:rsidR="0004138F"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C67037"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0.808] show</w:t>
      </w:r>
      <w:r w:rsidR="00C935AD"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</w:t>
      </w:r>
      <w:r w:rsidR="00C67037"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the model’s discrimination remains stable under resampling.</w:t>
      </w:r>
    </w:p>
    <w:p w14:paraId="02918C84" w14:textId="344A0C02" w:rsidR="00DC16FF" w:rsidRPr="000117EC" w:rsidRDefault="00E311E0" w:rsidP="000117EC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To evaluate whether the effects of key predictors were significantly different by age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, a subgroup analysis was conducted</w:t>
      </w:r>
      <w:r w:rsidR="00F2413E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for age, in which the model was stratified by age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, splitting the groups into younger (&lt;65, n = 286), and older (&gt;=65, n = 274)</w:t>
      </w:r>
      <w:r w:rsidR="00C67037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.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In the younger subgroup, the odds ratio for ejection fraction was 0.94 (95% CI [0.89, 0.99]; p = .040), and in the older subgroup it was 0.95 (95% CI [0.91, 0.99]; p = .</w:t>
      </w:r>
      <w:r w:rsidR="00391869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022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). For NT-proBNP, the odds ratios were 1.0014 (95% CI [1.000, 1.003]; p = .069) for the younger group, and 1.0019 (95% CI [1.001, 1.003]; p = .001).</w:t>
      </w:r>
      <w:r w:rsid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The similar effect sizes and confidence intervals suggests that age does not play a significant role in these associations.</w:t>
      </w:r>
    </w:p>
    <w:p w14:paraId="0CD07F3D" w14:textId="77777777" w:rsidR="00DC16FF" w:rsidRPr="00C935AD" w:rsidRDefault="00DC16FF" w:rsidP="00C935AD">
      <w:pPr>
        <w:spacing w:line="480" w:lineRule="auto"/>
        <w:jc w:val="center"/>
        <w:rPr>
          <w:rFonts w:ascii="Times New Roman" w:eastAsia="Times New Roman" w:hAnsi="Times New Roman" w:cs="Times New Roman"/>
          <w:color w:val="0A0A0A"/>
          <w:kern w:val="0"/>
          <w:highlight w:val="yellow"/>
          <w:lang w:eastAsia="en-GB"/>
          <w14:ligatures w14:val="none"/>
        </w:rPr>
      </w:pPr>
    </w:p>
    <w:p w14:paraId="0935AE8C" w14:textId="150D81E8" w:rsidR="00560EE1" w:rsidRPr="00C935AD" w:rsidRDefault="00F2413E" w:rsidP="00C935A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  <w:t>Results and conclusion</w:t>
      </w:r>
    </w:p>
    <w:p w14:paraId="2EEB30D2" w14:textId="48EDC90C" w:rsidR="00B14062" w:rsidRPr="00C935AD" w:rsidRDefault="00B14062" w:rsidP="00C935AD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The final model was evaluated on the 20% test dataset (n = 140 patients). The AUC was 0.747 (95% CI [0.663, 0.831]), indicating moderate discriminatory ability.</w:t>
      </w:r>
    </w:p>
    <w:p w14:paraId="66523372" w14:textId="1950A141" w:rsidR="00A41CF2" w:rsidRDefault="00B14062" w:rsidP="00A41CF2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Using Youden's index to select the optimal probability threshold, the confusion matrix showed that the model </w:t>
      </w:r>
      <w:r w:rsidR="006E4425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had 79.5%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sensitivity and </w:t>
      </w:r>
      <w:r w:rsidR="006E4425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59.4%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specificity. Overall accuracy was 65.0%. Among patients predicted to have heart failure, 43.1% were true cases (positive predictive value). Among those predicted not to have heart failure, 88.2% were correctly ruled out (negative predictive value). </w:t>
      </w:r>
    </w:p>
    <w:p w14:paraId="16C4E5E1" w14:textId="5CC0AA4D" w:rsidR="00B14062" w:rsidRPr="00A41CF2" w:rsidRDefault="00B14062" w:rsidP="00A41CF2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The consistency between the training set AUC (0.734) and the test set AUC (0.747) displays that overfitting does not occur on the model training.</w:t>
      </w:r>
    </w:p>
    <w:p w14:paraId="1A3E7E11" w14:textId="5DD8AC77" w:rsidR="00C935AD" w:rsidRDefault="00A41CF2" w:rsidP="006E4425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Age,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ejection fraction, NT-proBNP, and sex emerged as statistically significant independent predictors of heart failure. </w:t>
      </w:r>
      <w:r w:rsidR="00B14062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Males had 73% higher odds of heart failure compared </w:t>
      </w:r>
      <w:r w:rsidR="00B14062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lastRenderedPageBreak/>
        <w:t>to females after adjustment (OR = 1.73).</w:t>
      </w:r>
      <w:r w:rsid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Each </w:t>
      </w:r>
      <w:r w:rsidR="00110C4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year increase in age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was associated with a 3% increase in odds (OR = 1.03</w:t>
      </w:r>
      <w:r w:rsidR="000117EC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).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Higher ejection fraction served as a protective variable, with each 1% increase associated with a 6% reduction in odds (OR = 0.94).</w:t>
      </w:r>
      <w:r w:rsid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110C4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Each 1 pg/mL increase in NT-proBNP was associated with a statistically significant but minor increase in odds (OR = 1.001</w:t>
      </w:r>
      <w:r w:rsidR="000117EC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)</w:t>
      </w:r>
      <w:r w:rsidR="006E4425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.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Higher eGFR was also protective (OR = 0.98). Atrial fibrillation showed an elevated odds ratio (OR = 2</w:t>
      </w:r>
      <w:r w:rsidR="00110C4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.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91) but the wide confidence interval and non-significance indicate substantial uncertainty.</w:t>
      </w:r>
      <w:r w:rsid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6E4425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(</w:t>
      </w:r>
      <w:r w:rsidR="006E4425">
        <w:rPr>
          <w:rFonts w:ascii="Times New Roman" w:eastAsia="Times New Roman" w:hAnsi="Times New Roman" w:cs="Times New Roman"/>
          <w:i/>
          <w:iCs/>
          <w:color w:val="0A0A0A"/>
          <w:kern w:val="0"/>
          <w:lang w:eastAsia="en-GB"/>
          <w14:ligatures w14:val="none"/>
        </w:rPr>
        <w:t>See Table 2)</w:t>
      </w:r>
    </w:p>
    <w:p w14:paraId="758C4D65" w14:textId="7EEE6DFD" w:rsidR="002D1842" w:rsidRPr="00A41CF2" w:rsidRDefault="00110C43" w:rsidP="001B3022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Calibration was assessed using a Hosmer-Lemeshow test on the test data set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, which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indicated good calibration (χ² = 3.78, df = 8, p = .876)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.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This can also be seen within the calibration plot, as the probabilities closely follow a 45-degree angle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(</w:t>
      </w:r>
      <w:r w:rsidR="00A41CF2">
        <w:rPr>
          <w:rFonts w:ascii="Times New Roman" w:eastAsia="Times New Roman" w:hAnsi="Times New Roman" w:cs="Times New Roman"/>
          <w:i/>
          <w:iCs/>
          <w:color w:val="0A0A0A"/>
          <w:kern w:val="0"/>
          <w:lang w:eastAsia="en-GB"/>
          <w14:ligatures w14:val="none"/>
        </w:rPr>
        <w:t>See figure 2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).</w:t>
      </w:r>
    </w:p>
    <w:p w14:paraId="4FFD7F5C" w14:textId="04C25E0B" w:rsidR="00110C43" w:rsidRDefault="00560EE1" w:rsidP="00C51727">
      <w:pPr>
        <w:spacing w:line="480" w:lineRule="auto"/>
        <w:ind w:firstLine="720"/>
        <w:rPr>
          <w:rFonts w:ascii="Times New Roman" w:hAnsi="Times New Roman" w:cs="Times New Roman"/>
          <w:lang w:eastAsia="en-GB"/>
        </w:rPr>
      </w:pPr>
      <w:r w:rsidRPr="00C935AD">
        <w:rPr>
          <w:rFonts w:ascii="Times New Roman" w:hAnsi="Times New Roman" w:cs="Times New Roman"/>
          <w:lang w:eastAsia="en-GB"/>
        </w:rPr>
        <w:t>This study developed and internally validated a logistic regression model to predict heart failure</w:t>
      </w:r>
      <w:r w:rsidR="00BA5D90" w:rsidRPr="00C935AD">
        <w:rPr>
          <w:rFonts w:ascii="Times New Roman" w:hAnsi="Times New Roman" w:cs="Times New Roman"/>
          <w:lang w:eastAsia="en-GB"/>
        </w:rPr>
        <w:t xml:space="preserve"> prevalence</w:t>
      </w:r>
      <w:r w:rsidRPr="00C935AD">
        <w:rPr>
          <w:rFonts w:ascii="Times New Roman" w:hAnsi="Times New Roman" w:cs="Times New Roman"/>
          <w:lang w:eastAsia="en-GB"/>
        </w:rPr>
        <w:t xml:space="preserve"> using six clinical variable</w:t>
      </w:r>
      <w:r w:rsidR="006E4425">
        <w:rPr>
          <w:rFonts w:ascii="Times New Roman" w:hAnsi="Times New Roman" w:cs="Times New Roman"/>
          <w:lang w:eastAsia="en-GB"/>
        </w:rPr>
        <w:t>s</w:t>
      </w:r>
      <w:r w:rsidRPr="00C935AD">
        <w:rPr>
          <w:rFonts w:ascii="Times New Roman" w:hAnsi="Times New Roman" w:cs="Times New Roman"/>
          <w:lang w:eastAsia="en-GB"/>
        </w:rPr>
        <w:t>.</w:t>
      </w:r>
      <w:r w:rsidR="00C935AD">
        <w:rPr>
          <w:rFonts w:ascii="Times New Roman" w:hAnsi="Times New Roman" w:cs="Times New Roman"/>
          <w:lang w:eastAsia="en-GB"/>
        </w:rPr>
        <w:t xml:space="preserve"> </w:t>
      </w:r>
      <w:r w:rsidR="0004138F" w:rsidRPr="00C935AD">
        <w:rPr>
          <w:rFonts w:ascii="Times New Roman" w:hAnsi="Times New Roman" w:cs="Times New Roman"/>
          <w:lang w:eastAsia="en-GB"/>
        </w:rPr>
        <w:t xml:space="preserve">Older </w:t>
      </w:r>
      <w:r w:rsidRPr="00C935AD">
        <w:rPr>
          <w:rFonts w:ascii="Times New Roman" w:hAnsi="Times New Roman" w:cs="Times New Roman"/>
          <w:lang w:eastAsia="en-GB"/>
        </w:rPr>
        <w:t xml:space="preserve">age, reduced ejection fraction, </w:t>
      </w:r>
      <w:r w:rsidR="00C935AD">
        <w:rPr>
          <w:rFonts w:ascii="Times New Roman" w:hAnsi="Times New Roman" w:cs="Times New Roman"/>
          <w:lang w:eastAsia="en-GB"/>
        </w:rPr>
        <w:t>higher</w:t>
      </w:r>
      <w:r w:rsidRPr="00C935AD">
        <w:rPr>
          <w:rFonts w:ascii="Times New Roman" w:hAnsi="Times New Roman" w:cs="Times New Roman"/>
          <w:lang w:eastAsia="en-GB"/>
        </w:rPr>
        <w:t xml:space="preserve"> natriuretic peptides, </w:t>
      </w:r>
      <w:r w:rsidR="00C935AD">
        <w:rPr>
          <w:rFonts w:ascii="Times New Roman" w:hAnsi="Times New Roman" w:cs="Times New Roman"/>
          <w:lang w:eastAsia="en-GB"/>
        </w:rPr>
        <w:t>reduced</w:t>
      </w:r>
      <w:r w:rsidRPr="00C935AD">
        <w:rPr>
          <w:rFonts w:ascii="Times New Roman" w:hAnsi="Times New Roman" w:cs="Times New Roman"/>
          <w:lang w:eastAsia="en-GB"/>
        </w:rPr>
        <w:t xml:space="preserve"> renal function, and</w:t>
      </w:r>
      <w:r w:rsidR="00C935AD">
        <w:rPr>
          <w:rFonts w:ascii="Times New Roman" w:hAnsi="Times New Roman" w:cs="Times New Roman"/>
          <w:lang w:eastAsia="en-GB"/>
        </w:rPr>
        <w:t xml:space="preserve"> being</w:t>
      </w:r>
      <w:r w:rsidRPr="00C935AD">
        <w:rPr>
          <w:rFonts w:ascii="Times New Roman" w:hAnsi="Times New Roman" w:cs="Times New Roman"/>
          <w:lang w:eastAsia="en-GB"/>
        </w:rPr>
        <w:t xml:space="preserve"> male were all independent predictors of heart failure.</w:t>
      </w:r>
    </w:p>
    <w:p w14:paraId="69168B00" w14:textId="77777777" w:rsidR="00C51727" w:rsidRPr="00C51727" w:rsidRDefault="00C51727" w:rsidP="00C51727">
      <w:pPr>
        <w:spacing w:line="480" w:lineRule="auto"/>
        <w:ind w:firstLine="720"/>
        <w:rPr>
          <w:rFonts w:ascii="Times New Roman" w:hAnsi="Times New Roman" w:cs="Times New Roman"/>
          <w:lang w:eastAsia="en-GB"/>
        </w:rPr>
      </w:pPr>
    </w:p>
    <w:p w14:paraId="1CD8F47D" w14:textId="4519C3C9" w:rsidR="00110C43" w:rsidRPr="00C935AD" w:rsidRDefault="00110C43" w:rsidP="00C935AD">
      <w:pPr>
        <w:spacing w:line="480" w:lineRule="auto"/>
        <w:jc w:val="center"/>
        <w:rPr>
          <w:rFonts w:ascii="Times New Roman" w:hAnsi="Times New Roman" w:cs="Times New Roman"/>
          <w:b/>
          <w:bCs/>
          <w:lang w:eastAsia="en-GB"/>
        </w:rPr>
      </w:pPr>
      <w:r w:rsidRPr="00C935AD">
        <w:rPr>
          <w:rFonts w:ascii="Times New Roman" w:hAnsi="Times New Roman" w:cs="Times New Roman"/>
          <w:b/>
          <w:bCs/>
          <w:lang w:eastAsia="en-GB"/>
        </w:rPr>
        <w:t>Limitations</w:t>
      </w:r>
    </w:p>
    <w:p w14:paraId="2EE97CD7" w14:textId="1245FE38" w:rsidR="00560EE1" w:rsidRPr="00C935AD" w:rsidRDefault="0004138F" w:rsidP="001B3022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One limitation within the present model is that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the data set is relatively small (n</w:t>
      </w:r>
      <w:r w:rsidR="002D184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=</w:t>
      </w:r>
      <w:r w:rsidR="002D184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700) and comes from a single source, meaning it is trained and tested on the same overall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data. E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xternal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validation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could potentially improve model accuracy and validity.</w:t>
      </w:r>
      <w:r w:rsid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Additionally, the model’s low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specificity means 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it inaccurately flags false </w:t>
      </w:r>
      <w:r w:rsidR="00A41CF2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positives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, which 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could lead to wasted resources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.</w:t>
      </w:r>
      <w:r w:rsidR="001B302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</w:p>
    <w:p w14:paraId="5032B3E0" w14:textId="77777777" w:rsidR="002D1842" w:rsidRDefault="002D1842" w:rsidP="002D1842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4E286E68" w14:textId="77777777" w:rsidR="002D1842" w:rsidRDefault="002D1842" w:rsidP="002D1842"/>
    <w:p w14:paraId="0BA225E3" w14:textId="77777777" w:rsidR="001B3022" w:rsidRDefault="001B3022" w:rsidP="002D1842"/>
    <w:p w14:paraId="5D4834B8" w14:textId="77777777" w:rsidR="00FC2219" w:rsidRDefault="00FC2219" w:rsidP="002D1842"/>
    <w:p w14:paraId="53A7DC14" w14:textId="77777777" w:rsidR="00FC2219" w:rsidRDefault="00FC2219" w:rsidP="002D1842"/>
    <w:p w14:paraId="11D56EEB" w14:textId="77777777" w:rsidR="000117EC" w:rsidRDefault="000117EC" w:rsidP="002D1842"/>
    <w:p w14:paraId="3C5CFF0A" w14:textId="77777777" w:rsidR="000117EC" w:rsidRPr="002D1842" w:rsidRDefault="000117EC" w:rsidP="002D1842"/>
    <w:p w14:paraId="64F587B1" w14:textId="5ACCDAF6" w:rsidR="002D1842" w:rsidRPr="00EC46AC" w:rsidRDefault="002D1842" w:rsidP="002D1842">
      <w:pPr>
        <w:pStyle w:val="Caption"/>
        <w:keepNext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Table </w:t>
      </w: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Table \* ARABIC </w:instrText>
      </w: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6E4425" w:rsidRPr="00EC46AC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1</w:t>
      </w: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</w:p>
    <w:p w14:paraId="3A636EE3" w14:textId="77777777" w:rsidR="002D1842" w:rsidRPr="00EC46AC" w:rsidRDefault="002D1842" w:rsidP="002D1842">
      <w:pPr>
        <w:rPr>
          <w:rFonts w:ascii="Times New Roman" w:hAnsi="Times New Roman" w:cs="Times New Roman"/>
          <w:b/>
          <w:bCs/>
          <w:i/>
          <w:iCs/>
        </w:rPr>
      </w:pPr>
      <w:r w:rsidRPr="00EC46AC">
        <w:rPr>
          <w:rFonts w:ascii="Times New Roman" w:hAnsi="Times New Roman" w:cs="Times New Roman"/>
          <w:b/>
          <w:bCs/>
          <w:i/>
          <w:iCs/>
        </w:rPr>
        <w:t>Baseline characteristics stratified by heart failure</w:t>
      </w:r>
    </w:p>
    <w:tbl>
      <w:tblPr>
        <w:tblStyle w:val="PlainTable2"/>
        <w:tblW w:w="9736" w:type="dxa"/>
        <w:tblInd w:w="-710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913"/>
        <w:gridCol w:w="1333"/>
        <w:gridCol w:w="1843"/>
        <w:gridCol w:w="1559"/>
        <w:gridCol w:w="1088"/>
      </w:tblGrid>
      <w:tr w:rsidR="002D1842" w:rsidRPr="00EC46AC" w14:paraId="532DFFA4" w14:textId="77777777" w:rsidTr="002D1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single" w:sz="4" w:space="0" w:color="auto"/>
              <w:bottom w:val="none" w:sz="0" w:space="0" w:color="auto"/>
            </w:tcBorders>
          </w:tcPr>
          <w:p w14:paraId="6EF424BB" w14:textId="65DC0CE6" w:rsidR="002D1842" w:rsidRPr="00EC46A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</w:rPr>
            </w:pPr>
            <w:r w:rsidRPr="00EC46AC">
              <w:rPr>
                <w:rStyle w:val="gnj4oy0cpi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Factor                                     </w:t>
            </w:r>
          </w:p>
        </w:tc>
        <w:tc>
          <w:tcPr>
            <w:tcW w:w="1333" w:type="dxa"/>
            <w:tcBorders>
              <w:top w:val="single" w:sz="4" w:space="0" w:color="auto"/>
              <w:bottom w:val="none" w:sz="0" w:space="0" w:color="auto"/>
            </w:tcBorders>
          </w:tcPr>
          <w:p w14:paraId="27321E42" w14:textId="2EA65180" w:rsidR="002D1842" w:rsidRPr="00EC46AC" w:rsidRDefault="002D1842" w:rsidP="000117E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</w:rPr>
            </w:pPr>
            <w:r w:rsidRPr="00EC46AC">
              <w:rPr>
                <w:rStyle w:val="gnj4oy0cpi"/>
                <w:rFonts w:ascii="Times New Roman" w:hAnsi="Times New Roman" w:cs="Times New Roman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9B4A956" w14:textId="0C4CCAA7" w:rsidR="002D1842" w:rsidRPr="00EC46AC" w:rsidRDefault="002D1842" w:rsidP="000117E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</w:rPr>
            </w:pPr>
            <w:r w:rsidRPr="00EC46AC">
              <w:rPr>
                <w:rStyle w:val="gnj4oy0cpi"/>
                <w:rFonts w:ascii="Times New Roman" w:hAnsi="Times New Roman" w:cs="Times New Roman"/>
                <w:color w:val="000000"/>
              </w:rPr>
              <w:t>Heart failure status</w:t>
            </w:r>
          </w:p>
        </w:tc>
        <w:tc>
          <w:tcPr>
            <w:tcW w:w="1088" w:type="dxa"/>
            <w:tcBorders>
              <w:top w:val="single" w:sz="4" w:space="0" w:color="auto"/>
              <w:bottom w:val="none" w:sz="0" w:space="0" w:color="auto"/>
            </w:tcBorders>
          </w:tcPr>
          <w:p w14:paraId="22D15170" w14:textId="73FCBF63" w:rsidR="002D1842" w:rsidRPr="00EC46AC" w:rsidRDefault="002D1842" w:rsidP="000117E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EC46A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p</w:t>
            </w:r>
          </w:p>
        </w:tc>
      </w:tr>
      <w:tr w:rsidR="002D1842" w:rsidRPr="000117EC" w14:paraId="6D845389" w14:textId="60897B7D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single" w:sz="4" w:space="0" w:color="auto"/>
            </w:tcBorders>
          </w:tcPr>
          <w:p w14:paraId="49661D71" w14:textId="5361B14F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</w:t>
            </w:r>
          </w:p>
        </w:tc>
        <w:tc>
          <w:tcPr>
            <w:tcW w:w="1333" w:type="dxa"/>
            <w:tcBorders>
              <w:top w:val="none" w:sz="0" w:space="0" w:color="auto"/>
              <w:bottom w:val="single" w:sz="4" w:space="0" w:color="auto"/>
            </w:tcBorders>
          </w:tcPr>
          <w:p w14:paraId="520735CC" w14:textId="6E32D1C4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0EF821" w14:textId="67BC489A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Absent        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82C18F" w14:textId="7FE0019D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Present </w:t>
            </w:r>
          </w:p>
        </w:tc>
        <w:tc>
          <w:tcPr>
            <w:tcW w:w="1088" w:type="dxa"/>
            <w:tcBorders>
              <w:top w:val="none" w:sz="0" w:space="0" w:color="auto"/>
              <w:bottom w:val="single" w:sz="4" w:space="0" w:color="auto"/>
            </w:tcBorders>
          </w:tcPr>
          <w:p w14:paraId="1553599B" w14:textId="466738DD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D1842" w:rsidRPr="000117EC" w14:paraId="0A57467D" w14:textId="39A15811" w:rsidTr="00FC22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14:paraId="0885A6A9" w14:textId="009476BE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n                                            </w:t>
            </w:r>
          </w:p>
        </w:tc>
        <w:tc>
          <w:tcPr>
            <w:tcW w:w="1333" w:type="dxa"/>
            <w:tcBorders>
              <w:top w:val="single" w:sz="4" w:space="0" w:color="auto"/>
              <w:bottom w:val="single" w:sz="4" w:space="0" w:color="auto"/>
            </w:tcBorders>
          </w:tcPr>
          <w:p w14:paraId="2F38883F" w14:textId="77777777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268D9" w14:textId="6D37BED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473           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9AEB4D0" w14:textId="53CAE13D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227                     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</w:tcPr>
          <w:p w14:paraId="7DBC45F6" w14:textId="734859EC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66A067F4" w14:textId="3AD4DAA4" w:rsidTr="00FC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single" w:sz="4" w:space="0" w:color="auto"/>
              <w:bottom w:val="none" w:sz="0" w:space="0" w:color="auto"/>
            </w:tcBorders>
          </w:tcPr>
          <w:p w14:paraId="5137D983" w14:textId="315E6266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Age</w:t>
            </w:r>
          </w:p>
        </w:tc>
        <w:tc>
          <w:tcPr>
            <w:tcW w:w="1333" w:type="dxa"/>
            <w:tcBorders>
              <w:top w:val="single" w:sz="4" w:space="0" w:color="auto"/>
              <w:bottom w:val="none" w:sz="0" w:space="0" w:color="auto"/>
            </w:tcBorders>
          </w:tcPr>
          <w:p w14:paraId="064AFACD" w14:textId="77777777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one" w:sz="0" w:space="0" w:color="auto"/>
            </w:tcBorders>
          </w:tcPr>
          <w:p w14:paraId="4BE68429" w14:textId="26CFA072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61.47 (12.85)</w:t>
            </w:r>
          </w:p>
        </w:tc>
        <w:tc>
          <w:tcPr>
            <w:tcW w:w="1559" w:type="dxa"/>
            <w:tcBorders>
              <w:top w:val="single" w:sz="4" w:space="0" w:color="auto"/>
              <w:bottom w:val="none" w:sz="0" w:space="0" w:color="auto"/>
            </w:tcBorders>
          </w:tcPr>
          <w:p w14:paraId="100A9295" w14:textId="235B65A4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70.48 (13.02)</w:t>
            </w:r>
          </w:p>
        </w:tc>
        <w:tc>
          <w:tcPr>
            <w:tcW w:w="1088" w:type="dxa"/>
            <w:tcBorders>
              <w:top w:val="single" w:sz="4" w:space="0" w:color="auto"/>
              <w:bottom w:val="none" w:sz="0" w:space="0" w:color="auto"/>
            </w:tcBorders>
          </w:tcPr>
          <w:p w14:paraId="12D48B31" w14:textId="51425B31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2F84CAE9" w14:textId="7EEC8075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32C0F507" w14:textId="5A0B4922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Sex (%)                       </w:t>
            </w:r>
          </w:p>
        </w:tc>
        <w:tc>
          <w:tcPr>
            <w:tcW w:w="1333" w:type="dxa"/>
          </w:tcPr>
          <w:p w14:paraId="3E6E97C2" w14:textId="399AC5E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Female        </w:t>
            </w:r>
          </w:p>
        </w:tc>
        <w:tc>
          <w:tcPr>
            <w:tcW w:w="1843" w:type="dxa"/>
          </w:tcPr>
          <w:p w14:paraId="05B0ADEC" w14:textId="05844598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218 (46.1)       </w:t>
            </w:r>
          </w:p>
        </w:tc>
        <w:tc>
          <w:tcPr>
            <w:tcW w:w="1559" w:type="dxa"/>
          </w:tcPr>
          <w:p w14:paraId="7DA7FCDB" w14:textId="38563BA7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88 (38.8)</w:t>
            </w:r>
          </w:p>
        </w:tc>
        <w:tc>
          <w:tcPr>
            <w:tcW w:w="1088" w:type="dxa"/>
          </w:tcPr>
          <w:p w14:paraId="52090868" w14:textId="79B13B5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.081     </w:t>
            </w:r>
          </w:p>
        </w:tc>
      </w:tr>
      <w:tr w:rsidR="002D1842" w:rsidRPr="000117EC" w14:paraId="1F9A645F" w14:textId="3F945A05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14691D6C" w14:textId="293E5970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05D93E08" w14:textId="57F9F876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Male        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181A6FF3" w14:textId="33C0C884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255 (53.9)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7AFC5101" w14:textId="347C32AF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139 (61.2)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394E3C4C" w14:textId="309C65DB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5B6DF37C" w14:textId="096BF838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01094378" w14:textId="6CB687C0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BMI (mean (SD))                            </w:t>
            </w:r>
          </w:p>
        </w:tc>
        <w:tc>
          <w:tcPr>
            <w:tcW w:w="1333" w:type="dxa"/>
          </w:tcPr>
          <w:p w14:paraId="3D306B6D" w14:textId="77777777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72EB75C" w14:textId="7A2D76B8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26.39 (4.82)    </w:t>
            </w:r>
          </w:p>
        </w:tc>
        <w:tc>
          <w:tcPr>
            <w:tcW w:w="1559" w:type="dxa"/>
          </w:tcPr>
          <w:p w14:paraId="2A7B8795" w14:textId="39DF9B5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26.69 (5.12)    </w:t>
            </w:r>
          </w:p>
        </w:tc>
        <w:tc>
          <w:tcPr>
            <w:tcW w:w="1088" w:type="dxa"/>
          </w:tcPr>
          <w:p w14:paraId="0E1E3033" w14:textId="1F3D8E6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.438     </w:t>
            </w:r>
          </w:p>
        </w:tc>
      </w:tr>
      <w:tr w:rsidR="002D1842" w:rsidRPr="000117EC" w14:paraId="66EA1196" w14:textId="372BBC51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2422D249" w14:textId="770BF236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Heart Rate (mean (SD))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69A6257E" w14:textId="77777777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0BA3085E" w14:textId="059614BC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72.92 (10.08)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71C8E7E2" w14:textId="0EDD29CF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72.89 (10.54)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23E43436" w14:textId="178E037B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.971     </w:t>
            </w:r>
          </w:p>
        </w:tc>
      </w:tr>
      <w:tr w:rsidR="002D1842" w:rsidRPr="000117EC" w14:paraId="011D2728" w14:textId="04B3CBB8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3CB183E1" w14:textId="73EDA558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Systolic BP (mean (SD))                   </w:t>
            </w:r>
          </w:p>
        </w:tc>
        <w:tc>
          <w:tcPr>
            <w:tcW w:w="1333" w:type="dxa"/>
          </w:tcPr>
          <w:p w14:paraId="68BD54D1" w14:textId="77777777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811BC9A" w14:textId="25F951A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128.23 (12.76)  </w:t>
            </w:r>
          </w:p>
        </w:tc>
        <w:tc>
          <w:tcPr>
            <w:tcW w:w="1559" w:type="dxa"/>
          </w:tcPr>
          <w:p w14:paraId="6E36D6BA" w14:textId="1D1C653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130.00 (12.16)   </w:t>
            </w:r>
          </w:p>
        </w:tc>
        <w:tc>
          <w:tcPr>
            <w:tcW w:w="1088" w:type="dxa"/>
          </w:tcPr>
          <w:p w14:paraId="009B0BFE" w14:textId="3E284047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.082     </w:t>
            </w:r>
          </w:p>
        </w:tc>
      </w:tr>
      <w:tr w:rsidR="002D1842" w:rsidRPr="000117EC" w14:paraId="37E0D128" w14:textId="5727C0F3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5673E9E5" w14:textId="0A64CFBD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Diastolic BP(mean (SD))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3D8F86D5" w14:textId="77777777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6165FFED" w14:textId="426BD322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78.10 (7.92)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37047F4E" w14:textId="178D963C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79.00 (8.31)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2B221487" w14:textId="2936BF48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.164     </w:t>
            </w:r>
          </w:p>
        </w:tc>
      </w:tr>
      <w:tr w:rsidR="002D1842" w:rsidRPr="000117EC" w14:paraId="04BDCBBB" w14:textId="557A53B6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46C4BE1A" w14:textId="090D7315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Ejection fraction (mean (SD))              </w:t>
            </w:r>
          </w:p>
        </w:tc>
        <w:tc>
          <w:tcPr>
            <w:tcW w:w="1333" w:type="dxa"/>
          </w:tcPr>
          <w:p w14:paraId="66D8AA22" w14:textId="77777777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347ADFBC" w14:textId="46347E28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60.12 (5.72)    </w:t>
            </w:r>
          </w:p>
        </w:tc>
        <w:tc>
          <w:tcPr>
            <w:tcW w:w="1559" w:type="dxa"/>
          </w:tcPr>
          <w:p w14:paraId="59ED29BD" w14:textId="7B0402EC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56.45 (6.48)   </w:t>
            </w:r>
          </w:p>
        </w:tc>
        <w:tc>
          <w:tcPr>
            <w:tcW w:w="1088" w:type="dxa"/>
          </w:tcPr>
          <w:p w14:paraId="50EA50B2" w14:textId="3454FEAE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5399EAC9" w14:textId="4826A5DD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003D8813" w14:textId="4E548FBD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NT-proBNP (mean (SD))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27E4F94D" w14:textId="77777777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5AFC60C4" w14:textId="2103BFE2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275.92 (193.19)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600B822D" w14:textId="02D9CE78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499.87 (384.82)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0DB5EA07" w14:textId="3BBB24AA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394B266B" w14:textId="16DFC0BF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52D10F77" w14:textId="5EFADB9E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Serum Creatinine (mean (SD))            </w:t>
            </w:r>
          </w:p>
        </w:tc>
        <w:tc>
          <w:tcPr>
            <w:tcW w:w="1333" w:type="dxa"/>
          </w:tcPr>
          <w:p w14:paraId="32E9E831" w14:textId="77777777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36C2F71" w14:textId="163CBB4B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1.07 (0.16)     </w:t>
            </w:r>
          </w:p>
        </w:tc>
        <w:tc>
          <w:tcPr>
            <w:tcW w:w="1559" w:type="dxa"/>
          </w:tcPr>
          <w:p w14:paraId="44B61435" w14:textId="3A4F1CEE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1.12 (0.16)</w:t>
            </w:r>
          </w:p>
        </w:tc>
        <w:tc>
          <w:tcPr>
            <w:tcW w:w="1088" w:type="dxa"/>
          </w:tcPr>
          <w:p w14:paraId="20F22DB0" w14:textId="157A643A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</w:t>
            </w:r>
          </w:p>
        </w:tc>
      </w:tr>
      <w:tr w:rsidR="002D1842" w:rsidRPr="000117EC" w14:paraId="0B5B94AB" w14:textId="05CF8BAA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130D96B7" w14:textId="5DE02607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eGFR (mean (SD))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2EBC87C6" w14:textId="77777777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1EAB1EA4" w14:textId="527D5F44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67.81 (15.45)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51E1AFC1" w14:textId="00A3A9F8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61.27 (13.00)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062D9A41" w14:textId="1363D014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1D1128CC" w14:textId="1E836A82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536321B6" w14:textId="39FB19E9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Smoking (%)                        </w:t>
            </w:r>
          </w:p>
        </w:tc>
        <w:tc>
          <w:tcPr>
            <w:tcW w:w="1333" w:type="dxa"/>
          </w:tcPr>
          <w:p w14:paraId="62E6746D" w14:textId="6C5C6DF8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50BD490B" w14:textId="11B1892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339 (71.7)      </w:t>
            </w:r>
          </w:p>
        </w:tc>
        <w:tc>
          <w:tcPr>
            <w:tcW w:w="1559" w:type="dxa"/>
          </w:tcPr>
          <w:p w14:paraId="2765CA47" w14:textId="0F5FF39A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177 (78.0)    </w:t>
            </w:r>
          </w:p>
        </w:tc>
        <w:tc>
          <w:tcPr>
            <w:tcW w:w="1088" w:type="dxa"/>
          </w:tcPr>
          <w:p w14:paraId="3299CE3A" w14:textId="77323BEB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.093     </w:t>
            </w:r>
          </w:p>
        </w:tc>
      </w:tr>
      <w:tr w:rsidR="002D1842" w:rsidRPr="000117EC" w14:paraId="3DE584F6" w14:textId="5189481B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3656E03E" w14:textId="3FC0A231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25B602C4" w14:textId="732724EE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321048EE" w14:textId="3E0D77B4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134 (28.3) 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38607182" w14:textId="47EBA9BD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50 (22.0)          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1AA02720" w14:textId="070DD2E6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66587204" w14:textId="0D09BF02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292AB46D" w14:textId="73B0983A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Diabetes (%)                       </w:t>
            </w:r>
          </w:p>
        </w:tc>
        <w:tc>
          <w:tcPr>
            <w:tcW w:w="1333" w:type="dxa"/>
          </w:tcPr>
          <w:p w14:paraId="3736FEED" w14:textId="30F3AD6B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3B019A7E" w14:textId="5294F2E4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467 (98.7)      </w:t>
            </w:r>
          </w:p>
        </w:tc>
        <w:tc>
          <w:tcPr>
            <w:tcW w:w="1559" w:type="dxa"/>
          </w:tcPr>
          <w:p w14:paraId="0A01E74C" w14:textId="28073DC6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221 (97.4)</w:t>
            </w:r>
          </w:p>
        </w:tc>
        <w:tc>
          <w:tcPr>
            <w:tcW w:w="1088" w:type="dxa"/>
          </w:tcPr>
          <w:p w14:paraId="49F17509" w14:textId="5D31B076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.317     </w:t>
            </w:r>
          </w:p>
        </w:tc>
      </w:tr>
      <w:tr w:rsidR="002D1842" w:rsidRPr="000117EC" w14:paraId="281D8494" w14:textId="4F23B4C8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6A1AFB09" w14:textId="134173C6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206EF269" w14:textId="6F85980D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10A6DCA5" w14:textId="53DEABBA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6 ( 1.3)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23A287E3" w14:textId="4D086F78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6 ( 2.6)          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27DB46AE" w14:textId="06130B3B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6BBF8690" w14:textId="22335BE0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0F73E25B" w14:textId="4F5486E6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Hypertension (%)                   </w:t>
            </w:r>
          </w:p>
        </w:tc>
        <w:tc>
          <w:tcPr>
            <w:tcW w:w="1333" w:type="dxa"/>
          </w:tcPr>
          <w:p w14:paraId="1F6A8461" w14:textId="0F50B21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71124458" w14:textId="5B5678F0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442 (93.4)      </w:t>
            </w:r>
          </w:p>
        </w:tc>
        <w:tc>
          <w:tcPr>
            <w:tcW w:w="1559" w:type="dxa"/>
          </w:tcPr>
          <w:p w14:paraId="20ADAEC5" w14:textId="3277602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187 (82.4)   </w:t>
            </w:r>
          </w:p>
        </w:tc>
        <w:tc>
          <w:tcPr>
            <w:tcW w:w="1088" w:type="dxa"/>
          </w:tcPr>
          <w:p w14:paraId="275871F9" w14:textId="564B9614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0D4DA94C" w14:textId="07192FE2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2D9A236C" w14:textId="0032FD7A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49892876" w14:textId="6FB0DFC6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56E3367D" w14:textId="54653403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31 ( 6.6) 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742CEDF4" w14:textId="01EB11F6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40 (17.6)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6C4E9D15" w14:textId="42167FAD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683DA407" w14:textId="1EED205F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776491E3" w14:textId="004072FF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Anaemia (%)                        </w:t>
            </w:r>
          </w:p>
        </w:tc>
        <w:tc>
          <w:tcPr>
            <w:tcW w:w="1333" w:type="dxa"/>
          </w:tcPr>
          <w:p w14:paraId="5628F018" w14:textId="25CE1758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67D405B4" w14:textId="2DE21AB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425 (89.9)      </w:t>
            </w:r>
          </w:p>
        </w:tc>
        <w:tc>
          <w:tcPr>
            <w:tcW w:w="1559" w:type="dxa"/>
          </w:tcPr>
          <w:p w14:paraId="0D9C8BE8" w14:textId="651B0B8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205 (90.3)    </w:t>
            </w:r>
          </w:p>
        </w:tc>
        <w:tc>
          <w:tcPr>
            <w:tcW w:w="1088" w:type="dxa"/>
          </w:tcPr>
          <w:p w14:paraId="09FFAC04" w14:textId="2CC956BB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.957     </w:t>
            </w:r>
          </w:p>
        </w:tc>
      </w:tr>
      <w:tr w:rsidR="002D1842" w:rsidRPr="000117EC" w14:paraId="39F8E2E8" w14:textId="3076BE37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1FCA9668" w14:textId="1C7ACF10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53C5F24E" w14:textId="4C6F94EB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2CEAFBDF" w14:textId="7B8FB955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48 (10.1) 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011E252F" w14:textId="252599E0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22 ( 9.7)          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566C16A0" w14:textId="49B0078A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6D015B59" w14:textId="0BACDF61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1C25B0EE" w14:textId="79D539F4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Fonts w:ascii="Times New Roman" w:hAnsi="Times New Roman" w:cs="Times New Roman"/>
              </w:rPr>
              <w:t xml:space="preserve">Prior myocardial infarction 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(%)                      </w:t>
            </w:r>
          </w:p>
        </w:tc>
        <w:tc>
          <w:tcPr>
            <w:tcW w:w="1333" w:type="dxa"/>
          </w:tcPr>
          <w:p w14:paraId="11775E0A" w14:textId="6E625AC4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5A530CDD" w14:textId="6BED80E9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462 (97.7)      </w:t>
            </w:r>
          </w:p>
        </w:tc>
        <w:tc>
          <w:tcPr>
            <w:tcW w:w="1559" w:type="dxa"/>
          </w:tcPr>
          <w:p w14:paraId="1C10CAD0" w14:textId="5D7E19A9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205 (90.3)   </w:t>
            </w:r>
          </w:p>
        </w:tc>
        <w:tc>
          <w:tcPr>
            <w:tcW w:w="1088" w:type="dxa"/>
          </w:tcPr>
          <w:p w14:paraId="02024B42" w14:textId="4311192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53B0F8D0" w14:textId="2D0DCD3D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681A4AB5" w14:textId="298E9642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0257EAF4" w14:textId="3E869785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7CE17E94" w14:textId="2B5F4E9F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11 ( 2.3) 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238B15BC" w14:textId="53F208C3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22 ( 9.7)          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058761BA" w14:textId="4B414F46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6B7D8093" w14:textId="35BCC868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47463574" w14:textId="68826478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Atrial fibrillation (%)           </w:t>
            </w:r>
          </w:p>
        </w:tc>
        <w:tc>
          <w:tcPr>
            <w:tcW w:w="1333" w:type="dxa"/>
          </w:tcPr>
          <w:p w14:paraId="20FFFCC4" w14:textId="4E40FC33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372F747C" w14:textId="01DD472B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467 (98.7)  </w:t>
            </w:r>
          </w:p>
        </w:tc>
        <w:tc>
          <w:tcPr>
            <w:tcW w:w="1559" w:type="dxa"/>
          </w:tcPr>
          <w:p w14:paraId="4F24D752" w14:textId="72A13AC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210 (92.5)   </w:t>
            </w:r>
          </w:p>
        </w:tc>
        <w:tc>
          <w:tcPr>
            <w:tcW w:w="1088" w:type="dxa"/>
          </w:tcPr>
          <w:p w14:paraId="2660FB39" w14:textId="01FDCEA0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3419D7B3" w14:textId="71929172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48BA74A6" w14:textId="10CED76C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229FB751" w14:textId="0BEA81EA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0724B38A" w14:textId="1790A1E6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6 ( 1.3) 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6F3A2B7C" w14:textId="4AC1DDFB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17 ( 7.5)          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1EE2B728" w14:textId="536545F8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4218B654" w14:textId="7A992CDB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5E74CE3C" w14:textId="733DF381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(Med) Ace inhibitors (%)                     </w:t>
            </w:r>
          </w:p>
        </w:tc>
        <w:tc>
          <w:tcPr>
            <w:tcW w:w="1333" w:type="dxa"/>
          </w:tcPr>
          <w:p w14:paraId="4A51C4DA" w14:textId="2E18190E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2C37739F" w14:textId="64487232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360 (76.1)      </w:t>
            </w:r>
          </w:p>
        </w:tc>
        <w:tc>
          <w:tcPr>
            <w:tcW w:w="1559" w:type="dxa"/>
          </w:tcPr>
          <w:p w14:paraId="7DFEF0B0" w14:textId="132E14D5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143 (63.0)   </w:t>
            </w:r>
          </w:p>
        </w:tc>
        <w:tc>
          <w:tcPr>
            <w:tcW w:w="1088" w:type="dxa"/>
          </w:tcPr>
          <w:p w14:paraId="615AB7A8" w14:textId="00EC761E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26EB342C" w14:textId="704489A9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491788E2" w14:textId="55647E04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2E735481" w14:textId="201CCCD3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5A257131" w14:textId="3DF9AD1F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113 (23.9) 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03EF32C8" w14:textId="0C9D64FA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84 (37.0)          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10620C3D" w14:textId="3864892C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53183C93" w14:textId="1C7C2C98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283D4F4E" w14:textId="15FA8444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(Med) Beta Blockers (%)             </w:t>
            </w:r>
          </w:p>
        </w:tc>
        <w:tc>
          <w:tcPr>
            <w:tcW w:w="1333" w:type="dxa"/>
          </w:tcPr>
          <w:p w14:paraId="06A2108A" w14:textId="6D85F078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2AC4F490" w14:textId="197DB554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416 (87.9)      </w:t>
            </w:r>
          </w:p>
        </w:tc>
        <w:tc>
          <w:tcPr>
            <w:tcW w:w="1559" w:type="dxa"/>
          </w:tcPr>
          <w:p w14:paraId="4BB30972" w14:textId="76A97BB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188 (82.8)</w:t>
            </w:r>
          </w:p>
        </w:tc>
        <w:tc>
          <w:tcPr>
            <w:tcW w:w="1088" w:type="dxa"/>
          </w:tcPr>
          <w:p w14:paraId="62C7920B" w14:textId="2AB86B22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.084     </w:t>
            </w:r>
          </w:p>
        </w:tc>
      </w:tr>
      <w:tr w:rsidR="002D1842" w:rsidRPr="000117EC" w14:paraId="0C667F16" w14:textId="1D3A8D22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63D8BA0D" w14:textId="30CB17F3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37095037" w14:textId="48BD456A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1A180635" w14:textId="12613A61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57 (12.1) 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3BA18809" w14:textId="284132CC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39 (17.2)          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6A4522B9" w14:textId="2E7E3AC6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76D4A07B" w14:textId="7951F715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532613DB" w14:textId="45F64C47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(Med) Diuretics (%)                 </w:t>
            </w:r>
          </w:p>
        </w:tc>
        <w:tc>
          <w:tcPr>
            <w:tcW w:w="1333" w:type="dxa"/>
          </w:tcPr>
          <w:p w14:paraId="5649BB5F" w14:textId="46672940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36AF9192" w14:textId="7B571190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402 (85.0)      </w:t>
            </w:r>
          </w:p>
        </w:tc>
        <w:tc>
          <w:tcPr>
            <w:tcW w:w="1559" w:type="dxa"/>
          </w:tcPr>
          <w:p w14:paraId="13F94A83" w14:textId="1CEC339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175 (77.1)    </w:t>
            </w:r>
          </w:p>
        </w:tc>
        <w:tc>
          <w:tcPr>
            <w:tcW w:w="1088" w:type="dxa"/>
          </w:tcPr>
          <w:p w14:paraId="5880E5B3" w14:textId="7FF2CC2B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.014     </w:t>
            </w:r>
          </w:p>
        </w:tc>
      </w:tr>
      <w:tr w:rsidR="002D1842" w:rsidRPr="000117EC" w14:paraId="46A09068" w14:textId="63F8F4A5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single" w:sz="4" w:space="0" w:color="auto"/>
            </w:tcBorders>
          </w:tcPr>
          <w:p w14:paraId="561D8C6A" w14:textId="77B03994" w:rsidR="002D1842" w:rsidRPr="000117EC" w:rsidRDefault="002D1842" w:rsidP="000117EC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single" w:sz="4" w:space="0" w:color="auto"/>
            </w:tcBorders>
          </w:tcPr>
          <w:p w14:paraId="2C8CE65A" w14:textId="3E9DD9E7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single" w:sz="4" w:space="0" w:color="auto"/>
            </w:tcBorders>
          </w:tcPr>
          <w:p w14:paraId="59654A65" w14:textId="65A6014D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71 (15.0)       </w:t>
            </w:r>
          </w:p>
        </w:tc>
        <w:tc>
          <w:tcPr>
            <w:tcW w:w="1559" w:type="dxa"/>
            <w:tcBorders>
              <w:top w:val="none" w:sz="0" w:space="0" w:color="auto"/>
              <w:bottom w:val="single" w:sz="4" w:space="0" w:color="auto"/>
            </w:tcBorders>
          </w:tcPr>
          <w:p w14:paraId="3680CE0B" w14:textId="0D92AA11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52 (22.9)       </w:t>
            </w:r>
          </w:p>
        </w:tc>
        <w:tc>
          <w:tcPr>
            <w:tcW w:w="1088" w:type="dxa"/>
            <w:tcBorders>
              <w:top w:val="none" w:sz="0" w:space="0" w:color="auto"/>
              <w:bottom w:val="single" w:sz="4" w:space="0" w:color="auto"/>
            </w:tcBorders>
          </w:tcPr>
          <w:p w14:paraId="60CE3801" w14:textId="5DAC4FDE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668450C6" w14:textId="77777777" w:rsidR="002D1842" w:rsidRDefault="002D1842" w:rsidP="00C935AD">
      <w:pPr>
        <w:spacing w:line="480" w:lineRule="auto"/>
        <w:rPr>
          <w:rFonts w:ascii="Calibri" w:eastAsia="Times New Roman" w:hAnsi="Calibri" w:cs="Calibri"/>
          <w:kern w:val="0"/>
          <w:highlight w:val="cyan"/>
          <w:lang w:eastAsia="en-GB"/>
          <w14:ligatures w14:val="none"/>
        </w:rPr>
      </w:pPr>
    </w:p>
    <w:p w14:paraId="5F457A74" w14:textId="77777777" w:rsidR="000117EC" w:rsidRDefault="000117EC" w:rsidP="00C935AD">
      <w:pPr>
        <w:spacing w:line="480" w:lineRule="auto"/>
        <w:rPr>
          <w:rFonts w:ascii="Calibri" w:eastAsia="Times New Roman" w:hAnsi="Calibri" w:cs="Calibri"/>
          <w:kern w:val="0"/>
          <w:highlight w:val="cyan"/>
          <w:lang w:eastAsia="en-GB"/>
          <w14:ligatures w14:val="none"/>
        </w:rPr>
      </w:pPr>
    </w:p>
    <w:p w14:paraId="3BD70148" w14:textId="77777777" w:rsidR="000117EC" w:rsidRPr="002D1842" w:rsidRDefault="000117EC" w:rsidP="00C935AD">
      <w:pPr>
        <w:spacing w:line="480" w:lineRule="auto"/>
        <w:rPr>
          <w:rFonts w:ascii="Calibri" w:eastAsia="Times New Roman" w:hAnsi="Calibri" w:cs="Calibri"/>
          <w:kern w:val="0"/>
          <w:highlight w:val="cyan"/>
          <w:lang w:eastAsia="en-GB"/>
          <w14:ligatures w14:val="none"/>
        </w:rPr>
      </w:pPr>
    </w:p>
    <w:p w14:paraId="10C9C257" w14:textId="39F163F6" w:rsidR="002D1842" w:rsidRPr="00EC46AC" w:rsidRDefault="002D1842" w:rsidP="002D1842">
      <w:pPr>
        <w:pStyle w:val="Caption"/>
        <w:keepNext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EC46AC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 xml:space="preserve">Table </w:t>
      </w:r>
      <w:r w:rsidRPr="00EC46AC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begin"/>
      </w:r>
      <w:r w:rsidRPr="00EC46AC">
        <w:rPr>
          <w:rFonts w:ascii="Times New Roman" w:hAnsi="Times New Roman" w:cs="Times New Roman"/>
          <w:b/>
          <w:bCs/>
          <w:color w:val="auto"/>
          <w:sz w:val="22"/>
          <w:szCs w:val="22"/>
        </w:rPr>
        <w:instrText xml:space="preserve"> SEQ Table \* ARABIC </w:instrText>
      </w:r>
      <w:r w:rsidRPr="00EC46AC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separate"/>
      </w:r>
      <w:r w:rsidR="006E4425" w:rsidRPr="00EC46AC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w:t>2</w:t>
      </w:r>
      <w:r w:rsidRPr="00EC46AC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end"/>
      </w:r>
      <w:r w:rsidRPr="00EC46AC">
        <w:rPr>
          <w:rFonts w:ascii="Times New Roman" w:hAnsi="Times New Roman" w:cs="Times New Roman"/>
          <w:b/>
          <w:bCs/>
          <w:color w:val="auto"/>
          <w:sz w:val="22"/>
          <w:szCs w:val="22"/>
        </w:rPr>
        <w:t>.</w:t>
      </w:r>
    </w:p>
    <w:p w14:paraId="4F285EAD" w14:textId="64A04EB1" w:rsidR="002D1842" w:rsidRPr="00EC46AC" w:rsidRDefault="002D1842" w:rsidP="002D1842">
      <w:pPr>
        <w:pStyle w:val="Caption"/>
        <w:keepNext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EC46A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Multivariate logistic regression model for heart failure prediction</w:t>
      </w:r>
    </w:p>
    <w:tbl>
      <w:tblPr>
        <w:tblStyle w:val="TableGrid"/>
        <w:tblW w:w="7186" w:type="dxa"/>
        <w:tblInd w:w="-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8"/>
        <w:gridCol w:w="1011"/>
        <w:gridCol w:w="1245"/>
        <w:gridCol w:w="1371"/>
        <w:gridCol w:w="1371"/>
      </w:tblGrid>
      <w:tr w:rsidR="002D1842" w:rsidRPr="002D1842" w14:paraId="6EC53B8C" w14:textId="1F7332D4" w:rsidTr="002D1842">
        <w:tc>
          <w:tcPr>
            <w:tcW w:w="2188" w:type="dxa"/>
            <w:tcBorders>
              <w:top w:val="single" w:sz="4" w:space="0" w:color="auto"/>
              <w:bottom w:val="single" w:sz="4" w:space="0" w:color="auto"/>
            </w:tcBorders>
          </w:tcPr>
          <w:p w14:paraId="3F8EAA12" w14:textId="39BC0267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Term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5F1F4C5A" w14:textId="144F938A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OR</w:t>
            </w:r>
          </w:p>
        </w:tc>
        <w:tc>
          <w:tcPr>
            <w:tcW w:w="1245" w:type="dxa"/>
            <w:tcBorders>
              <w:top w:val="single" w:sz="4" w:space="0" w:color="auto"/>
              <w:bottom w:val="single" w:sz="4" w:space="0" w:color="auto"/>
            </w:tcBorders>
          </w:tcPr>
          <w:p w14:paraId="4EC11467" w14:textId="47B58723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SE</w:t>
            </w: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</w:tcPr>
          <w:p w14:paraId="7654EABD" w14:textId="78793191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p</w:t>
            </w: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</w:tcPr>
          <w:p w14:paraId="43159BED" w14:textId="22C4E369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95% CI</w:t>
            </w:r>
          </w:p>
        </w:tc>
      </w:tr>
      <w:tr w:rsidR="002D1842" w:rsidRPr="002D1842" w14:paraId="38B9681E" w14:textId="213F78C1" w:rsidTr="002D1842">
        <w:tc>
          <w:tcPr>
            <w:tcW w:w="2188" w:type="dxa"/>
            <w:tcBorders>
              <w:top w:val="single" w:sz="4" w:space="0" w:color="auto"/>
            </w:tcBorders>
          </w:tcPr>
          <w:p w14:paraId="1F8A4D71" w14:textId="0F4DC9CE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age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14:paraId="17C9AAF7" w14:textId="2BA72231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1.03</w:t>
            </w:r>
          </w:p>
        </w:tc>
        <w:tc>
          <w:tcPr>
            <w:tcW w:w="1245" w:type="dxa"/>
            <w:tcBorders>
              <w:top w:val="single" w:sz="4" w:space="0" w:color="auto"/>
            </w:tcBorders>
          </w:tcPr>
          <w:p w14:paraId="2EB08113" w14:textId="6B3398EA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0.01</w:t>
            </w:r>
          </w:p>
        </w:tc>
        <w:tc>
          <w:tcPr>
            <w:tcW w:w="1371" w:type="dxa"/>
            <w:tcBorders>
              <w:top w:val="single" w:sz="4" w:space="0" w:color="auto"/>
            </w:tcBorders>
          </w:tcPr>
          <w:p w14:paraId="4982C2C6" w14:textId="5C6F86C1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&lt;.001</w:t>
            </w:r>
          </w:p>
        </w:tc>
        <w:tc>
          <w:tcPr>
            <w:tcW w:w="1371" w:type="dxa"/>
            <w:tcBorders>
              <w:top w:val="single" w:sz="4" w:space="0" w:color="auto"/>
            </w:tcBorders>
          </w:tcPr>
          <w:p w14:paraId="5B4CE6ED" w14:textId="32BE4C52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1.01, 1.05</w:t>
            </w:r>
          </w:p>
        </w:tc>
      </w:tr>
      <w:tr w:rsidR="002D1842" w:rsidRPr="002D1842" w14:paraId="52F76FE9" w14:textId="29E3F881" w:rsidTr="002D1842">
        <w:tc>
          <w:tcPr>
            <w:tcW w:w="2188" w:type="dxa"/>
          </w:tcPr>
          <w:p w14:paraId="3BDC2888" w14:textId="52AB8607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 xml:space="preserve">Ejection fraction </w:t>
            </w:r>
          </w:p>
        </w:tc>
        <w:tc>
          <w:tcPr>
            <w:tcW w:w="1011" w:type="dxa"/>
          </w:tcPr>
          <w:p w14:paraId="080BB6E3" w14:textId="4DA8A528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0.94</w:t>
            </w:r>
          </w:p>
        </w:tc>
        <w:tc>
          <w:tcPr>
            <w:tcW w:w="1245" w:type="dxa"/>
          </w:tcPr>
          <w:p w14:paraId="4473CEE6" w14:textId="4F3628B8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0.019</w:t>
            </w:r>
          </w:p>
        </w:tc>
        <w:tc>
          <w:tcPr>
            <w:tcW w:w="1371" w:type="dxa"/>
          </w:tcPr>
          <w:p w14:paraId="4AA33EB1" w14:textId="3D91765A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&lt;.001</w:t>
            </w:r>
          </w:p>
        </w:tc>
        <w:tc>
          <w:tcPr>
            <w:tcW w:w="1371" w:type="dxa"/>
          </w:tcPr>
          <w:p w14:paraId="17323E40" w14:textId="38770FBB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0.905, 0.975</w:t>
            </w:r>
          </w:p>
        </w:tc>
      </w:tr>
      <w:tr w:rsidR="002D1842" w:rsidRPr="002D1842" w14:paraId="195FB747" w14:textId="7671BCAE" w:rsidTr="002D1842">
        <w:tc>
          <w:tcPr>
            <w:tcW w:w="2188" w:type="dxa"/>
          </w:tcPr>
          <w:p w14:paraId="798D2E42" w14:textId="727DDF59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NT-proBNP</w:t>
            </w:r>
          </w:p>
        </w:tc>
        <w:tc>
          <w:tcPr>
            <w:tcW w:w="1011" w:type="dxa"/>
          </w:tcPr>
          <w:p w14:paraId="38349A68" w14:textId="1C5E53D3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1.001</w:t>
            </w:r>
          </w:p>
        </w:tc>
        <w:tc>
          <w:tcPr>
            <w:tcW w:w="1245" w:type="dxa"/>
          </w:tcPr>
          <w:p w14:paraId="551447FE" w14:textId="6BC50DAB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1371" w:type="dxa"/>
          </w:tcPr>
          <w:p w14:paraId="322FDDA3" w14:textId="1076252D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.011</w:t>
            </w:r>
          </w:p>
        </w:tc>
        <w:tc>
          <w:tcPr>
            <w:tcW w:w="1371" w:type="dxa"/>
          </w:tcPr>
          <w:p w14:paraId="6DF1365B" w14:textId="305459C4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1.001, 1.002</w:t>
            </w:r>
          </w:p>
        </w:tc>
      </w:tr>
      <w:tr w:rsidR="002D1842" w:rsidRPr="002D1842" w14:paraId="48C40ED8" w14:textId="00337784" w:rsidTr="002D1842">
        <w:tc>
          <w:tcPr>
            <w:tcW w:w="2188" w:type="dxa"/>
          </w:tcPr>
          <w:p w14:paraId="0806EBD3" w14:textId="19A3C633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eGFR</w:t>
            </w:r>
          </w:p>
        </w:tc>
        <w:tc>
          <w:tcPr>
            <w:tcW w:w="1011" w:type="dxa"/>
          </w:tcPr>
          <w:p w14:paraId="0C91A6A4" w14:textId="5DDCDF80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0.98</w:t>
            </w:r>
          </w:p>
        </w:tc>
        <w:tc>
          <w:tcPr>
            <w:tcW w:w="1245" w:type="dxa"/>
          </w:tcPr>
          <w:p w14:paraId="4AB2A2C4" w14:textId="14213FC6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0.01</w:t>
            </w:r>
          </w:p>
        </w:tc>
        <w:tc>
          <w:tcPr>
            <w:tcW w:w="1371" w:type="dxa"/>
          </w:tcPr>
          <w:p w14:paraId="2159F554" w14:textId="1F7CF7F5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.018</w:t>
            </w:r>
          </w:p>
        </w:tc>
        <w:tc>
          <w:tcPr>
            <w:tcW w:w="1371" w:type="dxa"/>
          </w:tcPr>
          <w:p w14:paraId="2E3469FB" w14:textId="2F047E4F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0.958, 0.996</w:t>
            </w:r>
          </w:p>
        </w:tc>
      </w:tr>
      <w:tr w:rsidR="002D1842" w:rsidRPr="002D1842" w14:paraId="475F2F32" w14:textId="3AA5B228" w:rsidTr="002D1842">
        <w:tc>
          <w:tcPr>
            <w:tcW w:w="2188" w:type="dxa"/>
          </w:tcPr>
          <w:p w14:paraId="247A52E1" w14:textId="42AE22BB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Atrial fibrillation</w:t>
            </w:r>
          </w:p>
        </w:tc>
        <w:tc>
          <w:tcPr>
            <w:tcW w:w="1011" w:type="dxa"/>
          </w:tcPr>
          <w:p w14:paraId="03CA567C" w14:textId="68804CDA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2.91</w:t>
            </w:r>
          </w:p>
        </w:tc>
        <w:tc>
          <w:tcPr>
            <w:tcW w:w="1245" w:type="dxa"/>
          </w:tcPr>
          <w:p w14:paraId="0464973C" w14:textId="53812089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0.667</w:t>
            </w:r>
          </w:p>
        </w:tc>
        <w:tc>
          <w:tcPr>
            <w:tcW w:w="1371" w:type="dxa"/>
          </w:tcPr>
          <w:p w14:paraId="1B782464" w14:textId="184125DB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.11</w:t>
            </w:r>
          </w:p>
        </w:tc>
        <w:tc>
          <w:tcPr>
            <w:tcW w:w="1371" w:type="dxa"/>
          </w:tcPr>
          <w:p w14:paraId="7D28696E" w14:textId="13255D47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0.82, 11.6</w:t>
            </w:r>
          </w:p>
        </w:tc>
      </w:tr>
      <w:tr w:rsidR="002D1842" w:rsidRPr="002D1842" w14:paraId="660C41A4" w14:textId="6CAE5ADC" w:rsidTr="002D1842">
        <w:trPr>
          <w:trHeight w:val="79"/>
        </w:trPr>
        <w:tc>
          <w:tcPr>
            <w:tcW w:w="2188" w:type="dxa"/>
            <w:tcBorders>
              <w:bottom w:val="single" w:sz="4" w:space="0" w:color="auto"/>
            </w:tcBorders>
          </w:tcPr>
          <w:p w14:paraId="29A26DC7" w14:textId="71C91108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Sex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14:paraId="575A3240" w14:textId="50023690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1.73</w:t>
            </w:r>
          </w:p>
        </w:tc>
        <w:tc>
          <w:tcPr>
            <w:tcW w:w="1245" w:type="dxa"/>
            <w:tcBorders>
              <w:bottom w:val="single" w:sz="4" w:space="0" w:color="auto"/>
            </w:tcBorders>
          </w:tcPr>
          <w:p w14:paraId="3A469B9D" w14:textId="6E9A8B31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0.226</w:t>
            </w:r>
          </w:p>
        </w:tc>
        <w:tc>
          <w:tcPr>
            <w:tcW w:w="1371" w:type="dxa"/>
            <w:tcBorders>
              <w:bottom w:val="single" w:sz="4" w:space="0" w:color="auto"/>
            </w:tcBorders>
          </w:tcPr>
          <w:p w14:paraId="34949409" w14:textId="165610B6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.015</w:t>
            </w:r>
          </w:p>
        </w:tc>
        <w:tc>
          <w:tcPr>
            <w:tcW w:w="1371" w:type="dxa"/>
            <w:tcBorders>
              <w:bottom w:val="single" w:sz="4" w:space="0" w:color="auto"/>
            </w:tcBorders>
          </w:tcPr>
          <w:p w14:paraId="21C36C79" w14:textId="6B18E19F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1.12, 2.71</w:t>
            </w:r>
          </w:p>
        </w:tc>
      </w:tr>
    </w:tbl>
    <w:p w14:paraId="6FEBAEC7" w14:textId="77777777" w:rsidR="002D1842" w:rsidRPr="006E4425" w:rsidRDefault="002D1842" w:rsidP="00C935AD">
      <w:pPr>
        <w:spacing w:line="480" w:lineRule="auto"/>
        <w:jc w:val="both"/>
        <w:rPr>
          <w:rFonts w:ascii="Times New Roman" w:eastAsia="Times New Roman" w:hAnsi="Times New Roman" w:cs="Times New Roman"/>
          <w:kern w:val="0"/>
          <w:highlight w:val="cyan"/>
          <w:lang w:eastAsia="en-GB"/>
          <w14:ligatures w14:val="none"/>
        </w:rPr>
      </w:pPr>
    </w:p>
    <w:p w14:paraId="300BD1E5" w14:textId="22267C2D" w:rsidR="006E4425" w:rsidRPr="00EC46AC" w:rsidRDefault="006E4425" w:rsidP="006E4425">
      <w:pPr>
        <w:pStyle w:val="Caption"/>
        <w:keepNext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Figure 1. </w:t>
      </w:r>
    </w:p>
    <w:p w14:paraId="5C41D941" w14:textId="3A460794" w:rsidR="006E4425" w:rsidRPr="00EC46AC" w:rsidRDefault="006E4425" w:rsidP="006E4425">
      <w:pPr>
        <w:pStyle w:val="Caption"/>
        <w:keepNext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t>ROC curve</w:t>
      </w:r>
    </w:p>
    <w:p w14:paraId="63567C98" w14:textId="134CC7BD" w:rsidR="002D1842" w:rsidRDefault="006E4425" w:rsidP="00C935AD">
      <w:pPr>
        <w:spacing w:line="480" w:lineRule="auto"/>
        <w:jc w:val="both"/>
        <w:rPr>
          <w:rFonts w:ascii="Calibri" w:eastAsia="Times New Roman" w:hAnsi="Calibri" w:cs="Calibri"/>
          <w:color w:val="0A0A0A"/>
          <w:kern w:val="0"/>
          <w:sz w:val="22"/>
          <w:szCs w:val="22"/>
          <w:highlight w:val="cyan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A0A0A"/>
          <w:kern w:val="0"/>
          <w:sz w:val="22"/>
          <w:szCs w:val="22"/>
          <w:lang w:eastAsia="en-GB"/>
        </w:rPr>
        <w:drawing>
          <wp:inline distT="0" distB="0" distL="0" distR="0" wp14:anchorId="4A174D47" wp14:editId="5954C59D">
            <wp:extent cx="3276360" cy="2021983"/>
            <wp:effectExtent l="0" t="0" r="635" b="0"/>
            <wp:docPr id="18503519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51946" name="Picture 18503519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439" cy="203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4C47" w14:textId="39768804" w:rsidR="006E4425" w:rsidRPr="00EC46AC" w:rsidRDefault="006E4425" w:rsidP="006E4425">
      <w:pPr>
        <w:pStyle w:val="Caption"/>
        <w:keepNext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t>Figure 2.</w:t>
      </w:r>
    </w:p>
    <w:p w14:paraId="1C4F6386" w14:textId="043CFA9F" w:rsidR="006E4425" w:rsidRPr="00EC46AC" w:rsidRDefault="006E4425" w:rsidP="006E4425">
      <w:pPr>
        <w:pStyle w:val="Caption"/>
        <w:keepNext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t>Calibration Plot</w:t>
      </w:r>
    </w:p>
    <w:p w14:paraId="20596798" w14:textId="0904D248" w:rsidR="002D1842" w:rsidRDefault="006E4425" w:rsidP="00C935AD">
      <w:pPr>
        <w:spacing w:line="480" w:lineRule="auto"/>
        <w:jc w:val="both"/>
        <w:rPr>
          <w:rFonts w:ascii="Calibri" w:eastAsia="Times New Roman" w:hAnsi="Calibri" w:cs="Calibri"/>
          <w:color w:val="0A0A0A"/>
          <w:kern w:val="0"/>
          <w:sz w:val="22"/>
          <w:szCs w:val="22"/>
          <w:highlight w:val="cyan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A0A0A"/>
          <w:kern w:val="0"/>
          <w:sz w:val="22"/>
          <w:szCs w:val="22"/>
          <w:lang w:eastAsia="en-GB"/>
        </w:rPr>
        <w:drawing>
          <wp:inline distT="0" distB="0" distL="0" distR="0" wp14:anchorId="1903D08D" wp14:editId="31B5A7B8">
            <wp:extent cx="3374265" cy="2082404"/>
            <wp:effectExtent l="0" t="0" r="4445" b="635"/>
            <wp:docPr id="1474607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07610" name="Picture 1474607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169" cy="208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FDF8" w14:textId="77777777" w:rsidR="004B305D" w:rsidRDefault="004B305D" w:rsidP="00560EE1">
      <w:pPr>
        <w:rPr>
          <w:rFonts w:eastAsia="Times New Roman" w:cstheme="minorHAnsi"/>
          <w:b/>
          <w:bCs/>
          <w:color w:val="0A0A0A"/>
          <w:kern w:val="0"/>
          <w:lang w:eastAsia="en-GB"/>
          <w14:ligatures w14:val="none"/>
        </w:rPr>
      </w:pPr>
    </w:p>
    <w:p w14:paraId="1702DB92" w14:textId="77777777" w:rsidR="004B305D" w:rsidRDefault="004B305D" w:rsidP="00560EE1">
      <w:pPr>
        <w:rPr>
          <w:rFonts w:eastAsia="Times New Roman" w:cstheme="minorHAnsi"/>
          <w:b/>
          <w:bCs/>
          <w:color w:val="0A0A0A"/>
          <w:kern w:val="0"/>
          <w:lang w:eastAsia="en-GB"/>
          <w14:ligatures w14:val="none"/>
        </w:rPr>
      </w:pPr>
    </w:p>
    <w:p w14:paraId="753DB438" w14:textId="77777777" w:rsidR="00637372" w:rsidRPr="00637372" w:rsidRDefault="00637372" w:rsidP="00637372">
      <w:pPr>
        <w:spacing w:line="48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637372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References</w:t>
      </w:r>
    </w:p>
    <w:p w14:paraId="5B37B151" w14:textId="77777777" w:rsidR="00637372" w:rsidRPr="00637372" w:rsidRDefault="00637372" w:rsidP="00637372">
      <w:pPr>
        <w:spacing w:line="480" w:lineRule="atLeast"/>
        <w:ind w:left="720" w:hanging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National Kidney Foundation. (2022, July 13).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Estimated Glomerular Filtration Rate (eGFR)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National Kidney Foundation. https://www.kidney.org/kidney-topics/estimated-glomerular-filtration-rate-egfr</w:t>
      </w:r>
    </w:p>
    <w:p w14:paraId="029A5CB4" w14:textId="77777777" w:rsidR="00637372" w:rsidRPr="00637372" w:rsidRDefault="00637372" w:rsidP="00637372">
      <w:pPr>
        <w:spacing w:line="480" w:lineRule="atLeast"/>
        <w:ind w:left="720" w:hanging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NHS. (2023, February 15).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Obesity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NHS. https://www.nhs.uk/conditions/obesity/</w:t>
      </w:r>
    </w:p>
    <w:p w14:paraId="76E3048F" w14:textId="77777777" w:rsidR="00637372" w:rsidRPr="00637372" w:rsidRDefault="00637372" w:rsidP="00637372">
      <w:pPr>
        <w:spacing w:line="480" w:lineRule="atLeast"/>
        <w:ind w:left="720" w:hanging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Tromp, J., Paniagua, S. M. A., Lau, E. S., Allen, N. B., Blaha, M. J., Gansevoort, R. T., Hillege, H. L., Lee, D. E., Levy, D., Ramachandran, V. S., van der Harst, P., van Gilst, W. H., Larson, M. G., Shah, S. J., de Boer, R. A., Lam, C. S. P., &amp; Ho, J. E. (2021). Age dependent associations of risk factors with heart failure: pooled population based cohort study.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BMJ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372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n461. https://doi.org/10.1136/bmj.n461</w:t>
      </w:r>
    </w:p>
    <w:p w14:paraId="7E32D15E" w14:textId="77777777" w:rsidR="00637372" w:rsidRPr="00637372" w:rsidRDefault="00637372" w:rsidP="00637372">
      <w:pPr>
        <w:spacing w:line="480" w:lineRule="atLeast"/>
        <w:ind w:left="720" w:hanging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Welsh, P., Campbell, R. T., Mooney, L., Kimenai, D. M., Hayward, C., Campbell, A., Porteous, D., Mills, N. L., Lang, N. N., Petrie, M. C., Januzzi, J. L., McMurray, J. J. V., &amp; Sattar, N. (2022). Reference Ranges for NT-proBNP (N-Terminal Pro-B-Type Natriuretic Peptide) and Risk Factors for Higher NT-proBNP Concentrations in a Large General Population Cohort.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Circulation: Heart Failure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15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(10). https://doi.org/10.1161/circheartfailure.121.009427</w:t>
      </w:r>
    </w:p>
    <w:p w14:paraId="7E96F7CF" w14:textId="77777777" w:rsidR="00637372" w:rsidRPr="00637372" w:rsidRDefault="00637372" w:rsidP="00637372">
      <w:pPr>
        <w:spacing w:line="480" w:lineRule="atLeast"/>
        <w:ind w:left="720" w:hanging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Yuan, Y., Pan, B., Wang, F., Chen, Z., Guo, Y., Shen, X., Liang, X., Liang, Y., Xing, Y., Zhang, H., Zhang, Y., Xie, C., Li, L., Huang, Z., Sun, H., Zheng, M., Liu, L., Lv, T., Li, Z., &amp; Liang, X. (2025). Age‐Based Classification and Outcomes in Pediatric Heart Failure: Findings From a Retrospective Multicenter Cohort Study.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Journal of the American Heart Association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14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(4). https://doi.org/10.1161/jaha.124.038129</w:t>
      </w:r>
    </w:p>
    <w:p w14:paraId="6FEF26FD" w14:textId="77777777" w:rsidR="004B305D" w:rsidRPr="00C57FCC" w:rsidRDefault="004B305D" w:rsidP="00560EE1">
      <w:pPr>
        <w:rPr>
          <w:rFonts w:eastAsia="Times New Roman" w:cstheme="minorHAnsi"/>
          <w:b/>
          <w:bCs/>
          <w:color w:val="0A0A0A"/>
          <w:kern w:val="0"/>
          <w:lang w:eastAsia="en-GB"/>
          <w14:ligatures w14:val="none"/>
        </w:rPr>
      </w:pPr>
    </w:p>
    <w:sectPr w:rsidR="004B305D" w:rsidRPr="00C57FCC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07D0C" w14:textId="77777777" w:rsidR="00436EB1" w:rsidRDefault="00436EB1" w:rsidP="00A41CF2">
      <w:r>
        <w:separator/>
      </w:r>
    </w:p>
  </w:endnote>
  <w:endnote w:type="continuationSeparator" w:id="0">
    <w:p w14:paraId="26637FA2" w14:textId="77777777" w:rsidR="00436EB1" w:rsidRDefault="00436EB1" w:rsidP="00A41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3BA99" w14:textId="66121338" w:rsidR="005C1241" w:rsidRDefault="005C1241">
    <w:pPr>
      <w:pStyle w:val="Footer"/>
    </w:pPr>
    <w:r w:rsidRPr="005C1241">
      <w:t>PART_A - TYBQ9 – CHME0040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AD0EF" w14:textId="77777777" w:rsidR="00436EB1" w:rsidRDefault="00436EB1" w:rsidP="00A41CF2">
      <w:r>
        <w:separator/>
      </w:r>
    </w:p>
  </w:footnote>
  <w:footnote w:type="continuationSeparator" w:id="0">
    <w:p w14:paraId="4433AA1B" w14:textId="77777777" w:rsidR="00436EB1" w:rsidRDefault="00436EB1" w:rsidP="00A41C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7D4F"/>
    <w:multiLevelType w:val="hybridMultilevel"/>
    <w:tmpl w:val="20B4DD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643F8"/>
    <w:multiLevelType w:val="hybridMultilevel"/>
    <w:tmpl w:val="9014B486"/>
    <w:lvl w:ilvl="0" w:tplc="F2F2EA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21024"/>
    <w:multiLevelType w:val="hybridMultilevel"/>
    <w:tmpl w:val="D5745A4E"/>
    <w:lvl w:ilvl="0" w:tplc="744AD4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E52F2C"/>
    <w:multiLevelType w:val="hybridMultilevel"/>
    <w:tmpl w:val="71FC4364"/>
    <w:lvl w:ilvl="0" w:tplc="15A0DFF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51260A"/>
    <w:multiLevelType w:val="hybridMultilevel"/>
    <w:tmpl w:val="074A0574"/>
    <w:lvl w:ilvl="0" w:tplc="F2F2EA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30321"/>
    <w:multiLevelType w:val="hybridMultilevel"/>
    <w:tmpl w:val="DEFE4F32"/>
    <w:lvl w:ilvl="0" w:tplc="F2F2EA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226A99"/>
    <w:multiLevelType w:val="hybridMultilevel"/>
    <w:tmpl w:val="591CD9A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6955582">
    <w:abstractNumId w:val="2"/>
  </w:num>
  <w:num w:numId="2" w16cid:durableId="1539196549">
    <w:abstractNumId w:val="1"/>
  </w:num>
  <w:num w:numId="3" w16cid:durableId="1898971963">
    <w:abstractNumId w:val="3"/>
  </w:num>
  <w:num w:numId="4" w16cid:durableId="147674615">
    <w:abstractNumId w:val="0"/>
  </w:num>
  <w:num w:numId="5" w16cid:durableId="1122843394">
    <w:abstractNumId w:val="5"/>
  </w:num>
  <w:num w:numId="6" w16cid:durableId="677273849">
    <w:abstractNumId w:val="6"/>
  </w:num>
  <w:num w:numId="7" w16cid:durableId="1730685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28"/>
    <w:rsid w:val="000117EC"/>
    <w:rsid w:val="00040106"/>
    <w:rsid w:val="0004138F"/>
    <w:rsid w:val="00043F99"/>
    <w:rsid w:val="000861DF"/>
    <w:rsid w:val="00110C43"/>
    <w:rsid w:val="00164BF0"/>
    <w:rsid w:val="00165AFD"/>
    <w:rsid w:val="00186311"/>
    <w:rsid w:val="001B3022"/>
    <w:rsid w:val="001F527B"/>
    <w:rsid w:val="00277F0D"/>
    <w:rsid w:val="002B6F34"/>
    <w:rsid w:val="002D1842"/>
    <w:rsid w:val="002F56F4"/>
    <w:rsid w:val="003723A2"/>
    <w:rsid w:val="00390A53"/>
    <w:rsid w:val="00391869"/>
    <w:rsid w:val="00405381"/>
    <w:rsid w:val="00436EB1"/>
    <w:rsid w:val="0045050B"/>
    <w:rsid w:val="00457928"/>
    <w:rsid w:val="004B305D"/>
    <w:rsid w:val="004E29D9"/>
    <w:rsid w:val="00534A81"/>
    <w:rsid w:val="00560EE1"/>
    <w:rsid w:val="005C1241"/>
    <w:rsid w:val="005C510F"/>
    <w:rsid w:val="00637372"/>
    <w:rsid w:val="006D4E7E"/>
    <w:rsid w:val="006D7F27"/>
    <w:rsid w:val="006E325E"/>
    <w:rsid w:val="006E4425"/>
    <w:rsid w:val="00772D4D"/>
    <w:rsid w:val="007A3EB7"/>
    <w:rsid w:val="007B0951"/>
    <w:rsid w:val="007D2A57"/>
    <w:rsid w:val="007E3D29"/>
    <w:rsid w:val="00872F1E"/>
    <w:rsid w:val="00886523"/>
    <w:rsid w:val="0088710B"/>
    <w:rsid w:val="008A3C60"/>
    <w:rsid w:val="008F56D0"/>
    <w:rsid w:val="00900641"/>
    <w:rsid w:val="009162E0"/>
    <w:rsid w:val="0094477B"/>
    <w:rsid w:val="009447F5"/>
    <w:rsid w:val="00954BC9"/>
    <w:rsid w:val="009A03A7"/>
    <w:rsid w:val="009C7EDD"/>
    <w:rsid w:val="009F3D1C"/>
    <w:rsid w:val="00A41CF2"/>
    <w:rsid w:val="00AC513D"/>
    <w:rsid w:val="00AD00EE"/>
    <w:rsid w:val="00B004B5"/>
    <w:rsid w:val="00B06828"/>
    <w:rsid w:val="00B14062"/>
    <w:rsid w:val="00B73872"/>
    <w:rsid w:val="00B862E0"/>
    <w:rsid w:val="00BA5D90"/>
    <w:rsid w:val="00BC472A"/>
    <w:rsid w:val="00C51727"/>
    <w:rsid w:val="00C57FCC"/>
    <w:rsid w:val="00C61D1C"/>
    <w:rsid w:val="00C62133"/>
    <w:rsid w:val="00C67037"/>
    <w:rsid w:val="00C935AD"/>
    <w:rsid w:val="00CF0C2B"/>
    <w:rsid w:val="00DC16FF"/>
    <w:rsid w:val="00E311E0"/>
    <w:rsid w:val="00E37406"/>
    <w:rsid w:val="00EA7696"/>
    <w:rsid w:val="00EC46AC"/>
    <w:rsid w:val="00ED314F"/>
    <w:rsid w:val="00F2413E"/>
    <w:rsid w:val="00F37437"/>
    <w:rsid w:val="00F75EC3"/>
    <w:rsid w:val="00FC2219"/>
    <w:rsid w:val="00FF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766F"/>
  <w15:chartTrackingRefBased/>
  <w15:docId w15:val="{C705EB86-DE37-D247-A581-E0D4A58F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8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8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8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8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8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8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8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82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A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AF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nj4oy0cpi">
    <w:name w:val="gnj4oy0cpi"/>
    <w:basedOn w:val="DefaultParagraphFont"/>
    <w:rsid w:val="00165AFD"/>
  </w:style>
  <w:style w:type="character" w:customStyle="1" w:styleId="apple-converted-space">
    <w:name w:val="apple-converted-space"/>
    <w:basedOn w:val="DefaultParagraphFont"/>
    <w:rsid w:val="007A3EB7"/>
  </w:style>
  <w:style w:type="paragraph" w:styleId="NormalWeb">
    <w:name w:val="Normal (Web)"/>
    <w:basedOn w:val="Normal"/>
    <w:uiPriority w:val="99"/>
    <w:semiHidden/>
    <w:unhideWhenUsed/>
    <w:rsid w:val="004B30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PlainTable2">
    <w:name w:val="Plain Table 2"/>
    <w:basedOn w:val="TableNormal"/>
    <w:uiPriority w:val="42"/>
    <w:rsid w:val="002D184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2D1842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2D1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1C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1CF2"/>
  </w:style>
  <w:style w:type="paragraph" w:styleId="Footer">
    <w:name w:val="footer"/>
    <w:basedOn w:val="Normal"/>
    <w:link w:val="FooterChar"/>
    <w:uiPriority w:val="99"/>
    <w:unhideWhenUsed/>
    <w:rsid w:val="00A41C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1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2033</Words>
  <Characters>11690</Characters>
  <Application>Microsoft Office Word</Application>
  <DocSecurity>0</DocSecurity>
  <Lines>365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Gibbs</dc:creator>
  <cp:keywords/>
  <dc:description/>
  <cp:lastModifiedBy>Matthew Gibbs</cp:lastModifiedBy>
  <cp:revision>4</cp:revision>
  <dcterms:created xsi:type="dcterms:W3CDTF">2026-04-23T13:16:00Z</dcterms:created>
  <dcterms:modified xsi:type="dcterms:W3CDTF">2026-06-06T14:11:00Z</dcterms:modified>
</cp:coreProperties>
</file>