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645D" w14:textId="77777777" w:rsidR="000F00A4" w:rsidRDefault="000F00A4" w:rsidP="000F00A4">
      <w:pPr>
        <w:rPr>
          <w:b/>
          <w:bCs/>
          <w:u w:val="single"/>
        </w:rPr>
      </w:pPr>
    </w:p>
    <w:p w14:paraId="57669F35" w14:textId="3C3EEFCB" w:rsidR="000F00A4" w:rsidRPr="000F00A4" w:rsidRDefault="000F00A4" w:rsidP="0027524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92EDC08" w14:textId="05E4862B" w:rsidR="000F00A4" w:rsidRPr="000F00A4" w:rsidRDefault="000F00A4" w:rsidP="00275243">
      <w:pPr>
        <w:spacing w:line="480" w:lineRule="auto"/>
        <w:jc w:val="center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  <w:b/>
          <w:bCs/>
        </w:rPr>
        <w:t>Analysis method</w:t>
      </w:r>
    </w:p>
    <w:p w14:paraId="51B4132C" w14:textId="77777777" w:rsidR="000F00A4" w:rsidRPr="000F00A4" w:rsidRDefault="000F00A4" w:rsidP="00275243">
      <w:pPr>
        <w:spacing w:line="480" w:lineRule="auto"/>
        <w:ind w:firstLine="72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 xml:space="preserve">Initial data processing confirmed no missing values. Treatment arm (arm), prognostic risk group (prognostic_group), and chemotherapy use (chemo) were converted to factors with appropriate reference levels. </w:t>
      </w:r>
    </w:p>
    <w:p w14:paraId="17EE1987" w14:textId="77777777" w:rsidR="000F00A4" w:rsidRPr="000F00A4" w:rsidRDefault="000F00A4" w:rsidP="00275243">
      <w:pPr>
        <w:spacing w:line="480" w:lineRule="auto"/>
        <w:ind w:firstLine="72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>Descriptive summaries included the total number of patients, total events, and median follow</w:t>
      </w:r>
      <w:r w:rsidRPr="000F00A4">
        <w:rPr>
          <w:rFonts w:ascii="Times New Roman" w:hAnsi="Times New Roman" w:cs="Times New Roman"/>
        </w:rPr>
        <w:noBreakHyphen/>
        <w:t>up time, both overall and by treatment arm. Balance of stratification factors across arms was checked using cross</w:t>
      </w:r>
      <w:r w:rsidRPr="000F00A4">
        <w:rPr>
          <w:rFonts w:ascii="Times New Roman" w:hAnsi="Times New Roman" w:cs="Times New Roman"/>
        </w:rPr>
        <w:noBreakHyphen/>
        <w:t xml:space="preserve">tabulations. </w:t>
      </w:r>
    </w:p>
    <w:p w14:paraId="146724C2" w14:textId="0AF7F031" w:rsidR="000F00A4" w:rsidRPr="000F00A4" w:rsidRDefault="000F00A4" w:rsidP="00275243">
      <w:pPr>
        <w:spacing w:line="480" w:lineRule="auto"/>
        <w:ind w:firstLine="72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>The primary analysis utilised Kaplan</w:t>
      </w:r>
      <w:r w:rsidRPr="000F00A4">
        <w:rPr>
          <w:rFonts w:ascii="Times New Roman" w:hAnsi="Times New Roman" w:cs="Times New Roman"/>
        </w:rPr>
        <w:noBreakHyphen/>
        <w:t>Meier curves to visualise disease</w:t>
      </w:r>
      <w:r w:rsidRPr="000F00A4">
        <w:rPr>
          <w:rFonts w:ascii="Times New Roman" w:hAnsi="Times New Roman" w:cs="Times New Roman"/>
        </w:rPr>
        <w:noBreakHyphen/>
        <w:t>free survival (DFS) by treatment arm, with a log</w:t>
      </w:r>
      <w:r w:rsidRPr="000F00A4">
        <w:rPr>
          <w:rFonts w:ascii="Times New Roman" w:hAnsi="Times New Roman" w:cs="Times New Roman"/>
        </w:rPr>
        <w:noBreakHyphen/>
        <w:t xml:space="preserve">rank test for unadjusted comparison. A Cox proportional hazards model was initially fitted with treatment arm as the predictor and stratification factors as covariates. </w:t>
      </w:r>
    </w:p>
    <w:p w14:paraId="324261CA" w14:textId="77777777" w:rsidR="000F00A4" w:rsidRPr="000F00A4" w:rsidRDefault="000F00A4" w:rsidP="00275243">
      <w:pPr>
        <w:spacing w:line="480" w:lineRule="auto"/>
        <w:ind w:firstLine="72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 xml:space="preserve">The proportional hazards assumption was tested using Schoenfeld residuals; violations were detected for prognostic group (p = .024) and chemotherapy (p &lt; .001). </w:t>
      </w:r>
    </w:p>
    <w:p w14:paraId="25BC0A81" w14:textId="53F9D3E2" w:rsidR="000F00A4" w:rsidRPr="000F00A4" w:rsidRDefault="000F00A4" w:rsidP="00275243">
      <w:pPr>
        <w:spacing w:line="480" w:lineRule="auto"/>
        <w:ind w:firstLine="72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>Consequently, a stratified Cox model was fitted, allowing each combination of these factors its own baseline hazard while estimating a common treatment hazard ratio. Hazard ratios with 95% confidence intervals and Wald test p</w:t>
      </w:r>
      <w:r w:rsidRPr="000F00A4">
        <w:rPr>
          <w:rFonts w:ascii="Times New Roman" w:hAnsi="Times New Roman" w:cs="Times New Roman"/>
        </w:rPr>
        <w:noBreakHyphen/>
        <w:t>values are reported.</w:t>
      </w:r>
    </w:p>
    <w:p w14:paraId="27E1E0E2" w14:textId="77777777" w:rsidR="000F00A4" w:rsidRPr="000F00A4" w:rsidRDefault="000F00A4" w:rsidP="00275243">
      <w:pPr>
        <w:spacing w:line="480" w:lineRule="auto"/>
        <w:ind w:left="360"/>
        <w:rPr>
          <w:rFonts w:ascii="Times New Roman" w:hAnsi="Times New Roman" w:cs="Times New Roman"/>
        </w:rPr>
      </w:pPr>
    </w:p>
    <w:p w14:paraId="39EBCA69" w14:textId="2B1B9435" w:rsidR="000F00A4" w:rsidRPr="000F00A4" w:rsidRDefault="000F00A4" w:rsidP="00275243">
      <w:pPr>
        <w:spacing w:line="480" w:lineRule="auto"/>
        <w:jc w:val="center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  <w:b/>
          <w:bCs/>
        </w:rPr>
        <w:t>Results and interpretation</w:t>
      </w:r>
    </w:p>
    <w:p w14:paraId="19B037DA" w14:textId="47C2D8F1" w:rsidR="000F00A4" w:rsidRPr="000F00A4" w:rsidRDefault="00777DB6" w:rsidP="00275243">
      <w:pPr>
        <w:spacing w:line="48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 the </w:t>
      </w:r>
      <w:r w:rsidR="000F00A4" w:rsidRPr="000F00A4">
        <w:rPr>
          <w:rFonts w:ascii="Times New Roman" w:hAnsi="Times New Roman" w:cs="Times New Roman"/>
        </w:rPr>
        <w:t xml:space="preserve">686 patients </w:t>
      </w:r>
      <w:r>
        <w:rPr>
          <w:rFonts w:ascii="Times New Roman" w:hAnsi="Times New Roman" w:cs="Times New Roman"/>
        </w:rPr>
        <w:t xml:space="preserve">within the dataset, 342 received the standard of care, while </w:t>
      </w:r>
      <w:r w:rsidR="000F00A4" w:rsidRPr="000F00A4">
        <w:rPr>
          <w:rFonts w:ascii="Times New Roman" w:hAnsi="Times New Roman" w:cs="Times New Roman"/>
        </w:rPr>
        <w:t>342</w:t>
      </w:r>
      <w:r>
        <w:rPr>
          <w:rFonts w:ascii="Times New Roman" w:hAnsi="Times New Roman" w:cs="Times New Roman"/>
        </w:rPr>
        <w:t xml:space="preserve"> receive hormone treatment</w:t>
      </w:r>
      <w:r w:rsidR="000F00A4" w:rsidRPr="000F00A4">
        <w:rPr>
          <w:rFonts w:ascii="Times New Roman" w:hAnsi="Times New Roman" w:cs="Times New Roman"/>
        </w:rPr>
        <w:t>, with 543 events occurring over a median follow</w:t>
      </w:r>
      <w:r w:rsidR="000F00A4" w:rsidRPr="000F00A4">
        <w:rPr>
          <w:rFonts w:ascii="Times New Roman" w:hAnsi="Times New Roman" w:cs="Times New Roman"/>
        </w:rPr>
        <w:noBreakHyphen/>
        <w:t>up of 1,506 days. Baseline prognostic group and chemotherapy intent were well balanced between arms.</w:t>
      </w:r>
    </w:p>
    <w:p w14:paraId="4905051C" w14:textId="18C9CF19" w:rsidR="000F00A4" w:rsidRPr="000F00A4" w:rsidRDefault="000F00A4" w:rsidP="00275243">
      <w:pPr>
        <w:spacing w:line="480" w:lineRule="auto"/>
        <w:ind w:firstLine="36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>Kaplan</w:t>
      </w:r>
      <w:r w:rsidRPr="000F00A4">
        <w:rPr>
          <w:rFonts w:ascii="Times New Roman" w:hAnsi="Times New Roman" w:cs="Times New Roman"/>
        </w:rPr>
        <w:noBreakHyphen/>
        <w:t xml:space="preserve">Meier curves </w:t>
      </w:r>
      <w:r w:rsidR="004E2FC8">
        <w:rPr>
          <w:rFonts w:ascii="Times New Roman" w:hAnsi="Times New Roman" w:cs="Times New Roman"/>
        </w:rPr>
        <w:t>(</w:t>
      </w:r>
      <w:r w:rsidR="004E2FC8">
        <w:rPr>
          <w:rFonts w:ascii="Times New Roman" w:hAnsi="Times New Roman" w:cs="Times New Roman"/>
          <w:i/>
          <w:iCs/>
        </w:rPr>
        <w:t>See figure 1</w:t>
      </w:r>
      <w:r w:rsidR="004E2FC8">
        <w:rPr>
          <w:rFonts w:ascii="Times New Roman" w:hAnsi="Times New Roman" w:cs="Times New Roman"/>
        </w:rPr>
        <w:t xml:space="preserve">) </w:t>
      </w:r>
      <w:r w:rsidR="00777DB6">
        <w:rPr>
          <w:rFonts w:ascii="Times New Roman" w:hAnsi="Times New Roman" w:cs="Times New Roman"/>
        </w:rPr>
        <w:t>displayed</w:t>
      </w:r>
      <w:r w:rsidRPr="000F00A4">
        <w:rPr>
          <w:rFonts w:ascii="Times New Roman" w:hAnsi="Times New Roman" w:cs="Times New Roman"/>
        </w:rPr>
        <w:t xml:space="preserve"> significantly higher </w:t>
      </w:r>
      <w:r w:rsidR="00777DB6">
        <w:rPr>
          <w:rFonts w:ascii="Times New Roman" w:hAnsi="Times New Roman" w:cs="Times New Roman"/>
        </w:rPr>
        <w:t>disease-free survival</w:t>
      </w:r>
      <w:r w:rsidRPr="000F00A4">
        <w:rPr>
          <w:rFonts w:ascii="Times New Roman" w:hAnsi="Times New Roman" w:cs="Times New Roman"/>
        </w:rPr>
        <w:t xml:space="preserve"> in the </w:t>
      </w:r>
      <w:r w:rsidR="00777DB6">
        <w:rPr>
          <w:rFonts w:ascii="Times New Roman" w:hAnsi="Times New Roman" w:cs="Times New Roman"/>
        </w:rPr>
        <w:t>hormone treatment</w:t>
      </w:r>
      <w:r w:rsidRPr="000F00A4">
        <w:rPr>
          <w:rFonts w:ascii="Times New Roman" w:hAnsi="Times New Roman" w:cs="Times New Roman"/>
        </w:rPr>
        <w:t xml:space="preserve"> </w:t>
      </w:r>
      <w:r w:rsidR="00777DB6">
        <w:rPr>
          <w:rFonts w:ascii="Times New Roman" w:hAnsi="Times New Roman" w:cs="Times New Roman"/>
        </w:rPr>
        <w:t>group</w:t>
      </w:r>
      <w:r w:rsidRPr="000F00A4">
        <w:rPr>
          <w:rFonts w:ascii="Times New Roman" w:hAnsi="Times New Roman" w:cs="Times New Roman"/>
        </w:rPr>
        <w:t xml:space="preserve"> compared to </w:t>
      </w:r>
      <w:r w:rsidR="00777DB6">
        <w:rPr>
          <w:rFonts w:ascii="Times New Roman" w:hAnsi="Times New Roman" w:cs="Times New Roman"/>
        </w:rPr>
        <w:t>standard treatment of care</w:t>
      </w:r>
      <w:r w:rsidRPr="000F00A4">
        <w:rPr>
          <w:rFonts w:ascii="Times New Roman" w:hAnsi="Times New Roman" w:cs="Times New Roman"/>
        </w:rPr>
        <w:t xml:space="preserve"> (log</w:t>
      </w:r>
      <w:r w:rsidRPr="000F00A4">
        <w:rPr>
          <w:rFonts w:ascii="Times New Roman" w:hAnsi="Times New Roman" w:cs="Times New Roman"/>
        </w:rPr>
        <w:noBreakHyphen/>
        <w:t xml:space="preserve">rank χ² = 26.8, p &lt; </w:t>
      </w:r>
      <w:r w:rsidRPr="000F00A4">
        <w:rPr>
          <w:rFonts w:ascii="Times New Roman" w:hAnsi="Times New Roman" w:cs="Times New Roman"/>
        </w:rPr>
        <w:lastRenderedPageBreak/>
        <w:t>.001). In the adjusted Cox model, HT was associated with a 41%</w:t>
      </w:r>
      <w:r w:rsidR="00777DB6">
        <w:rPr>
          <w:rFonts w:ascii="Times New Roman" w:hAnsi="Times New Roman" w:cs="Times New Roman"/>
        </w:rPr>
        <w:t xml:space="preserve"> decrease </w:t>
      </w:r>
      <w:r w:rsidRPr="000F00A4">
        <w:rPr>
          <w:rFonts w:ascii="Times New Roman" w:hAnsi="Times New Roman" w:cs="Times New Roman"/>
        </w:rPr>
        <w:t xml:space="preserve">in progression hazard (HR = 0.59, 95% CI </w:t>
      </w:r>
      <w:r w:rsidR="004E2FC8">
        <w:rPr>
          <w:rFonts w:ascii="Times New Roman" w:hAnsi="Times New Roman" w:cs="Times New Roman"/>
        </w:rPr>
        <w:t>[</w:t>
      </w:r>
      <w:r w:rsidRPr="000F00A4">
        <w:rPr>
          <w:rFonts w:ascii="Times New Roman" w:hAnsi="Times New Roman" w:cs="Times New Roman"/>
        </w:rPr>
        <w:t>0.50</w:t>
      </w:r>
      <w:r w:rsidR="004E2FC8">
        <w:rPr>
          <w:rFonts w:ascii="Times New Roman" w:hAnsi="Times New Roman" w:cs="Times New Roman"/>
        </w:rPr>
        <w:t>,</w:t>
      </w:r>
      <w:r w:rsidRPr="000F00A4">
        <w:rPr>
          <w:rFonts w:ascii="Times New Roman" w:hAnsi="Times New Roman" w:cs="Times New Roman"/>
        </w:rPr>
        <w:t>0.70</w:t>
      </w:r>
      <w:r w:rsidR="004E2FC8">
        <w:rPr>
          <w:rFonts w:ascii="Times New Roman" w:hAnsi="Times New Roman" w:cs="Times New Roman"/>
        </w:rPr>
        <w:t>]</w:t>
      </w:r>
      <w:r w:rsidRPr="000F00A4">
        <w:rPr>
          <w:rFonts w:ascii="Times New Roman" w:hAnsi="Times New Roman" w:cs="Times New Roman"/>
        </w:rPr>
        <w:t xml:space="preserve">, p &lt; .001). </w:t>
      </w:r>
    </w:p>
    <w:p w14:paraId="3A9D654D" w14:textId="111AC04F" w:rsidR="000F00A4" w:rsidRPr="000F00A4" w:rsidRDefault="000F00A4" w:rsidP="00275243">
      <w:pPr>
        <w:spacing w:line="480" w:lineRule="auto"/>
        <w:ind w:firstLine="36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 xml:space="preserve">Prognostic group </w:t>
      </w:r>
      <w:r w:rsidR="00777DB6">
        <w:rPr>
          <w:rFonts w:ascii="Times New Roman" w:hAnsi="Times New Roman" w:cs="Times New Roman"/>
        </w:rPr>
        <w:t>was a strong</w:t>
      </w:r>
      <w:r w:rsidRPr="000F00A4">
        <w:rPr>
          <w:rFonts w:ascii="Times New Roman" w:hAnsi="Times New Roman" w:cs="Times New Roman"/>
        </w:rPr>
        <w:t xml:space="preserve"> </w:t>
      </w:r>
      <w:r w:rsidR="00777DB6">
        <w:rPr>
          <w:rFonts w:ascii="Times New Roman" w:hAnsi="Times New Roman" w:cs="Times New Roman"/>
        </w:rPr>
        <w:t>predictor of</w:t>
      </w:r>
      <w:r w:rsidRPr="000F00A4">
        <w:rPr>
          <w:rFonts w:ascii="Times New Roman" w:hAnsi="Times New Roman" w:cs="Times New Roman"/>
        </w:rPr>
        <w:t xml:space="preserve"> outcome</w:t>
      </w:r>
      <w:r w:rsidR="00777DB6">
        <w:rPr>
          <w:rFonts w:ascii="Times New Roman" w:hAnsi="Times New Roman" w:cs="Times New Roman"/>
        </w:rPr>
        <w:t xml:space="preserve">s in the final model, while </w:t>
      </w:r>
      <w:r w:rsidRPr="00777DB6">
        <w:rPr>
          <w:rFonts w:ascii="Times New Roman" w:hAnsi="Times New Roman" w:cs="Times New Roman"/>
        </w:rPr>
        <w:t>chemotherapy</w:t>
      </w:r>
      <w:r w:rsidRPr="000F00A4">
        <w:rPr>
          <w:rFonts w:ascii="Times New Roman" w:hAnsi="Times New Roman" w:cs="Times New Roman"/>
        </w:rPr>
        <w:t xml:space="preserve"> was not significant</w:t>
      </w:r>
      <w:r w:rsidR="00777DB6">
        <w:rPr>
          <w:rFonts w:ascii="Times New Roman" w:hAnsi="Times New Roman" w:cs="Times New Roman"/>
        </w:rPr>
        <w:t xml:space="preserve">. </w:t>
      </w:r>
      <w:r w:rsidRPr="000F00A4">
        <w:rPr>
          <w:rFonts w:ascii="Times New Roman" w:hAnsi="Times New Roman" w:cs="Times New Roman"/>
        </w:rPr>
        <w:t xml:space="preserve">In the stratified Cox model, the </w:t>
      </w:r>
      <w:r w:rsidR="00777DB6">
        <w:rPr>
          <w:rFonts w:ascii="Times New Roman" w:hAnsi="Times New Roman" w:cs="Times New Roman"/>
        </w:rPr>
        <w:t>HR</w:t>
      </w:r>
      <w:r w:rsidRPr="000F00A4">
        <w:rPr>
          <w:rFonts w:ascii="Times New Roman" w:hAnsi="Times New Roman" w:cs="Times New Roman"/>
        </w:rPr>
        <w:t xml:space="preserve"> for HT </w:t>
      </w:r>
      <w:r w:rsidR="00777DB6">
        <w:rPr>
          <w:rFonts w:ascii="Times New Roman" w:hAnsi="Times New Roman" w:cs="Times New Roman"/>
        </w:rPr>
        <w:t>compared to</w:t>
      </w:r>
      <w:r w:rsidRPr="000F00A4">
        <w:rPr>
          <w:rFonts w:ascii="Times New Roman" w:hAnsi="Times New Roman" w:cs="Times New Roman"/>
        </w:rPr>
        <w:t xml:space="preserve"> SOC was 0.60, representing a 40% relative reduction in DFS event risk</w:t>
      </w:r>
      <w:r w:rsidR="00777DB6">
        <w:rPr>
          <w:rFonts w:ascii="Times New Roman" w:hAnsi="Times New Roman" w:cs="Times New Roman"/>
        </w:rPr>
        <w:t xml:space="preserve"> </w:t>
      </w:r>
      <w:r w:rsidR="00777DB6" w:rsidRPr="000F00A4">
        <w:rPr>
          <w:rFonts w:ascii="Times New Roman" w:hAnsi="Times New Roman" w:cs="Times New Roman"/>
        </w:rPr>
        <w:t>(</w:t>
      </w:r>
      <w:r w:rsidR="00777DB6" w:rsidRPr="00777DB6">
        <w:rPr>
          <w:rFonts w:ascii="Times New Roman" w:hAnsi="Times New Roman" w:cs="Times New Roman"/>
          <w:i/>
          <w:iCs/>
        </w:rPr>
        <w:t xml:space="preserve">See </w:t>
      </w:r>
      <w:r w:rsidR="00777DB6">
        <w:rPr>
          <w:rFonts w:ascii="Times New Roman" w:hAnsi="Times New Roman" w:cs="Times New Roman"/>
          <w:i/>
          <w:iCs/>
        </w:rPr>
        <w:t>T</w:t>
      </w:r>
      <w:r w:rsidR="00777DB6" w:rsidRPr="00777DB6">
        <w:rPr>
          <w:rFonts w:ascii="Times New Roman" w:hAnsi="Times New Roman" w:cs="Times New Roman"/>
          <w:i/>
          <w:iCs/>
        </w:rPr>
        <w:t>able 1</w:t>
      </w:r>
      <w:r w:rsidR="00777DB6" w:rsidRPr="000F00A4">
        <w:rPr>
          <w:rFonts w:ascii="Times New Roman" w:hAnsi="Times New Roman" w:cs="Times New Roman"/>
        </w:rPr>
        <w:t>).</w:t>
      </w:r>
    </w:p>
    <w:p w14:paraId="25C0E5EE" w14:textId="60A1CF5F" w:rsidR="000F00A4" w:rsidRPr="000F00A4" w:rsidRDefault="000F00A4" w:rsidP="00275243">
      <w:pPr>
        <w:spacing w:line="480" w:lineRule="auto"/>
        <w:ind w:firstLine="36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>The proportional hazards assumption for the treatment effect was satisfied in the stratified model (p = .37), confirming the robustness of the estimate.</w:t>
      </w:r>
    </w:p>
    <w:p w14:paraId="512D35F2" w14:textId="1E7DB55A" w:rsidR="000F00A4" w:rsidRPr="000F00A4" w:rsidRDefault="000F00A4" w:rsidP="00275243">
      <w:pPr>
        <w:spacing w:line="480" w:lineRule="auto"/>
        <w:ind w:firstLine="36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 xml:space="preserve">Chemotherapy use was not significantly associate with DFS (HR = 1.05, </w:t>
      </w:r>
      <w:r w:rsidR="00F62F3C">
        <w:rPr>
          <w:rFonts w:ascii="Times New Roman" w:hAnsi="Times New Roman" w:cs="Times New Roman"/>
        </w:rPr>
        <w:t>p</w:t>
      </w:r>
      <w:r w:rsidRPr="000F00A4">
        <w:rPr>
          <w:rFonts w:ascii="Times New Roman" w:hAnsi="Times New Roman" w:cs="Times New Roman"/>
        </w:rPr>
        <w:t xml:space="preserve"> = .63), suggesting it does not independently influence outcomes after accounting for prognostic group.</w:t>
      </w:r>
    </w:p>
    <w:p w14:paraId="11590C60" w14:textId="77777777" w:rsidR="000F00A4" w:rsidRPr="000F00A4" w:rsidRDefault="000F00A4" w:rsidP="00275243">
      <w:pPr>
        <w:spacing w:line="480" w:lineRule="auto"/>
        <w:rPr>
          <w:rFonts w:ascii="Times New Roman" w:hAnsi="Times New Roman" w:cs="Times New Roman"/>
        </w:rPr>
      </w:pPr>
    </w:p>
    <w:p w14:paraId="74418F62" w14:textId="77777777" w:rsidR="000F00A4" w:rsidRPr="000F00A4" w:rsidRDefault="000F00A4" w:rsidP="00275243">
      <w:pPr>
        <w:spacing w:line="480" w:lineRule="auto"/>
        <w:jc w:val="center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  <w:b/>
          <w:bCs/>
        </w:rPr>
        <w:t>Regression model and assumptions</w:t>
      </w:r>
    </w:p>
    <w:p w14:paraId="170D245A" w14:textId="77777777" w:rsidR="000F00A4" w:rsidRPr="000F00A4" w:rsidRDefault="000F00A4" w:rsidP="00275243">
      <w:pPr>
        <w:spacing w:line="480" w:lineRule="auto"/>
        <w:ind w:firstLine="36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 xml:space="preserve">The primary model was a Cox proportional hazards regression. The proportional hazards assumption was tested using Schoenfeld residuals. No violation was detected for the treatment arm (p = .52), however significant violations occurred for the prognostic group (p = .024) and chemotherapy (p &lt; .001). </w:t>
      </w:r>
    </w:p>
    <w:p w14:paraId="7672714A" w14:textId="50B12F25" w:rsidR="000F00A4" w:rsidRPr="000A7D9C" w:rsidRDefault="000F00A4" w:rsidP="000A7D9C">
      <w:pPr>
        <w:spacing w:line="480" w:lineRule="auto"/>
        <w:ind w:firstLine="360"/>
        <w:rPr>
          <w:rFonts w:ascii="Times New Roman" w:hAnsi="Times New Roman" w:cs="Times New Roman"/>
        </w:rPr>
      </w:pPr>
      <w:r w:rsidRPr="000F00A4">
        <w:rPr>
          <w:rFonts w:ascii="Times New Roman" w:hAnsi="Times New Roman" w:cs="Times New Roman"/>
        </w:rPr>
        <w:t>A stratified Cox model was fitted as a sensitivity analysis, yielding a consistent HT hazard ratio (0.60) with no residual PH violation (p = .37).</w:t>
      </w:r>
    </w:p>
    <w:p w14:paraId="11D7A633" w14:textId="0960039C" w:rsidR="000A7D9C" w:rsidRPr="004E2FC8" w:rsidRDefault="000A7D9C" w:rsidP="000A7D9C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E2FC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Table </w:t>
      </w:r>
      <w:r w:rsidRPr="004E2FC8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begin"/>
      </w:r>
      <w:r w:rsidRPr="004E2FC8">
        <w:rPr>
          <w:rFonts w:ascii="Times New Roman" w:hAnsi="Times New Roman" w:cs="Times New Roman"/>
          <w:b/>
          <w:bCs/>
          <w:color w:val="auto"/>
          <w:sz w:val="24"/>
          <w:szCs w:val="24"/>
        </w:rPr>
        <w:instrText xml:space="preserve"> SEQ Table \* ARABIC </w:instrText>
      </w:r>
      <w:r w:rsidRPr="004E2FC8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separate"/>
      </w:r>
      <w:r w:rsidR="004E2FC8" w:rsidRPr="004E2FC8">
        <w:rPr>
          <w:rFonts w:ascii="Times New Roman" w:hAnsi="Times New Roman" w:cs="Times New Roman"/>
          <w:b/>
          <w:bCs/>
          <w:noProof/>
          <w:color w:val="auto"/>
          <w:sz w:val="24"/>
          <w:szCs w:val="24"/>
        </w:rPr>
        <w:t>1</w:t>
      </w:r>
      <w:r w:rsidRPr="004E2FC8">
        <w:rPr>
          <w:rFonts w:ascii="Times New Roman" w:hAnsi="Times New Roman" w:cs="Times New Roman"/>
          <w:b/>
          <w:bCs/>
          <w:color w:val="auto"/>
          <w:sz w:val="24"/>
          <w:szCs w:val="24"/>
        </w:rPr>
        <w:fldChar w:fldCharType="end"/>
      </w:r>
    </w:p>
    <w:p w14:paraId="190FB5F7" w14:textId="581DD84C" w:rsidR="000A7D9C" w:rsidRPr="004E2FC8" w:rsidRDefault="006A5013" w:rsidP="000A7D9C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Cox</w:t>
      </w:r>
      <w:r w:rsidR="000A7D9C" w:rsidRPr="004E2FC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proportional hazards model for disease-free survival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A7D9C" w:rsidRPr="00D953AC" w14:paraId="61850B00" w14:textId="77777777" w:rsidTr="005449E0"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</w:tcPr>
          <w:p w14:paraId="0AC48A7E" w14:textId="77777777" w:rsidR="000A7D9C" w:rsidRPr="00D953AC" w:rsidRDefault="000A7D9C" w:rsidP="005449E0">
            <w:pPr>
              <w:rPr>
                <w:rFonts w:ascii="Times New Roman" w:hAnsi="Times New Roman" w:cs="Times New Roman"/>
                <w:b/>
                <w:bCs/>
              </w:rPr>
            </w:pPr>
            <w:r w:rsidRPr="00D953AC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</w:tcPr>
          <w:p w14:paraId="3101BB5F" w14:textId="77777777" w:rsidR="000A7D9C" w:rsidRPr="00D953AC" w:rsidRDefault="000A7D9C" w:rsidP="005449E0">
            <w:pPr>
              <w:rPr>
                <w:rFonts w:ascii="Times New Roman" w:hAnsi="Times New Roman" w:cs="Times New Roman"/>
                <w:b/>
                <w:bCs/>
              </w:rPr>
            </w:pPr>
            <w:r w:rsidRPr="00D953AC">
              <w:rPr>
                <w:rFonts w:ascii="Times New Roman" w:hAnsi="Times New Roman" w:cs="Times New Roman"/>
                <w:b/>
                <w:bCs/>
              </w:rPr>
              <w:t>HR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</w:tcPr>
          <w:p w14:paraId="2A7DFCD0" w14:textId="77777777" w:rsidR="000A7D9C" w:rsidRPr="00D953AC" w:rsidRDefault="000A7D9C" w:rsidP="005449E0">
            <w:pPr>
              <w:rPr>
                <w:rFonts w:ascii="Times New Roman" w:hAnsi="Times New Roman" w:cs="Times New Roman"/>
                <w:b/>
                <w:bCs/>
              </w:rPr>
            </w:pPr>
            <w:r w:rsidRPr="00D953AC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2254" w:type="dxa"/>
            <w:tcBorders>
              <w:top w:val="single" w:sz="4" w:space="0" w:color="auto"/>
              <w:bottom w:val="single" w:sz="4" w:space="0" w:color="auto"/>
            </w:tcBorders>
          </w:tcPr>
          <w:p w14:paraId="3E586E1C" w14:textId="77777777" w:rsidR="000A7D9C" w:rsidRPr="00D953AC" w:rsidRDefault="000A7D9C" w:rsidP="005449E0">
            <w:pPr>
              <w:rPr>
                <w:rFonts w:ascii="Times New Roman" w:hAnsi="Times New Roman" w:cs="Times New Roman"/>
                <w:b/>
                <w:bCs/>
              </w:rPr>
            </w:pPr>
            <w:r w:rsidRPr="00D953AC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p</w:t>
            </w:r>
          </w:p>
        </w:tc>
      </w:tr>
      <w:tr w:rsidR="000A7D9C" w:rsidRPr="00D953AC" w14:paraId="63F262A1" w14:textId="77777777" w:rsidTr="005449E0">
        <w:tc>
          <w:tcPr>
            <w:tcW w:w="2254" w:type="dxa"/>
            <w:tcBorders>
              <w:top w:val="single" w:sz="4" w:space="0" w:color="auto"/>
            </w:tcBorders>
          </w:tcPr>
          <w:p w14:paraId="4803EF3E" w14:textId="6E1E7268" w:rsidR="000A7D9C" w:rsidRPr="00D953AC" w:rsidRDefault="000A7D9C" w:rsidP="005449E0">
            <w:pPr>
              <w:rPr>
                <w:rFonts w:ascii="Times New Roman" w:hAnsi="Times New Roman" w:cs="Times New Roman"/>
                <w:b/>
                <w:bCs/>
              </w:rPr>
            </w:pPr>
            <w:r w:rsidRPr="00D953AC">
              <w:rPr>
                <w:rFonts w:ascii="Times New Roman" w:hAnsi="Times New Roman" w:cs="Times New Roman"/>
                <w:b/>
                <w:bCs/>
              </w:rPr>
              <w:t>HT vs</w:t>
            </w:r>
            <w:r w:rsidR="006A5013">
              <w:rPr>
                <w:rFonts w:ascii="Times New Roman" w:hAnsi="Times New Roman" w:cs="Times New Roman"/>
                <w:b/>
                <w:bCs/>
              </w:rPr>
              <w:t>.</w:t>
            </w:r>
            <w:r w:rsidRPr="00D953AC">
              <w:rPr>
                <w:rFonts w:ascii="Times New Roman" w:hAnsi="Times New Roman" w:cs="Times New Roman"/>
                <w:b/>
                <w:bCs/>
              </w:rPr>
              <w:t xml:space="preserve"> SOC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59FDFB1C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0.59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7F9735FD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0.50, 0.70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66FF1C6D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&lt; .001</w:t>
            </w:r>
          </w:p>
        </w:tc>
      </w:tr>
      <w:tr w:rsidR="000A7D9C" w:rsidRPr="00D953AC" w14:paraId="1C59F2CA" w14:textId="77777777" w:rsidTr="005449E0">
        <w:tc>
          <w:tcPr>
            <w:tcW w:w="2254" w:type="dxa"/>
          </w:tcPr>
          <w:p w14:paraId="64BE9CF1" w14:textId="77777777" w:rsidR="000A7D9C" w:rsidRPr="00D953AC" w:rsidRDefault="000A7D9C" w:rsidP="005449E0">
            <w:pPr>
              <w:rPr>
                <w:rFonts w:ascii="Times New Roman" w:hAnsi="Times New Roman" w:cs="Times New Roman"/>
                <w:b/>
                <w:bCs/>
              </w:rPr>
            </w:pPr>
            <w:r w:rsidRPr="00D953AC">
              <w:rPr>
                <w:rFonts w:ascii="Times New Roman" w:hAnsi="Times New Roman" w:cs="Times New Roman"/>
                <w:b/>
                <w:bCs/>
              </w:rPr>
              <w:t>Prognostic group – Medium vs. good</w:t>
            </w:r>
          </w:p>
        </w:tc>
        <w:tc>
          <w:tcPr>
            <w:tcW w:w="2254" w:type="dxa"/>
          </w:tcPr>
          <w:p w14:paraId="7F97BD50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2.04</w:t>
            </w:r>
          </w:p>
        </w:tc>
        <w:tc>
          <w:tcPr>
            <w:tcW w:w="2254" w:type="dxa"/>
          </w:tcPr>
          <w:p w14:paraId="7B469840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1.64, 2.54</w:t>
            </w:r>
          </w:p>
        </w:tc>
        <w:tc>
          <w:tcPr>
            <w:tcW w:w="2254" w:type="dxa"/>
          </w:tcPr>
          <w:p w14:paraId="5E4BC88F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&lt; .001</w:t>
            </w:r>
          </w:p>
        </w:tc>
      </w:tr>
      <w:tr w:rsidR="000A7D9C" w:rsidRPr="00D953AC" w14:paraId="3DFDBF45" w14:textId="77777777" w:rsidTr="005449E0">
        <w:tc>
          <w:tcPr>
            <w:tcW w:w="2254" w:type="dxa"/>
          </w:tcPr>
          <w:p w14:paraId="41C3E4E2" w14:textId="77777777" w:rsidR="000A7D9C" w:rsidRPr="00D953AC" w:rsidRDefault="000A7D9C" w:rsidP="005449E0">
            <w:pPr>
              <w:rPr>
                <w:rFonts w:ascii="Times New Roman" w:hAnsi="Times New Roman" w:cs="Times New Roman"/>
                <w:b/>
                <w:bCs/>
              </w:rPr>
            </w:pPr>
            <w:r w:rsidRPr="00D953AC">
              <w:rPr>
                <w:rFonts w:ascii="Times New Roman" w:hAnsi="Times New Roman" w:cs="Times New Roman"/>
                <w:b/>
                <w:bCs/>
              </w:rPr>
              <w:t>Prognostic group – Poor vs. good</w:t>
            </w:r>
          </w:p>
        </w:tc>
        <w:tc>
          <w:tcPr>
            <w:tcW w:w="2254" w:type="dxa"/>
          </w:tcPr>
          <w:p w14:paraId="1330801B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3.11</w:t>
            </w:r>
          </w:p>
        </w:tc>
        <w:tc>
          <w:tcPr>
            <w:tcW w:w="2254" w:type="dxa"/>
          </w:tcPr>
          <w:p w14:paraId="46AF42A8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2.49, 3.90</w:t>
            </w:r>
          </w:p>
        </w:tc>
        <w:tc>
          <w:tcPr>
            <w:tcW w:w="2254" w:type="dxa"/>
          </w:tcPr>
          <w:p w14:paraId="4C9CFF5F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&lt; .001</w:t>
            </w:r>
          </w:p>
        </w:tc>
      </w:tr>
      <w:tr w:rsidR="000A7D9C" w:rsidRPr="00D953AC" w14:paraId="42194AEF" w14:textId="77777777" w:rsidTr="005449E0">
        <w:tc>
          <w:tcPr>
            <w:tcW w:w="2254" w:type="dxa"/>
            <w:tcBorders>
              <w:bottom w:val="single" w:sz="4" w:space="0" w:color="auto"/>
            </w:tcBorders>
          </w:tcPr>
          <w:p w14:paraId="4A9F9926" w14:textId="77777777" w:rsidR="000A7D9C" w:rsidRPr="00D953AC" w:rsidRDefault="000A7D9C" w:rsidP="005449E0">
            <w:pPr>
              <w:rPr>
                <w:rFonts w:ascii="Times New Roman" w:hAnsi="Times New Roman" w:cs="Times New Roman"/>
                <w:b/>
                <w:bCs/>
              </w:rPr>
            </w:pPr>
            <w:r w:rsidRPr="00D953AC">
              <w:rPr>
                <w:rFonts w:ascii="Times New Roman" w:hAnsi="Times New Roman" w:cs="Times New Roman"/>
                <w:b/>
                <w:bCs/>
              </w:rPr>
              <w:t>Chemotherapy – Yes vs. no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67C333E6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1.05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46AAEA60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0.86, 1.29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25EE4D54" w14:textId="77777777" w:rsidR="000A7D9C" w:rsidRPr="00D953AC" w:rsidRDefault="000A7D9C" w:rsidP="005449E0">
            <w:pPr>
              <w:rPr>
                <w:rFonts w:ascii="Times New Roman" w:hAnsi="Times New Roman" w:cs="Times New Roman"/>
              </w:rPr>
            </w:pPr>
            <w:r w:rsidRPr="00D953AC">
              <w:rPr>
                <w:rFonts w:ascii="Times New Roman" w:hAnsi="Times New Roman" w:cs="Times New Roman"/>
              </w:rPr>
              <w:t>.627</w:t>
            </w:r>
          </w:p>
        </w:tc>
      </w:tr>
    </w:tbl>
    <w:p w14:paraId="5F76EFBD" w14:textId="0B5B7081" w:rsidR="004E2FC8" w:rsidRPr="004E2FC8" w:rsidRDefault="004E2FC8" w:rsidP="004E2FC8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E2FC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Figure 1.</w:t>
      </w:r>
    </w:p>
    <w:p w14:paraId="54012EE5" w14:textId="3C3BDC15" w:rsidR="004E2FC8" w:rsidRPr="004E2FC8" w:rsidRDefault="004E2FC8" w:rsidP="004E2FC8">
      <w:pPr>
        <w:pStyle w:val="Caption"/>
        <w:keepNext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E2FC8">
        <w:rPr>
          <w:rFonts w:ascii="Times New Roman" w:hAnsi="Times New Roman" w:cs="Times New Roman"/>
          <w:b/>
          <w:bCs/>
          <w:color w:val="auto"/>
          <w:sz w:val="24"/>
          <w:szCs w:val="24"/>
        </w:rPr>
        <w:t>Kaplan-Meier curve</w:t>
      </w:r>
    </w:p>
    <w:p w14:paraId="1A3C2EAF" w14:textId="5969AB23" w:rsidR="000A7D9C" w:rsidRPr="000F00A4" w:rsidRDefault="004E2FC8" w:rsidP="000F00A4">
      <w:r>
        <w:rPr>
          <w:noProof/>
        </w:rPr>
        <w:drawing>
          <wp:inline distT="0" distB="0" distL="0" distR="0" wp14:anchorId="45D74291" wp14:editId="1B33CF4C">
            <wp:extent cx="4445000" cy="2743200"/>
            <wp:effectExtent l="0" t="0" r="0" b="0"/>
            <wp:docPr id="55532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24013" name="Picture 5553240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D9C" w:rsidRPr="000F00A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EA7E" w14:textId="77777777" w:rsidR="0086422A" w:rsidRDefault="0086422A" w:rsidP="00DF1783">
      <w:r>
        <w:separator/>
      </w:r>
    </w:p>
  </w:endnote>
  <w:endnote w:type="continuationSeparator" w:id="0">
    <w:p w14:paraId="2AE5112C" w14:textId="77777777" w:rsidR="0086422A" w:rsidRDefault="0086422A" w:rsidP="00DF1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0D656" w14:textId="56B76818" w:rsidR="006A5013" w:rsidRDefault="006A5013">
    <w:pPr>
      <w:pStyle w:val="Footer"/>
    </w:pPr>
    <w:r w:rsidRPr="006A5013">
      <w:t>PART_</w:t>
    </w:r>
    <w:r>
      <w:t>B</w:t>
    </w:r>
    <w:r w:rsidRPr="006A5013">
      <w:t xml:space="preserve"> - TYBQ9 – CHME0040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DEFF" w14:textId="77777777" w:rsidR="0086422A" w:rsidRDefault="0086422A" w:rsidP="00DF1783">
      <w:r>
        <w:separator/>
      </w:r>
    </w:p>
  </w:footnote>
  <w:footnote w:type="continuationSeparator" w:id="0">
    <w:p w14:paraId="696DC1C3" w14:textId="77777777" w:rsidR="0086422A" w:rsidRDefault="0086422A" w:rsidP="00DF17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22721"/>
    <w:multiLevelType w:val="hybridMultilevel"/>
    <w:tmpl w:val="B8820C6A"/>
    <w:lvl w:ilvl="0" w:tplc="0DB8BF2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738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783"/>
    <w:rsid w:val="000A7D9C"/>
    <w:rsid w:val="000F00A4"/>
    <w:rsid w:val="000F05C9"/>
    <w:rsid w:val="00275243"/>
    <w:rsid w:val="00390A53"/>
    <w:rsid w:val="004E2FC8"/>
    <w:rsid w:val="00506D5A"/>
    <w:rsid w:val="005E3E36"/>
    <w:rsid w:val="006A5013"/>
    <w:rsid w:val="00777DB6"/>
    <w:rsid w:val="007B62FA"/>
    <w:rsid w:val="0086422A"/>
    <w:rsid w:val="0093222D"/>
    <w:rsid w:val="009447F5"/>
    <w:rsid w:val="009C7EDD"/>
    <w:rsid w:val="00A14623"/>
    <w:rsid w:val="00AA5589"/>
    <w:rsid w:val="00AD00EE"/>
    <w:rsid w:val="00BF3BA1"/>
    <w:rsid w:val="00D62DA1"/>
    <w:rsid w:val="00DF1783"/>
    <w:rsid w:val="00EA7696"/>
    <w:rsid w:val="00F62F3C"/>
    <w:rsid w:val="00FA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7F009"/>
  <w15:chartTrackingRefBased/>
  <w15:docId w15:val="{12A8A47A-980D-3F43-885A-0253B558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7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7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7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7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7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7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7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7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7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783"/>
  </w:style>
  <w:style w:type="paragraph" w:styleId="Footer">
    <w:name w:val="footer"/>
    <w:basedOn w:val="Normal"/>
    <w:link w:val="FooterChar"/>
    <w:uiPriority w:val="99"/>
    <w:unhideWhenUsed/>
    <w:rsid w:val="00DF17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783"/>
  </w:style>
  <w:style w:type="table" w:styleId="TableGrid">
    <w:name w:val="Table Grid"/>
    <w:basedOn w:val="TableNormal"/>
    <w:uiPriority w:val="39"/>
    <w:rsid w:val="000A7D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A7D9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2676</Characters>
  <Application>Microsoft Office Word</Application>
  <DocSecurity>0</DocSecurity>
  <Lines>74</Lines>
  <Paragraphs>47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Gibbs</dc:creator>
  <cp:keywords/>
  <dc:description/>
  <cp:lastModifiedBy>Matthew Gibbs</cp:lastModifiedBy>
  <cp:revision>2</cp:revision>
  <dcterms:created xsi:type="dcterms:W3CDTF">2026-06-03T16:08:00Z</dcterms:created>
  <dcterms:modified xsi:type="dcterms:W3CDTF">2026-06-03T16:08:00Z</dcterms:modified>
</cp:coreProperties>
</file>