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Financial Due Diligence Memo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sz w:val="22"/>
        </w:rPr>
        <w:t>Last updated: 2026-05-27</w:t>
      </w:r>
    </w:p>
    <w:p>
      <w:r>
        <w:rPr>
          <w:sz w:val="22"/>
        </w:rPr>
        <w:t>Purpose: founder-prepared financial diligence memo for Friday investor discussion, pending CFO/counsel review. This is not legal, tax, accounting, or securities advice. It is a founder-ready diligence memo to keep the financing story coherent if a fractional CFO is unavailable.</w:t>
      </w:r>
    </w:p>
    <w:p>
      <w:pPr>
        <w:pStyle w:val="Heading1"/>
      </w:pPr>
      <w:r>
        <w:rPr>
          <w:color w:val="070B12"/>
        </w:rPr>
        <w:t>Bottom Line</w:t>
      </w:r>
    </w:p>
    <w:p>
      <w:r>
        <w:rPr>
          <w:sz w:val="22"/>
        </w:rPr>
        <w:t>The $2.0M target pre-seed is defensible as a milestone-based proof round, not as a chip-production round. The fundable financial story is:</w:t>
      </w:r>
    </w:p>
    <w:p>
      <w:r>
        <w:rPr>
          <w:b/>
          <w:sz w:val="22"/>
        </w:rPr>
        <w:t>$2.0M buys 18 months to convert hardware-backed primitive proof into measured workload proof, counsel-reviewed IP readiness, ASIC feasibility, and design-partner/licensing diligence. It does not fund tape-out.</w:t>
      </w:r>
    </w:p>
    <w:p>
      <w:r>
        <w:rPr>
          <w:sz w:val="22"/>
        </w:rPr>
        <w:t>The main diligence risk is not the ask amount. The main risk is making the round sound more mature than it is. ATOMiK should not present a valuation cap, revenue forecast, customer traction, production-silicon budget, or downstream savings model unless the supporting work is complete.</w:t>
      </w:r>
    </w:p>
    <w:p>
      <w:pPr>
        <w:pStyle w:val="Heading1"/>
      </w:pPr>
      <w:r>
        <w:rPr>
          <w:color w:val="070B12"/>
        </w:rPr>
        <w:t>Math Checked</w:t>
      </w:r>
    </w:p>
    <w:p>
      <w:pPr>
        <w:pStyle w:val="Heading2"/>
      </w:pPr>
      <w:r>
        <w:rPr>
          <w:color w:val="1D324A"/>
        </w:rPr>
        <w:t>Use Of Funds</w:t>
      </w:r>
    </w:p>
    <w:p>
      <w:r>
        <w:rPr>
          <w:sz w:val="22"/>
        </w:rPr>
        <w:t>Target plan totals to $2.0M: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928"/>
          </w:tcPr>
          <w:p>
            <w:r>
              <w:rPr>
                <w:b/>
                <w:sz w:val="17"/>
              </w:rPr>
              <w:t>Amount</w:t>
            </w:r>
          </w:p>
        </w:tc>
        <w:tc>
          <w:tcPr>
            <w:tcW w:type="dxa" w:w="2928"/>
          </w:tcPr>
          <w:p>
            <w:r>
              <w:rPr>
                <w:b/>
                <w:sz w:val="17"/>
              </w:rPr>
              <w:t>Percent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Engineering and demo hardening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$600K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30.0%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Customer proof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$400K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20.0%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IP and legal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$300K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15.0%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ASIC feasibility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$300K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15.0%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Finance, GTM, and ops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$250K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12.5%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Reserve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$150K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7.5%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$2.0M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100.0%</w:t>
            </w:r>
          </w:p>
        </w:tc>
      </w:tr>
    </w:tbl>
    <w:p/>
    <w:p>
      <w:r>
        <w:rPr>
          <w:sz w:val="22"/>
        </w:rPr>
        <w:t>Minimum plan totals to $1.25M. Stretch plan totals to $2.75M.</w:t>
      </w:r>
    </w:p>
    <w:p>
      <w:r>
        <w:br w:type="page"/>
      </w:r>
    </w:p>
    <w:p>
      <w:pPr>
        <w:pStyle w:val="Heading2"/>
      </w:pPr>
      <w:r>
        <w:rPr>
          <w:color w:val="1D324A"/>
        </w:rPr>
        <w:t>Runway Arithmetic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1255"/>
          </w:tcPr>
          <w:p>
            <w:r>
              <w:rPr>
                <w:b/>
                <w:sz w:val="17"/>
              </w:rPr>
              <w:t>Raise</w:t>
            </w:r>
          </w:p>
        </w:tc>
        <w:tc>
          <w:tcPr>
            <w:tcW w:type="dxa" w:w="1255"/>
          </w:tcPr>
          <w:p>
            <w:r>
              <w:rPr>
                <w:b/>
                <w:sz w:val="17"/>
              </w:rPr>
              <w:t>Reserve</w:t>
            </w:r>
          </w:p>
        </w:tc>
        <w:tc>
          <w:tcPr>
            <w:tcW w:type="dxa" w:w="1255"/>
          </w:tcPr>
          <w:p>
            <w:r>
              <w:rPr>
                <w:b/>
                <w:sz w:val="17"/>
              </w:rPr>
              <w:t>Spendable cash</w:t>
            </w:r>
          </w:p>
        </w:tc>
        <w:tc>
          <w:tcPr>
            <w:tcW w:type="dxa" w:w="1255"/>
          </w:tcPr>
          <w:p>
            <w:r>
              <w:rPr>
                <w:b/>
                <w:sz w:val="17"/>
              </w:rPr>
              <w:t>Planning runway</w:t>
            </w:r>
          </w:p>
        </w:tc>
        <w:tc>
          <w:tcPr>
            <w:tcW w:type="dxa" w:w="1255"/>
          </w:tcPr>
          <w:p>
            <w:r>
              <w:rPr>
                <w:b/>
                <w:sz w:val="17"/>
              </w:rPr>
              <w:t>Gross monthly budget</w:t>
            </w:r>
          </w:p>
        </w:tc>
        <w:tc>
          <w:tcPr>
            <w:tcW w:type="dxa" w:w="1255"/>
          </w:tcPr>
          <w:p>
            <w:r>
              <w:rPr>
                <w:b/>
                <w:sz w:val="17"/>
              </w:rPr>
              <w:t>Ex-reserve monthly budget</w:t>
            </w:r>
          </w:p>
        </w:tc>
      </w:tr>
      <w:tr>
        <w:tc>
          <w:tcPr>
            <w:tcW w:type="dxa" w:w="1255"/>
          </w:tcPr>
          <w:p>
            <w:r>
              <w:rPr>
                <w:sz w:val="17"/>
              </w:rPr>
              <w:t>Minimum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$1.25M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$100K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$1.15M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12 months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~$104K/mo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~$96K/mo</w:t>
            </w:r>
          </w:p>
        </w:tc>
      </w:tr>
      <w:tr>
        <w:tc>
          <w:tcPr>
            <w:tcW w:type="dxa" w:w="1255"/>
          </w:tcPr>
          <w:p>
            <w:r>
              <w:rPr>
                <w:sz w:val="17"/>
              </w:rPr>
              <w:t>Target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$2.0M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$150K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$1.85M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18 months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~$111K/mo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~$103K/mo</w:t>
            </w:r>
          </w:p>
        </w:tc>
      </w:tr>
      <w:tr>
        <w:tc>
          <w:tcPr>
            <w:tcW w:type="dxa" w:w="1255"/>
          </w:tcPr>
          <w:p>
            <w:r>
              <w:rPr>
                <w:sz w:val="17"/>
              </w:rPr>
              <w:t>Stretch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$2.75M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$150K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$2.60M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18 months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~$153K/mo</w:t>
            </w:r>
          </w:p>
        </w:tc>
        <w:tc>
          <w:tcPr>
            <w:tcW w:type="dxa" w:w="1255"/>
          </w:tcPr>
          <w:p>
            <w:r>
              <w:rPr>
                <w:sz w:val="17"/>
              </w:rPr>
              <w:t>~$144K/mo</w:t>
            </w:r>
          </w:p>
        </w:tc>
      </w:tr>
    </w:tbl>
    <w:p/>
    <w:p>
      <w:r>
        <w:rPr>
          <w:sz w:val="22"/>
        </w:rPr>
        <w:t>Important interpretation: stretch does not automatically mean longer runway. It means faster capacity and broader evaluation/ASIC work while preserving the no-tape-out boundary.</w:t>
      </w:r>
    </w:p>
    <w:p>
      <w:pPr>
        <w:pStyle w:val="Heading2"/>
      </w:pPr>
      <w:r>
        <w:rPr>
          <w:color w:val="1D324A"/>
        </w:rPr>
        <w:t>Monthly Cash Plan</w:t>
      </w:r>
    </w:p>
    <w:p>
      <w:r>
        <w:rPr>
          <w:sz w:val="22"/>
        </w:rPr>
        <w:t>The diligence workbook now includes an 18-month target cash-plan tab. It treats the target raise as $1.85M planned spend plus $150K reserve. This gives investors a concrete answer to burn/runway questions, while still preserving the caveat that hire timing, vendor spend, taxes, insurance, and benefits require CFO/accounting review.</w:t>
      </w:r>
    </w:p>
    <w:p>
      <w:pPr>
        <w:pStyle w:val="Heading2"/>
      </w:pPr>
      <w:r>
        <w:rPr>
          <w:color w:val="1D324A"/>
        </w:rPr>
        <w:t>Dilution Sensitivity</w:t>
      </w:r>
    </w:p>
    <w:p>
      <w:r>
        <w:rPr>
          <w:sz w:val="22"/>
        </w:rPr>
        <w:t>Illustrative SAFE cap math before option pool, prior instruments, side letters, or priced-round mechanics: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7"/>
              </w:rPr>
              <w:t>Post-money cap</w:t>
            </w:r>
          </w:p>
        </w:tc>
        <w:tc>
          <w:tcPr>
            <w:tcW w:type="dxa" w:w="2196"/>
          </w:tcPr>
          <w:p>
            <w:r>
              <w:rPr>
                <w:b/>
                <w:sz w:val="17"/>
              </w:rPr>
              <w:t>$1.25M min</w:t>
            </w:r>
          </w:p>
        </w:tc>
        <w:tc>
          <w:tcPr>
            <w:tcW w:type="dxa" w:w="2196"/>
          </w:tcPr>
          <w:p>
            <w:r>
              <w:rPr>
                <w:b/>
                <w:sz w:val="17"/>
              </w:rPr>
              <w:t>$2.0M target</w:t>
            </w:r>
          </w:p>
        </w:tc>
        <w:tc>
          <w:tcPr>
            <w:tcW w:type="dxa" w:w="2196"/>
          </w:tcPr>
          <w:p>
            <w:r>
              <w:rPr>
                <w:b/>
                <w:sz w:val="17"/>
              </w:rPr>
              <w:t>$2.75M stretch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$8M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15.6%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25.0%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34.4%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$10M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12.5%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27.5%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$12M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10.4%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16.7%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22.9%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$15M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8.3%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13.3%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18.3%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$18M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6.9%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11.1%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15.3%</w:t>
            </w:r>
          </w:p>
        </w:tc>
      </w:tr>
    </w:tbl>
    <w:p/>
    <w:p>
      <w:r>
        <w:rPr>
          <w:sz w:val="22"/>
        </w:rPr>
        <w:t>This is sensitivity only, not a cap recommendation. Do not offer a cap in the room unless counsel/CFO has approved it.</w:t>
      </w:r>
    </w:p>
    <w:p>
      <w:pPr>
        <w:pStyle w:val="Heading1"/>
      </w:pPr>
      <w:r>
        <w:rPr>
          <w:color w:val="070B12"/>
        </w:rPr>
        <w:t>Financial Claims That Are Safe Friday</w:t>
      </w:r>
    </w:p>
    <w:p>
      <w:pPr>
        <w:pStyle w:val="ListBullet"/>
      </w:pPr>
      <w:r>
        <w:rPr>
          <w:sz w:val="21"/>
        </w:rPr>
        <w:t>"We are raising a $2.0M target pre-seed, with a $1.25M minimum viable close and a $2.75M stretch plan."</w:t>
      </w:r>
    </w:p>
    <w:p>
      <w:pPr>
        <w:pStyle w:val="ListBullet"/>
      </w:pPr>
      <w:r>
        <w:rPr>
          <w:sz w:val="21"/>
        </w:rPr>
        <w:t>"The target plan is roughly 18 months of runway."</w:t>
      </w:r>
    </w:p>
    <w:p>
      <w:pPr>
        <w:pStyle w:val="ListBullet"/>
      </w:pPr>
      <w:r>
        <w:rPr>
          <w:sz w:val="21"/>
        </w:rPr>
        <w:t>"The round funds measured workload proof, IP/legal readiness, ASIC feasibility, demo reliability, and operations."</w:t>
      </w:r>
    </w:p>
    <w:p>
      <w:pPr>
        <w:pStyle w:val="ListBullet"/>
      </w:pPr>
      <w:r>
        <w:rPr>
          <w:sz w:val="21"/>
        </w:rPr>
        <w:t>"The round does not fund tape-out."</w:t>
      </w:r>
    </w:p>
    <w:p>
      <w:pPr>
        <w:pStyle w:val="ListBullet"/>
      </w:pPr>
      <w:r>
        <w:rPr>
          <w:sz w:val="21"/>
        </w:rPr>
        <w:t>"Reservation pricing is a qualification mechanism; material revenue requires scoped written work."</w:t>
      </w:r>
    </w:p>
    <w:p>
      <w:pPr>
        <w:pStyle w:val="ListBullet"/>
      </w:pPr>
      <w:r>
        <w:rPr>
          <w:sz w:val="21"/>
        </w:rPr>
        <w:t>"Final SAFE terms, valuation cap, discount, pro-rata rights, and option pool mechanics require counsel/CFO review."</w:t>
      </w:r>
    </w:p>
    <w:p>
      <w:pPr>
        <w:pStyle w:val="Heading1"/>
      </w:pPr>
      <w:r>
        <w:rPr>
          <w:color w:val="070B12"/>
        </w:rPr>
        <w:t>Financial Claims To Avoid</w:t>
      </w:r>
    </w:p>
    <w:p>
      <w:pPr>
        <w:pStyle w:val="ListBullet"/>
      </w:pPr>
      <w:r>
        <w:rPr>
          <w:sz w:val="21"/>
        </w:rPr>
        <w:t>Do not state a valuation cap unless approved.</w:t>
      </w:r>
    </w:p>
    <w:p>
      <w:pPr>
        <w:pStyle w:val="ListBullet"/>
      </w:pPr>
      <w:r>
        <w:rPr>
          <w:sz w:val="21"/>
        </w:rPr>
        <w:t>Do not imply the $18.4M median seed pre-money benchmark is ATOMiK's valuation.</w:t>
      </w:r>
    </w:p>
    <w:p>
      <w:pPr>
        <w:pStyle w:val="ListBullet"/>
      </w:pPr>
      <w:r>
        <w:rPr>
          <w:sz w:val="21"/>
        </w:rPr>
        <w:t>Do not forecast revenue before signed customer agreements or SOWs.</w:t>
      </w:r>
    </w:p>
    <w:p>
      <w:pPr>
        <w:pStyle w:val="ListBullet"/>
      </w:pPr>
      <w:r>
        <w:rPr>
          <w:sz w:val="21"/>
        </w:rPr>
        <w:t>Do not imply public reservation prices are the full commercial model.</w:t>
      </w:r>
    </w:p>
    <w:p>
      <w:pPr>
        <w:pStyle w:val="ListBullet"/>
      </w:pPr>
      <w:r>
        <w:rPr>
          <w:sz w:val="21"/>
        </w:rPr>
        <w:t>Do not claim customer traction, LOIs, or revenue without signed evidence.</w:t>
      </w:r>
    </w:p>
    <w:p>
      <w:pPr>
        <w:pStyle w:val="ListBullet"/>
      </w:pPr>
      <w:r>
        <w:rPr>
          <w:sz w:val="21"/>
        </w:rPr>
        <w:t>Do not say pre-seed funds production silicon, tape-out, or volume manufacturing.</w:t>
      </w:r>
    </w:p>
    <w:p>
      <w:pPr>
        <w:pStyle w:val="ListBullet"/>
      </w:pPr>
      <w:r>
        <w:rPr>
          <w:sz w:val="21"/>
        </w:rPr>
        <w:t>Do not model battery, heat, cooling, water, footprint, or power-bill savings as financial ROI until workload-specific measurement exists.</w:t>
      </w:r>
    </w:p>
    <w:p>
      <w:pPr>
        <w:pStyle w:val="Heading1"/>
      </w:pPr>
      <w:r>
        <w:rPr>
          <w:color w:val="070B12"/>
        </w:rPr>
        <w:t>Revenue Readiness</w:t>
      </w:r>
    </w:p>
    <w:p>
      <w:r>
        <w:rPr>
          <w:sz w:val="22"/>
        </w:rPr>
        <w:t>Current commercial stage: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7"/>
              </w:rPr>
              <w:t>Stream</w:t>
            </w:r>
          </w:p>
        </w:tc>
        <w:tc>
          <w:tcPr>
            <w:tcW w:type="dxa" w:w="2928"/>
          </w:tcPr>
          <w:p>
            <w:r>
              <w:rPr>
                <w:b/>
                <w:sz w:val="17"/>
              </w:rPr>
              <w:t>Current status</w:t>
            </w:r>
          </w:p>
        </w:tc>
        <w:tc>
          <w:tcPr>
            <w:tcW w:type="dxa" w:w="2928"/>
          </w:tcPr>
          <w:p>
            <w:r>
              <w:rPr>
                <w:b/>
                <w:sz w:val="17"/>
              </w:rPr>
              <w:t>Financial treatment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Proof review reservation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Public $750 reservation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Qualification signal only.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Technical evaluation reservation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Public $2,500 reservation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Scoping signal only; not material revenue.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Scoped design-partner evaluation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Request-based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First plausible material customer-funded proof path. Requires written SOW.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Sponsored proof work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Request-based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Possible near-term non-dilutive support if a partner has a painful workload.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Licensing/IP diligence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Future/request-based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Requires workload proof, IP packet, and integration path.</w:t>
            </w:r>
          </w:p>
        </w:tc>
      </w:tr>
      <w:tr>
        <w:tc>
          <w:tcPr>
            <w:tcW w:type="dxa" w:w="2928"/>
          </w:tcPr>
          <w:p>
            <w:r>
              <w:rPr>
                <w:sz w:val="17"/>
              </w:rPr>
              <w:t>Commercial licensing / embedded IP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Future</w:t>
            </w:r>
          </w:p>
        </w:tc>
        <w:tc>
          <w:tcPr>
            <w:tcW w:type="dxa" w:w="2928"/>
          </w:tcPr>
          <w:p>
            <w:r>
              <w:rPr>
                <w:sz w:val="17"/>
              </w:rPr>
              <w:t>Not forecastable yet.</w:t>
            </w:r>
          </w:p>
        </w:tc>
      </w:tr>
    </w:tbl>
    <w:p/>
    <w:p>
      <w:r>
        <w:rPr>
          <w:sz w:val="22"/>
        </w:rPr>
        <w:t>The financial model should not rely on reservations to underwrite the round. The investor case is that reservations and SOWs create market validation and proof artifacts, not near-term cash scale.</w:t>
      </w:r>
    </w:p>
    <w:p>
      <w:pPr>
        <w:pStyle w:val="Heading1"/>
      </w:pPr>
      <w:r>
        <w:rPr>
          <w:color w:val="070B12"/>
        </w:rPr>
        <w:t>Friday Financing Answer</w:t>
      </w:r>
    </w:p>
    <w:p>
      <w:r>
        <w:rPr>
          <w:sz w:val="22"/>
        </w:rPr>
        <w:t>Short version:</w:t>
      </w:r>
    </w:p>
    <w:p>
      <w:r>
        <w:rPr>
          <w:b/>
          <w:sz w:val="22"/>
        </w:rPr>
        <w:t>We are raising a $2.0M target pre-seed. The plan gives us roughly 18 months to produce measured customer workload proof, strengthen the IP packet, complete ASIC feasibility, and build a design-partner/licensing path. It does not fund tape-out.</w:t>
      </w:r>
    </w:p>
    <w:p>
      <w:r>
        <w:rPr>
          <w:sz w:val="22"/>
        </w:rPr>
        <w:t>If asked for valuation:</w:t>
      </w:r>
    </w:p>
    <w:p>
      <w:r>
        <w:rPr>
          <w:b/>
          <w:sz w:val="22"/>
        </w:rPr>
        <w:t>We are planning to use a SAFE structure, but I do not want to improvise the cap or terms. The final SAFE structure, valuation cap, discount, pro-rata rights, option-pool mechanics, and closing details should be finalized with counsel/CFO.</w:t>
      </w:r>
    </w:p>
    <w:p>
      <w:r>
        <w:rPr>
          <w:sz w:val="22"/>
        </w:rPr>
        <w:t>If asked why $2.0M:</w:t>
      </w:r>
    </w:p>
    <w:p>
      <w:r>
        <w:rPr>
          <w:b/>
          <w:sz w:val="22"/>
        </w:rPr>
        <w:t>The target is sized around the next evidence gates. Below that, the $1.25M plan keeps us focused on one measured workload path. Above that, the $2.75M stretch accelerates capacity and broader feasibility work. None of the plans turn into a tape-out budget.</w:t>
      </w:r>
    </w:p>
    <w:p>
      <w:pPr>
        <w:pStyle w:val="Heading1"/>
      </w:pPr>
      <w:r>
        <w:rPr>
          <w:color w:val="070B12"/>
        </w:rPr>
        <w:t>Diligence Gaps Before A Serious Follow-Up</w:t>
      </w:r>
    </w:p>
    <w:p>
      <w:pPr>
        <w:pStyle w:val="ListBullet"/>
      </w:pPr>
      <w:r>
        <w:rPr>
          <w:sz w:val="21"/>
        </w:rPr>
        <w:t>Formal cap table after entity formation, stock issuance, any advisor grants, and prior obligations are verified.</w:t>
      </w:r>
    </w:p>
    <w:p>
      <w:pPr>
        <w:pStyle w:val="ListBullet"/>
      </w:pPr>
      <w:r>
        <w:rPr>
          <w:sz w:val="21"/>
        </w:rPr>
        <w:t>Counsel-approved SAFE structure and terms.</w:t>
      </w:r>
    </w:p>
    <w:p>
      <w:pPr>
        <w:pStyle w:val="ListBullet"/>
      </w:pPr>
      <w:r>
        <w:rPr>
          <w:sz w:val="21"/>
        </w:rPr>
        <w:t>Option-pool sizing and hiring plan.</w:t>
      </w:r>
    </w:p>
    <w:p>
      <w:pPr>
        <w:pStyle w:val="ListBullet"/>
      </w:pPr>
      <w:r>
        <w:rPr>
          <w:sz w:val="21"/>
        </w:rPr>
        <w:t>Vendor-backed IP/legal budget.</w:t>
      </w:r>
    </w:p>
    <w:p>
      <w:pPr>
        <w:pStyle w:val="ListBullet"/>
      </w:pPr>
      <w:r>
        <w:rPr>
          <w:sz w:val="21"/>
        </w:rPr>
        <w:t>ASIC mentor or advisor quote-backed feasibility budget.</w:t>
      </w:r>
    </w:p>
    <w:p>
      <w:pPr>
        <w:pStyle w:val="ListBullet"/>
      </w:pPr>
      <w:r>
        <w:rPr>
          <w:sz w:val="21"/>
        </w:rPr>
        <w:t>Monthly cash plan by hire/contractor/vendor.</w:t>
      </w:r>
    </w:p>
    <w:p>
      <w:pPr>
        <w:pStyle w:val="ListBullet"/>
      </w:pPr>
      <w:r>
        <w:rPr>
          <w:sz w:val="21"/>
        </w:rPr>
        <w:t>Paid-evaluation SOW template with pricing, deliverables, ownership, confidentiality, and success criteria.</w:t>
      </w:r>
    </w:p>
    <w:p>
      <w:pPr>
        <w:pStyle w:val="ListBullet"/>
      </w:pPr>
      <w:r>
        <w:rPr>
          <w:sz w:val="21"/>
        </w:rPr>
        <w:t>Customer pipeline status with source, stage, next action, owner, and expected proof gate.</w:t>
      </w:r>
    </w:p>
    <w:p>
      <w:pPr>
        <w:pStyle w:val="Heading1"/>
      </w:pPr>
      <w:r>
        <w:rPr>
          <w:color w:val="070B12"/>
        </w:rPr>
        <w:t>Unmodeled / CFO Estimate Needed</w:t>
      </w:r>
    </w:p>
    <w:p>
      <w:r>
        <w:rPr>
          <w:sz w:val="22"/>
        </w:rPr>
        <w:t>These items are not currently modeled with CFO-level precision. Keep them visible in follow-up diligence:</w:t>
      </w:r>
    </w:p>
    <w:p>
      <w:pPr>
        <w:pStyle w:val="ListBullet"/>
      </w:pPr>
      <w:r>
        <w:rPr>
          <w:sz w:val="21"/>
        </w:rPr>
        <w:t>Payroll taxes and benefits.</w:t>
      </w:r>
    </w:p>
    <w:p>
      <w:pPr>
        <w:pStyle w:val="ListBullet"/>
      </w:pPr>
      <w:r>
        <w:rPr>
          <w:sz w:val="21"/>
        </w:rPr>
        <w:t>D&amp;O, general liability, cyber, and other insurance.</w:t>
      </w:r>
    </w:p>
    <w:p>
      <w:pPr>
        <w:pStyle w:val="ListBullet"/>
      </w:pPr>
      <w:r>
        <w:rPr>
          <w:sz w:val="21"/>
        </w:rPr>
        <w:t>Accounting, bookkeeping, tax, and investor-reporting support.</w:t>
      </w:r>
    </w:p>
    <w:p>
      <w:pPr>
        <w:pStyle w:val="ListBullet"/>
      </w:pPr>
      <w:r>
        <w:rPr>
          <w:sz w:val="21"/>
        </w:rPr>
        <w:t>Delaware C-Corp conversion or formation costs.</w:t>
      </w:r>
    </w:p>
    <w:p>
      <w:pPr>
        <w:pStyle w:val="ListBullet"/>
      </w:pPr>
      <w:r>
        <w:rPr>
          <w:sz w:val="21"/>
        </w:rPr>
        <w:t>Legal close costs, SAFE review, side letters, and cap-table setup.</w:t>
      </w:r>
    </w:p>
    <w:p>
      <w:pPr>
        <w:pStyle w:val="ListBullet"/>
      </w:pPr>
      <w:r>
        <w:rPr>
          <w:sz w:val="21"/>
        </w:rPr>
        <w:t>IP prosecution variability and prior-art review.</w:t>
      </w:r>
    </w:p>
    <w:p>
      <w:pPr>
        <w:pStyle w:val="ListBullet"/>
      </w:pPr>
      <w:r>
        <w:rPr>
          <w:sz w:val="21"/>
        </w:rPr>
        <w:t>FPGA/dev-board/tooling variability.</w:t>
      </w:r>
    </w:p>
    <w:p>
      <w:pPr>
        <w:pStyle w:val="ListBullet"/>
      </w:pPr>
      <w:r>
        <w:rPr>
          <w:sz w:val="21"/>
        </w:rPr>
        <w:t>Cloud/dev infrastructure.</w:t>
      </w:r>
    </w:p>
    <w:p>
      <w:pPr>
        <w:pStyle w:val="ListBullet"/>
      </w:pPr>
      <w:r>
        <w:rPr>
          <w:sz w:val="21"/>
        </w:rPr>
        <w:t>Travel and customer-evaluation support costs.</w:t>
      </w:r>
    </w:p>
    <w:p>
      <w:pPr>
        <w:pStyle w:val="ListBullet"/>
      </w:pPr>
      <w:r>
        <w:rPr>
          <w:sz w:val="21"/>
        </w:rPr>
        <w:t>Contingency beyond the $150K reserve.</w:t>
      </w:r>
    </w:p>
    <w:p>
      <w:pPr>
        <w:pStyle w:val="Heading1"/>
      </w:pPr>
      <w:r>
        <w:rPr>
          <w:color w:val="070B12"/>
        </w:rPr>
        <w:t>Evaluation SOW Economics - Planning Only</w:t>
      </w:r>
    </w:p>
    <w:p>
      <w:r>
        <w:rPr>
          <w:sz w:val="22"/>
        </w:rPr>
        <w:t>Do not forecast this as revenue until a signed scope exists. A real evaluation SOW should price and define:</w:t>
      </w:r>
    </w:p>
    <w:p>
      <w:pPr>
        <w:pStyle w:val="ListBullet"/>
      </w:pPr>
      <w:r>
        <w:rPr>
          <w:sz w:val="21"/>
        </w:rPr>
        <w:t>Workload intake.</w:t>
      </w:r>
    </w:p>
    <w:p>
      <w:pPr>
        <w:pStyle w:val="ListBullet"/>
      </w:pPr>
      <w:r>
        <w:rPr>
          <w:sz w:val="21"/>
        </w:rPr>
        <w:t>Baseline mapping.</w:t>
      </w:r>
    </w:p>
    <w:p>
      <w:pPr>
        <w:pStyle w:val="ListBullet"/>
      </w:pPr>
      <w:r>
        <w:rPr>
          <w:sz w:val="21"/>
        </w:rPr>
        <w:t>Success metric definition.</w:t>
      </w:r>
    </w:p>
    <w:p>
      <w:pPr>
        <w:pStyle w:val="ListBullet"/>
      </w:pPr>
      <w:r>
        <w:rPr>
          <w:sz w:val="21"/>
        </w:rPr>
        <w:t>Test harness and artifact creation.</w:t>
      </w:r>
    </w:p>
    <w:p>
      <w:pPr>
        <w:pStyle w:val="ListBullet"/>
      </w:pPr>
      <w:r>
        <w:rPr>
          <w:sz w:val="21"/>
        </w:rPr>
        <w:t>Readout and fit/no-fit recommendation.</w:t>
      </w:r>
    </w:p>
    <w:p>
      <w:pPr>
        <w:pStyle w:val="ListBullet"/>
      </w:pPr>
      <w:r>
        <w:rPr>
          <w:sz w:val="21"/>
        </w:rPr>
        <w:t>Optional partner-funded proof work.</w:t>
      </w:r>
    </w:p>
    <w:p>
      <w:pPr>
        <w:pStyle w:val="ListBullet"/>
      </w:pPr>
      <w:r>
        <w:rPr>
          <w:sz w:val="21"/>
        </w:rPr>
        <w:t>Pricing: TBD / scoped quote only.</w:t>
      </w:r>
    </w:p>
    <w:p>
      <w:pPr>
        <w:pStyle w:val="ListBullet"/>
      </w:pPr>
      <w:r>
        <w:rPr>
          <w:sz w:val="21"/>
        </w:rPr>
        <w:t>Accounting treatment: not forecast until signed SOW.</w:t>
      </w:r>
    </w:p>
    <w:p>
      <w:pPr>
        <w:pStyle w:val="Heading1"/>
      </w:pPr>
      <w:r>
        <w:rPr>
          <w:color w:val="070B12"/>
        </w:rPr>
        <w:t>Recommendation</w:t>
      </w:r>
    </w:p>
    <w:p>
      <w:r>
        <w:rPr>
          <w:sz w:val="22"/>
        </w:rPr>
        <w:t>For Friday, use the financials as a milestone plan, not a forecast. The cleanest investor posture is disciplined:</w:t>
      </w:r>
    </w:p>
    <w:p>
      <w:r>
        <w:rPr>
          <w:b/>
          <w:sz w:val="22"/>
        </w:rPr>
        <w:t>We know exactly what the next dollar is supposed to prove, and we are not spending as if the proof is already complete.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