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color w:val="070B12"/>
          <w:sz w:val="48"/>
        </w:rPr>
        <w:t>ATOMiK — Team Overview</w:t>
      </w:r>
    </w:p>
    <w:p>
      <w:r>
        <w:rPr>
          <w:color w:val="22D3EE"/>
          <w:sz w:val="20"/>
        </w:rPr>
        <w:t>ATOMiK  ·  State-Aware Compute Architecture  ·  Pre-Seed  ·  May 2026</w:t>
      </w:r>
    </w:p>
    <w:p/>
    <w:p>
      <w:pPr>
        <w:pStyle w:val="Heading1"/>
      </w:pPr>
      <w:r>
        <w:rPr>
          <w:color w:val="070B12"/>
        </w:rPr>
        <w:t>Founder</w:t>
      </w:r>
    </w:p>
    <w:p>
      <w:r>
        <w:rPr>
          <w:b/>
          <w:sz w:val="28"/>
        </w:rPr>
        <w:t>Matthew H. Rockwell — Founder &amp; CEO</w:t>
      </w:r>
    </w:p>
    <w:p>
      <w:r>
        <w:rPr>
          <w:sz w:val="22"/>
        </w:rPr>
        <w:t>Email: matthew.h.rockwell@gmail.com</w:t>
      </w:r>
    </w:p>
    <w:p>
      <w:r>
        <w:rPr>
          <w:sz w:val="22"/>
        </w:rPr>
        <w:t>Role: Architecture, hardware development, software, business development. All ATOMiK proof artifacts and hardware implementation.</w:t>
      </w:r>
    </w:p>
    <w:p>
      <w:r>
        <w:rPr>
          <w:sz w:val="22"/>
        </w:rPr>
        <w:t>Background: FPGA/ASIC hardware engineering, embedded systems, state-machine architecture. Built and validated ATOMiK on Zynq FPGA hardware. Full-stack from RTL to Linux userspace.</w:t>
      </w:r>
    </w:p>
    <w:p>
      <w:r>
        <w:rPr>
          <w:sz w:val="18"/>
        </w:rPr>
        <w:t>See founder_profile.md in data room for extended profile.</w:t>
      </w:r>
    </w:p>
    <w:p>
      <w:pPr>
        <w:pStyle w:val="Heading1"/>
      </w:pPr>
      <w:r>
        <w:rPr>
          <w:color w:val="070B12"/>
        </w:rPr>
        <w:t>Planned First Hires (Post-Close)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3600"/>
          </w:tcPr>
          <w:p>
            <w:r>
              <w:rPr>
                <w:b/>
                <w:sz w:val="19"/>
              </w:rPr>
              <w:t>Role</w:t>
            </w:r>
          </w:p>
        </w:tc>
        <w:tc>
          <w:tcPr>
            <w:tcW w:type="dxa" w:w="6192"/>
          </w:tcPr>
          <w:p>
            <w:r>
              <w:rPr>
                <w:b/>
                <w:sz w:val="19"/>
              </w:rPr>
              <w:t>Focus</w:t>
            </w:r>
          </w:p>
        </w:tc>
      </w:tr>
      <w:tr>
        <w:tc>
          <w:tcPr>
            <w:tcW w:type="dxa" w:w="3600"/>
          </w:tcPr>
          <w:p>
            <w:r>
              <w:rPr>
                <w:sz w:val="19"/>
              </w:rPr>
              <w:t>Senior Hardware Engineer</w:t>
            </w:r>
          </w:p>
        </w:tc>
        <w:tc>
          <w:tcPr>
            <w:tcW w:type="dxa" w:w="6192"/>
          </w:tcPr>
          <w:p>
            <w:r>
              <w:rPr>
                <w:sz w:val="19"/>
              </w:rPr>
              <w:t>ASIC-capable; RTL optimization, place-and-route, customer workload harness</w:t>
            </w:r>
          </w:p>
        </w:tc>
      </w:tr>
      <w:tr>
        <w:tc>
          <w:tcPr>
            <w:tcW w:type="dxa" w:w="3600"/>
          </w:tcPr>
          <w:p>
            <w:r>
              <w:rPr>
                <w:sz w:val="19"/>
              </w:rPr>
              <w:t>Customer Engineer / Solutions</w:t>
            </w:r>
          </w:p>
        </w:tc>
        <w:tc>
          <w:tcPr>
            <w:tcW w:type="dxa" w:w="6192"/>
          </w:tcPr>
          <w:p>
            <w:r>
              <w:rPr>
                <w:sz w:val="19"/>
              </w:rPr>
              <w:t>Technical evaluation lead; customer workload proof execution</w:t>
            </w:r>
          </w:p>
        </w:tc>
      </w:tr>
      <w:tr>
        <w:tc>
          <w:tcPr>
            <w:tcW w:type="dxa" w:w="3600"/>
          </w:tcPr>
          <w:p>
            <w:r>
              <w:rPr>
                <w:sz w:val="19"/>
              </w:rPr>
              <w:t>Fractional CFO</w:t>
            </w:r>
          </w:p>
        </w:tc>
        <w:tc>
          <w:tcPr>
            <w:tcW w:type="dxa" w:w="6192"/>
          </w:tcPr>
          <w:p>
            <w:r>
              <w:rPr>
                <w:sz w:val="19"/>
              </w:rPr>
              <w:t>SAFE terms, investor reporting, financial model, board prep</w:t>
            </w:r>
          </w:p>
        </w:tc>
      </w:tr>
    </w:tbl>
    <w:p/>
    <w:p>
      <w:r>
        <w:rPr>
          <w:sz w:val="18"/>
        </w:rPr>
        <w:t>See first_hires.md in data room for detailed requirements.</w:t>
      </w:r>
    </w:p>
    <w:p>
      <w:pPr>
        <w:pStyle w:val="Heading1"/>
      </w:pPr>
      <w:r>
        <w:rPr>
          <w:color w:val="070B12"/>
        </w:rPr>
        <w:t>Advisory Board (In Progress)</w:t>
      </w:r>
    </w:p>
    <w:p>
      <w:r>
        <w:rPr>
          <w:sz w:val="22"/>
        </w:rPr>
        <w:t>Target advisors: semiconductor IP expert, ASIC/tape-out mentor, enterprise sales advisor with hardware/IP background.</w:t>
      </w:r>
    </w:p>
    <w:p>
      <w:r>
        <w:rPr>
          <w:sz w:val="18"/>
        </w:rPr>
        <w:t>No advisors formally signed as of May 2026. See advisory_board_plan.md for target criteria.</w:t>
      </w:r>
    </w:p>
    <w:p>
      <w:r>
        <w:br w:type="page"/>
      </w:r>
    </w:p>
    <w:p>
      <w:pPr>
        <w:pStyle w:val="Heading1"/>
      </w:pPr>
      <w:r>
        <w:rPr>
          <w:color w:val="070B12"/>
        </w:rPr>
        <w:t>Key-Person Risk Mitigation</w:t>
      </w:r>
    </w:p>
    <w:p>
      <w:r>
        <w:rPr>
          <w:sz w:val="22"/>
        </w:rPr>
        <w:t>Senior hardware engineer — Planned post-close to support RTL optimization, customer workload harnesses, and ASIC-readiness work.</w:t>
      </w:r>
    </w:p>
    <w:p>
      <w:r>
        <w:rPr>
          <w:sz w:val="22"/>
        </w:rPr>
        <w:t>Customer / solutions engineer — Planned to execute workload proof, baseline mapping, and customer evaluation artifacts.</w:t>
      </w:r>
    </w:p>
    <w:p>
      <w:r>
        <w:rPr>
          <w:sz w:val="22"/>
        </w:rPr>
        <w:t>Fractional CFO — Needed for SAFE terms, investor reporting, financial model, and close mechanics.</w:t>
      </w:r>
    </w:p>
    <w:p>
      <w:r>
        <w:rPr>
          <w:sz w:val="22"/>
        </w:rPr>
        <w:t>IP counsel — Needed for patent conversion, assignment chain, prior-obligation review, and financing documents.</w:t>
      </w:r>
    </w:p>
    <w:p>
      <w:r>
        <w:rPr>
          <w:sz w:val="22"/>
        </w:rPr>
        <w:t>ASIC mentor / advisor — Needed before feasibility decisions and any future tape-out path.</w:t>
      </w:r>
    </w:p>
    <w:p>
      <w:pPr>
        <w:pStyle w:val="Heading1"/>
      </w:pPr>
      <w:r>
        <w:rPr>
          <w:color w:val="070B12"/>
        </w:rPr>
        <w:t>Gaps Before Raise Close</w:t>
      </w:r>
    </w:p>
    <w:p>
      <w:pPr>
        <w:pStyle w:val="ListBullet"/>
      </w:pPr>
      <w:r>
        <w:rPr>
          <w:sz w:val="21"/>
        </w:rPr>
        <w:t>Fractional CFO for SAFE terms and financial model</w:t>
      </w:r>
    </w:p>
    <w:p>
      <w:pPr>
        <w:pStyle w:val="ListBullet"/>
      </w:pPr>
      <w:r>
        <w:rPr>
          <w:sz w:val="21"/>
        </w:rPr>
        <w:t>IP counsel for patent conversion and SAFE review</w:t>
      </w:r>
    </w:p>
    <w:p>
      <w:pPr>
        <w:pStyle w:val="ListBullet"/>
      </w:pPr>
      <w:r>
        <w:rPr>
          <w:sz w:val="21"/>
        </w:rPr>
        <w:t>ASIC feasibility mentor (funded in pre-seed)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