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70B12"/>
          <w:sz w:val="48"/>
        </w:rPr>
        <w:t>ATOMiK — One Page Overview</w:t>
      </w:r>
    </w:p>
    <w:p>
      <w:r>
        <w:rPr>
          <w:color w:val="22D3EE"/>
          <w:sz w:val="20"/>
        </w:rPr>
        <w:t>ATOMiK  ·  State-Aware Compute Architecture  ·  Pre-Seed  ·  May 2026</w:t>
      </w:r>
    </w:p>
    <w:p/>
    <w:p>
      <w:r>
        <w:rPr>
          <w:b/>
          <w:sz w:val="26"/>
        </w:rPr>
        <w:t>ATOMiK makes change the unit of compute.</w:t>
      </w:r>
    </w:p>
    <w:p>
      <w:r>
        <w:rPr>
          <w:sz w:val="17"/>
        </w:rPr>
        <w:t>State-aware compute evaluation for edge and embedded teams constrained by battery, heat, bandwidth, latency, reliability, size, weight, or hardware footprint.</w:t>
      </w:r>
    </w:p>
    <w:p>
      <w:pPr>
        <w:pStyle w:val="Heading2"/>
      </w:pPr>
      <w:r>
        <w:rPr>
          <w:color w:val="1D324A"/>
        </w:rPr>
        <w:t>Problem</w:t>
      </w:r>
    </w:p>
    <w:p>
      <w:r>
        <w:rPr>
          <w:sz w:val="17"/>
        </w:rPr>
        <w:t>Customers already feel the pain: batteries die too quickly, hardware is maxed out, systems run hot, devices get too big or heavy, costs rise, and more performance is needed. Before they buy bigger hardware, batteries, cooling, bandwidth, or redesign, ATOMiK tests whether a constrained state path can do less wasted work.</w:t>
      </w:r>
    </w:p>
    <w:p>
      <w:pPr>
        <w:pStyle w:val="Heading2"/>
      </w:pPr>
      <w:r>
        <w:rPr>
          <w:color w:val="1D324A"/>
        </w:rPr>
        <w:t>Evaluation Offer</w:t>
      </w:r>
    </w:p>
    <w:p>
      <w:r>
        <w:rPr>
          <w:sz w:val="17"/>
        </w:rPr>
        <w:t>Bring one state-heavy workload, one current baseline, and one painful constraint. ATOMiK returns a workload map, baseline comparison, evidence map, fit/no-fit recommendation, and next-step plan. If there is no fit, we say so.</w:t>
      </w:r>
    </w:p>
    <w:p>
      <w:pPr>
        <w:pStyle w:val="Heading2"/>
      </w:pPr>
      <w:r>
        <w:rPr>
          <w:color w:val="1D324A"/>
        </w:rPr>
        <w:t>Market And Wedge</w:t>
      </w:r>
    </w:p>
    <w:p>
      <w:r>
        <w:rPr>
          <w:sz w:val="16"/>
        </w:rPr>
        <w:t>$1T+ semiconductor backdrop; $112B-$169B embedded systems SAM context; $10M-$40M entry wedge from paid evaluations, design partners, and licensing if proof converts. This is an early wedge, not a ceiling or forecast.</w:t>
      </w:r>
    </w:p>
    <w:p>
      <w:pPr>
        <w:pStyle w:val="Heading2"/>
      </w:pPr>
      <w:r>
        <w:rPr>
          <w:color w:val="1D324A"/>
        </w:rPr>
        <w:t>Proof And Defensibility</w:t>
      </w:r>
    </w:p>
    <w:p>
      <w:r>
        <w:rPr>
          <w:sz w:val="16"/>
        </w:rPr>
        <w:t>Proof today: Zynq Desk v0.39-K HARDWARE_VALIDATED UI artifact; Linux userspace-to-FPGA HARDWARE_VALIDATED path with 16/16 checks; AX7020 LIVE_MEASURED matrix with wins/losses/caveats; Lean4-checked formal algebra with FORMAL_PROOF only where audited. Defensibility wedge: formal algebra + FPGA hardware validation + IP/proof registry.</w:t>
      </w:r>
    </w:p>
    <w:p>
      <w:pPr>
        <w:pStyle w:val="Heading2"/>
      </w:pPr>
      <w:r>
        <w:rPr>
          <w:color w:val="1D324A"/>
        </w:rPr>
        <w:t>Pre-Seed Ask</w:t>
      </w:r>
    </w:p>
    <w:p>
      <w:r>
        <w:rPr>
          <w:sz w:val="16"/>
        </w:rPr>
        <w:t>$5M target pre-seed; final SAFE mechanics counsel/CFO pending. Use of funds: $1.5M engineering, $1.0M customer proof, $750K IP/legal, $750K ASIC feasibility, $1.0M finance/GTM/ops + reserve. Milestone: measured workload proof + IP packet + ASIC feasibility; no tape-out.</w:t>
      </w:r>
    </w:p>
    <w:p>
      <w:r>
        <w:rPr>
          <w:sz w:val="15"/>
        </w:rPr>
        <w:t>Evidence boundary: proof and financial claims remain artifact-bound or planning-only. Customer workload, production, revenue, and downstream battery, thermal, water, footprint, or ROI outcomes require matching measured artifacts or signed documents.</w:t>
      </w:r>
    </w:p>
    <w:p>
      <w:r>
        <w:rPr>
          <w:sz w:val="16"/>
        </w:rPr>
        <w:t>matthew.h.rockwell@gmail.com  |  May 2026</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