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tomik-financial-source-register"/>
    <w:p>
      <w:pPr>
        <w:pStyle w:val="Heading1"/>
      </w:pPr>
      <w:r>
        <w:t xml:space="preserve">ATOMiK Financial Source Register</w:t>
      </w:r>
    </w:p>
    <w:p>
      <w:pPr>
        <w:pStyle w:val="FirstParagraph"/>
      </w:pPr>
      <w:r>
        <w:t xml:space="preserve">Use these sources as market and financing context only. They do not prove ATOMiK savings, valuation, revenue, customer traction, or tape-out readiness.</w:t>
      </w:r>
    </w:p>
    <w:bookmarkStart w:id="20" w:name="why-now-context"/>
    <w:p>
      <w:pPr>
        <w:pStyle w:val="Heading2"/>
      </w:pPr>
      <w:r>
        <w:t xml:space="preserve">Why-Now Context</w:t>
      </w:r>
    </w:p>
    <w:p>
      <w:pPr>
        <w:numPr>
          <w:ilvl w:val="0"/>
          <w:numId w:val="1001"/>
        </w:numPr>
        <w:pStyle w:val="Compact"/>
      </w:pPr>
      <w:r>
        <w:t xml:space="preserve">IEA,</w:t>
      </w:r>
      <w:r>
        <w:t xml:space="preserve"> </w:t>
      </w:r>
      <w:r>
        <w:rPr>
          <w:iCs/>
          <w:i/>
        </w:rPr>
        <w:t xml:space="preserve">Energy and AI: Energy demand from AI</w:t>
      </w:r>
      <w:r>
        <w:t xml:space="preserve">, accessed 2026-05-23:</w:t>
      </w:r>
      <w:r>
        <w:t xml:space="preserve"> </w:t>
      </w:r>
      <w:r>
        <w:t xml:space="preserve">https://www.iea.org/reports/energy-and-ai/energy-demand-from-ai</w:t>
      </w:r>
    </w:p>
    <w:p>
      <w:pPr>
        <w:numPr>
          <w:ilvl w:val="0"/>
          <w:numId w:val="1001"/>
        </w:numPr>
        <w:pStyle w:val="Compact"/>
      </w:pPr>
      <w:r>
        <w:t xml:space="preserve">Lawrence Berkeley National Laboratory,</w:t>
      </w:r>
      <w:r>
        <w:t xml:space="preserve"> </w:t>
      </w:r>
      <w:r>
        <w:rPr>
          <w:iCs/>
          <w:i/>
        </w:rPr>
        <w:t xml:space="preserve">2024 United States Data Center Energy</w:t>
      </w:r>
      <w:r>
        <w:rPr>
          <w:iCs/>
          <w:i/>
        </w:rPr>
        <w:t xml:space="preserve"> </w:t>
      </w:r>
      <w:r>
        <w:rPr>
          <w:iCs/>
          <w:i/>
        </w:rPr>
        <w:t xml:space="preserve">Usage Report</w:t>
      </w:r>
      <w:r>
        <w:t xml:space="preserve">, accessed 2026-05-23:</w:t>
      </w:r>
      <w:r>
        <w:t xml:space="preserve"> </w:t>
      </w:r>
      <w:r>
        <w:t xml:space="preserve">https://eta-publications.lbl.gov/sites/default/files/2024-12/lbnl-2024-united-states-data-center-energy-usage-report_1.pdf</w:t>
      </w:r>
    </w:p>
    <w:bookmarkEnd w:id="20"/>
    <w:bookmarkStart w:id="21" w:name="semiconductor-market-backdrop"/>
    <w:p>
      <w:pPr>
        <w:pStyle w:val="Heading2"/>
      </w:pPr>
      <w:r>
        <w:t xml:space="preserve">Semiconductor Market Backdrop</w:t>
      </w:r>
    </w:p>
    <w:p>
      <w:pPr>
        <w:numPr>
          <w:ilvl w:val="0"/>
          <w:numId w:val="1002"/>
        </w:numPr>
        <w:pStyle w:val="Compact"/>
      </w:pPr>
      <w:r>
        <w:t xml:space="preserve">Semiconductor Industry Association,</w:t>
      </w:r>
      <w:r>
        <w:t xml:space="preserve"> </w:t>
      </w:r>
      <w:r>
        <w:rPr>
          <w:iCs/>
          <w:i/>
        </w:rPr>
        <w:t xml:space="preserve">Global Annual Semiconductor Sales Increase 25.6% to $791.7 Billion in 2025</w:t>
      </w:r>
      <w:r>
        <w:t xml:space="preserve">, accessed 2026-05-27:</w:t>
      </w:r>
      <w:r>
        <w:t xml:space="preserve"> </w:t>
      </w:r>
      <w:r>
        <w:t xml:space="preserve">https://www.semiconductors.org/global-annual-semiconductor-sales-increase-25-6-to-791-7-billion-in-2025/</w:t>
      </w:r>
    </w:p>
    <w:p>
      <w:pPr>
        <w:numPr>
          <w:ilvl w:val="0"/>
          <w:numId w:val="1002"/>
        </w:numPr>
        <w:pStyle w:val="Compact"/>
      </w:pPr>
      <w:r>
        <w:t xml:space="preserve">Semiconductor Industry Association,</w:t>
      </w:r>
      <w:r>
        <w:t xml:space="preserve"> </w:t>
      </w:r>
      <w:r>
        <w:rPr>
          <w:iCs/>
          <w:i/>
        </w:rPr>
        <w:t xml:space="preserve">Global Semiconductor Sales Increase 25% from Q4 2025 to Q1 2026</w:t>
      </w:r>
      <w:r>
        <w:t xml:space="preserve">, accessed 2026-05-27:</w:t>
      </w:r>
      <w:r>
        <w:t xml:space="preserve"> </w:t>
      </w:r>
      <w:r>
        <w:t xml:space="preserve">https://www.semiconductors.org/global-semiconductor-sales-increase-25-from-q4-2025-to-q1-2026/</w:t>
      </w:r>
    </w:p>
    <w:bookmarkEnd w:id="21"/>
    <w:bookmarkStart w:id="22" w:name="financing-benchmarks"/>
    <w:p>
      <w:pPr>
        <w:pStyle w:val="Heading2"/>
      </w:pPr>
      <w:r>
        <w:t xml:space="preserve">Financing Benchmarks</w:t>
      </w:r>
    </w:p>
    <w:p>
      <w:pPr>
        <w:numPr>
          <w:ilvl w:val="0"/>
          <w:numId w:val="1003"/>
        </w:numPr>
        <w:pStyle w:val="Compact"/>
      </w:pPr>
      <w:r>
        <w:t xml:space="preserve">Carta,</w:t>
      </w:r>
      <w:r>
        <w:t xml:space="preserve"> </w:t>
      </w:r>
      <w:r>
        <w:rPr>
          <w:iCs/>
          <w:i/>
        </w:rPr>
        <w:t xml:space="preserve">State of Pre-Seed: Q1 2026</w:t>
      </w:r>
      <w:r>
        <w:t xml:space="preserve">, accessed 2026-05-23:</w:t>
      </w:r>
      <w:r>
        <w:t xml:space="preserve"> </w:t>
      </w:r>
      <w:r>
        <w:t xml:space="preserve">https://carta.com/sg/en/data/state-of-pre-seed-q1-2026/</w:t>
      </w:r>
    </w:p>
    <w:p>
      <w:pPr>
        <w:numPr>
          <w:ilvl w:val="0"/>
          <w:numId w:val="1003"/>
        </w:numPr>
        <w:pStyle w:val="Compact"/>
      </w:pPr>
      <w:r>
        <w:t xml:space="preserve">PitchBook / NVCA,</w:t>
      </w:r>
      <w:r>
        <w:t xml:space="preserve"> </w:t>
      </w:r>
      <w:r>
        <w:rPr>
          <w:iCs/>
          <w:i/>
        </w:rPr>
        <w:t xml:space="preserve">Q1 2026 Venture Monitor</w:t>
      </w:r>
      <w:r>
        <w:t xml:space="preserve">, accessed 2026-05-23:</w:t>
      </w:r>
      <w:r>
        <w:t xml:space="preserve"> </w:t>
      </w:r>
      <w:r>
        <w:t xml:space="preserve">https://nvca.org/wp-content/uploads/2026/04/Q1-2026-PitchBook-NVCA-Venture-Monitor.pdf</w:t>
      </w:r>
    </w:p>
    <w:bookmarkEnd w:id="22"/>
    <w:bookmarkStart w:id="23" w:name="program-accelerator-comparison"/>
    <w:p>
      <w:pPr>
        <w:pStyle w:val="Heading2"/>
      </w:pPr>
      <w:r>
        <w:t xml:space="preserve">Program / Accelerator Comparison</w:t>
      </w:r>
    </w:p>
    <w:p>
      <w:pPr>
        <w:numPr>
          <w:ilvl w:val="0"/>
          <w:numId w:val="1004"/>
        </w:numPr>
        <w:pStyle w:val="Compact"/>
      </w:pPr>
      <w:r>
        <w:t xml:space="preserve">Y Combinator,</w:t>
      </w:r>
      <w:r>
        <w:t xml:space="preserve"> </w:t>
      </w:r>
      <w:r>
        <w:rPr>
          <w:iCs/>
          <w:i/>
        </w:rPr>
        <w:t xml:space="preserve">The Y Combinator Deal</w:t>
      </w:r>
      <w:r>
        <w:t xml:space="preserve">, accessed 2026-05-23:</w:t>
      </w:r>
      <w:r>
        <w:t xml:space="preserve"> </w:t>
      </w:r>
      <w:r>
        <w:t xml:space="preserve">https://www.ycombinator.com/deal</w:t>
      </w:r>
    </w:p>
    <w:p>
      <w:pPr>
        <w:numPr>
          <w:ilvl w:val="0"/>
          <w:numId w:val="1004"/>
        </w:numPr>
        <w:pStyle w:val="Compact"/>
      </w:pPr>
      <w:r>
        <w:t xml:space="preserve">Techstars,</w:t>
      </w:r>
      <w:r>
        <w:t xml:space="preserve"> </w:t>
      </w:r>
      <w:r>
        <w:rPr>
          <w:iCs/>
          <w:i/>
        </w:rPr>
        <w:t xml:space="preserve">Investment Terms Update</w:t>
      </w:r>
      <w:r>
        <w:t xml:space="preserve">, accessed 2026-05-23:</w:t>
      </w:r>
      <w:r>
        <w:t xml:space="preserve"> </w:t>
      </w:r>
      <w:r>
        <w:t xml:space="preserve">https://www.techstars.com/newsroom/investment-terms</w:t>
      </w:r>
    </w:p>
    <w:bookmarkEnd w:id="23"/>
    <w:bookmarkStart w:id="24" w:name="asic-nre-context"/>
    <w:p>
      <w:pPr>
        <w:pStyle w:val="Heading2"/>
      </w:pPr>
      <w:r>
        <w:t xml:space="preserve">ASIC / NRE Context</w:t>
      </w:r>
    </w:p>
    <w:p>
      <w:pPr>
        <w:numPr>
          <w:ilvl w:val="0"/>
          <w:numId w:val="1005"/>
        </w:numPr>
        <w:pStyle w:val="Compact"/>
      </w:pPr>
      <w:r>
        <w:t xml:space="preserve">AnySilicon,</w:t>
      </w:r>
      <w:r>
        <w:t xml:space="preserve"> </w:t>
      </w:r>
      <w:r>
        <w:rPr>
          <w:iCs/>
          <w:i/>
        </w:rPr>
        <w:t xml:space="preserve">Semiconductor Manufacturing Cost Breakdown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ASIC NRE</w:t>
      </w:r>
      <w:r>
        <w:rPr>
          <w:iCs/>
          <w:i/>
        </w:rPr>
        <w:t xml:space="preserve"> </w:t>
      </w:r>
      <w:r>
        <w:rPr>
          <w:iCs/>
          <w:i/>
        </w:rPr>
        <w:t xml:space="preserve">Explained</w:t>
      </w:r>
      <w:r>
        <w:t xml:space="preserve">, accessed 2026-05-23:</w:t>
      </w:r>
      <w:r>
        <w:t xml:space="preserve"> </w:t>
      </w:r>
      <w:r>
        <w:t xml:space="preserve">https://anysilicon.com/semiconductor-manufacturing-cost-breakdown/</w:t>
      </w:r>
      <w:r>
        <w:t xml:space="preserve"> </w:t>
      </w:r>
      <w:r>
        <w:t xml:space="preserve">https://anysilicon.com/asic-nre-explained/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2026-05-27T23:46:41Z</dcterms:created>
  <dcterms:modified xsi:type="dcterms:W3CDTF">2026-05-27T23:46:41Z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