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/ IP Attachment Index</w:t>
      </w:r>
    </w:p>
    <w:p>
      <w:r>
        <w:rPr>
          <w:sz w:val="19"/>
        </w:rPr>
        <w:t>Last updated: 2026-05-28</w:t>
      </w:r>
    </w:p>
    <w:p>
      <w:r>
        <w:rPr>
          <w:sz w:val="19"/>
        </w:rPr>
        <w:t>This is an attachment tracker, not legal advice. Update statuses as counsel replaces founder-prepared materials.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5"/>
              </w:rPr>
              <w:t>Attachment</w:t>
            </w:r>
          </w:p>
        </w:tc>
        <w:tc>
          <w:tcPr>
            <w:tcW w:type="dxa" w:w="252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  <w:sz w:val="15"/>
              </w:rPr>
              <w:t>Access</w:t>
            </w:r>
          </w:p>
        </w:tc>
        <w:tc>
          <w:tcPr>
            <w:tcW w:type="dxa" w:w="2520"/>
          </w:tcPr>
          <w:p>
            <w:r>
              <w:rPr>
                <w:b/>
                <w:sz w:val="15"/>
              </w:rPr>
              <w:t>Diligence note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California LLC entity record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Available internally / controlled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Controlled legal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Refresh before serious diligence.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Founder IP assignment template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Available as template; counsel review pending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Counsel-controlled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Do not claim final assignment chain is complete.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Provisional patent filing receipt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Available / controlled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NDA or counsel-controlled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Prefer investor-safe patent summary for broad follow-up.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Provisional patent cover sheet or filing confirmation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Available / controlled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NDA or counsel-controlled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Does not prove patentability, breadth, or freedom-to-operate.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Patent conversion calendar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Pending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Counsel-controlled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Track conversion deadline and owner.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Cap table draft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Pending counsel/CFO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Controlled legal/finance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Do not circulate as final cap table.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SAFE template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Pending counsel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Counsel-controlled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Do not quote finalized cap, discount, pro-rata, or side-letter terms.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Contractor/advisor IP assignment agreements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None / pending / available as applicable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Counsel-controlled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Verify before close.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Counsel engagement status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Pending / controlled note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Controlled legal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Update once counsel is retained for close.</w:t>
            </w:r>
          </w:p>
        </w:tc>
      </w:tr>
    </w:tbl>
    <w:p/>
    <w:p>
      <w:pPr>
        <w:pStyle w:val="Heading1"/>
      </w:pPr>
      <w:r>
        <w:t>Investor-Safe Legal Language</w:t>
      </w:r>
    </w:p>
    <w:p>
      <w:r>
        <w:rPr>
          <w:sz w:val="19"/>
        </w:rPr>
        <w:t>Current entity and IP records exist, but final close documents require counsel review. Delaware C-Corp structure, final cap table, final IP assignment chain, SAFE terms, side letters, and prior-obligation review remain close gates.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