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ATOMiK Patent Summary For Investors</w:t>
      </w:r>
    </w:p>
    <w:p>
      <w:r>
        <w:rPr>
          <w:sz w:val="19"/>
        </w:rPr>
        <w:t>Last updated: 2026-05-28</w:t>
      </w:r>
    </w:p>
    <w:p>
      <w:r>
        <w:rPr>
          <w:sz w:val="19"/>
        </w:rPr>
        <w:t>Controlled diligence summary. Use this before circulating the full provisional patent. This is not legal advice and does not replace counsel review.</w:t>
      </w:r>
    </w:p>
    <w:p>
      <w:pPr>
        <w:pStyle w:val="Heading1"/>
      </w:pPr>
      <w:r>
        <w:t>Title</w:t>
      </w:r>
    </w:p>
    <w:p>
      <w:r>
        <w:rPr>
          <w:sz w:val="19"/>
        </w:rPr>
        <w:t>ATOMIK: An Externally Stateless, Delta-Driven Computing Architecture for Deterministic State Evolution</w:t>
      </w:r>
    </w:p>
    <w:p>
      <w:pPr>
        <w:pStyle w:val="Heading1"/>
      </w:pPr>
      <w:r>
        <w:t>Filing Status</w:t>
      </w:r>
    </w:p>
    <w:p>
      <w:r>
        <w:rPr>
          <w:sz w:val="19"/>
        </w:rPr>
        <w:t>Provisional patent filed. See controlled legal/IP materials for filing receipt and detailed application materials.</w:t>
      </w:r>
    </w:p>
    <w:p>
      <w:pPr>
        <w:pStyle w:val="Heading1"/>
      </w:pPr>
      <w:r>
        <w:t>Inventor</w:t>
      </w:r>
    </w:p>
    <w:p>
      <w:r>
        <w:rPr>
          <w:sz w:val="19"/>
        </w:rPr>
        <w:t>Matthew H. Rockwell, subject to counsel review of final assignment chain and post-close entity destination.</w:t>
      </w:r>
    </w:p>
    <w:p>
      <w:pPr>
        <w:pStyle w:val="Heading1"/>
      </w:pPr>
      <w:r>
        <w:t>High-Level Subject Matter</w:t>
      </w:r>
    </w:p>
    <w:p>
      <w:r>
        <w:rPr>
          <w:sz w:val="19"/>
        </w:rPr>
        <w:t>The filing describes a computing architecture and state-management approach using deterministic state transitions and delta representations. The investor-safe summary is that ATOMiK separates known reference state from accumulated meaningful change, then reconstructs state at defined boundaries when needed.</w:t>
      </w:r>
    </w:p>
    <w:p>
      <w:pPr>
        <w:pStyle w:val="Heading1"/>
      </w:pPr>
      <w:r>
        <w:t>What It May Cover</w:t>
      </w:r>
    </w:p>
    <w:p>
      <w:r>
        <w:rPr>
          <w:sz w:val="19"/>
        </w:rPr>
        <w:t>Potential coverage areas may include architecture-level treatment of reference state plus accumulated deltas, deterministic state evolution, state transition boundaries, and related implementation patterns. Final claim scope, patentability, and enforceability require counsel review and prosecution.</w:t>
      </w:r>
    </w:p>
    <w:p>
      <w:pPr>
        <w:pStyle w:val="Heading1"/>
      </w:pPr>
      <w:r>
        <w:t>What It Does Not Prove</w:t>
      </w:r>
    </w:p>
    <w:p>
      <w:pPr>
        <w:pStyle w:val="ListBullet"/>
      </w:pPr>
      <w:r>
        <w:rPr>
          <w:sz w:val="19"/>
        </w:rPr>
        <w:t>It does not prove patentability, claim breadth, freedom to operate, or non-infringement.</w:t>
      </w:r>
    </w:p>
    <w:p>
      <w:pPr>
        <w:pStyle w:val="ListBullet"/>
      </w:pPr>
      <w:r>
        <w:rPr>
          <w:sz w:val="19"/>
        </w:rPr>
        <w:t>It does not prove production readiness.</w:t>
      </w:r>
    </w:p>
    <w:p>
      <w:pPr>
        <w:pStyle w:val="ListBullet"/>
      </w:pPr>
      <w:r>
        <w:rPr>
          <w:sz w:val="19"/>
        </w:rPr>
        <w:t>It does not prove customer workload value.</w:t>
      </w:r>
    </w:p>
    <w:p>
      <w:pPr>
        <w:pStyle w:val="ListBullet"/>
      </w:pPr>
      <w:r>
        <w:rPr>
          <w:sz w:val="19"/>
        </w:rPr>
        <w:t>It does not prove battery, heat, cooling, water, power-bill, or footprint savings.</w:t>
      </w:r>
    </w:p>
    <w:p>
      <w:pPr>
        <w:pStyle w:val="ListBullet"/>
      </w:pPr>
      <w:r>
        <w:rPr>
          <w:sz w:val="19"/>
        </w:rPr>
        <w:t>It does not prove that every implementation of state-aware compute is covered.</w:t>
      </w:r>
    </w:p>
    <w:p>
      <w:pPr>
        <w:pStyle w:val="Heading1"/>
      </w:pPr>
      <w:r>
        <w:t>Counsel-Review Caveat</w:t>
      </w:r>
    </w:p>
    <w:p>
      <w:r>
        <w:rPr>
          <w:sz w:val="19"/>
        </w:rPr>
        <w:t>Do not infer patent strength, claim breadth, freedom-to-operate, or final IP ownership from a provisional filing alone. Patent conversion, prior-art review, assignment chain, trade-secret controls, and licensing posture remain counsel-review workstreams funded in the pre-seed plan.</w:t>
      </w:r>
    </w:p>
    <w:p>
      <w:pPr>
        <w:pStyle w:val="Heading1"/>
      </w:pPr>
      <w:r>
        <w:t>Conversion Deadline / Target Date</w:t>
      </w:r>
    </w:p>
    <w:p>
      <w:r>
        <w:rPr>
          <w:sz w:val="19"/>
        </w:rPr>
        <w:t>To be confirmed by counsel from the official filing date and docket. Keep the exact deadline in the legal/IP attachment index once counsel confirms it.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