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nancial-due-diligence-memo"/>
    <w:p>
      <w:pPr>
        <w:pStyle w:val="Heading1"/>
      </w:pPr>
      <w:r>
        <w:t xml:space="preserve">Financial Due Diligence Memo</w:t>
      </w:r>
    </w:p>
    <w:p>
      <w:pPr>
        <w:pStyle w:val="FirstParagraph"/>
      </w:pPr>
      <w:r>
        <w:t xml:space="preserve">ATOMiK · State-Aware Compute Architecture · Pre-Seed · May 2026</w:t>
      </w:r>
    </w:p>
    <w:p>
      <w:pPr>
        <w:pStyle w:val="BodyText"/>
      </w:pPr>
      <w:r>
        <w:t xml:space="preserve">Last updated: 2026-05-28</w:t>
      </w:r>
    </w:p>
    <w:p>
      <w:pPr>
        <w:pStyle w:val="BodyText"/>
      </w:pPr>
      <w:r>
        <w:t xml:space="preserve">Purpose: founder-prepared financial diligence memo for Friday investor discussion, pending CFO/counsel review. This is not legal, tax, accounting, or securities advice.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$5M</w:t>
      </w:r>
      <w:r>
        <w:t xml:space="preserve"> </w:t>
      </w:r>
      <w:r>
        <w:t xml:space="preserve">target pre-seed is the Aggie-facing live ask and should be presented as a milestone-based proof round, not as a chip-production round.</w:t>
      </w:r>
    </w:p>
    <w:p>
      <w:pPr>
        <w:pStyle w:val="BodyText"/>
      </w:pPr>
      <w:r>
        <w:rPr>
          <w:rStyle w:val="VerbatimChar"/>
        </w:rPr>
        <w:t xml:space="preserve">$5M</w:t>
      </w:r>
      <w:r>
        <w:t xml:space="preserve"> </w:t>
      </w:r>
      <w:r>
        <w:t xml:space="preserve">buys an 18-24 month path to convert hardware-backed primitive proof into measured workload proof, counsel-reviewed IP readiness, ASIC feasibility, and design-partner/licensing diligence. It does not fund tape-out.</w:t>
      </w:r>
    </w:p>
    <w:p>
      <w:pPr>
        <w:pStyle w:val="BodyText"/>
      </w:pPr>
      <w:r>
        <w:t xml:space="preserve">The main diligence risk is not the ask amount. The main risk is making the round sound more mature than it is. ATOMiK should not present a valuation cap, signed revenue, customer traction, production-silicon budget, or downstream savings model unless the supporting work is complete. Founder-prepared revenue scenarios may be used only as planning ranges, not forecasts.</w:t>
      </w:r>
    </w:p>
    <w:bookmarkEnd w:id="20"/>
    <w:bookmarkStart w:id="21" w:name="use-of-funds"/>
    <w:p>
      <w:pPr>
        <w:pStyle w:val="Heading2"/>
      </w:pPr>
      <w:r>
        <w:t xml:space="preserve">Use Of Funds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and demo hardening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Zynq hardening, measurement tooling, first technical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proof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baselines, evaluation SOWs, measured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and legal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conversion, prior-art review, diligence packet, entity/IP close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ASIC feasibility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mentor review, feasibility study, quote-backed path before tape-out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Finance, GTM, and 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support, investor reporting, design-partner outreach, operating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 buffer and unforeseen proof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Proof, IP, feasibility, and partner-readiness path</w:t>
            </w:r>
          </w:p>
        </w:tc>
      </w:tr>
    </w:tbl>
    <w:bookmarkEnd w:id="21"/>
    <w:bookmarkStart w:id="22" w:name="runway-arithmetic"/>
    <w:p>
      <w:pPr>
        <w:pStyle w:val="Heading2"/>
      </w:pPr>
      <w:r>
        <w:t xml:space="preserve">Runway Arithmetic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Spendable 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Planning runway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 monthly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Ex-reserve monthly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Staged close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$2.75M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~$167K/mo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~$153K/mo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$4.60M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~$208K/mo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~$192K/mo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$6.90M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~$313K/mo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~$288K/mo</w:t>
            </w:r>
          </w:p>
        </w:tc>
      </w:tr>
    </w:tbl>
    <w:p>
      <w:pPr>
        <w:pStyle w:val="BodyText"/>
      </w:pPr>
      <w:r>
        <w:t xml:space="preserve">Expanded capacity means faster validation, hiring, and broader evaluation/ASIC work while preserving the no-tape-out boundary.</w:t>
      </w:r>
    </w:p>
    <w:bookmarkEnd w:id="22"/>
    <w:bookmarkStart w:id="23" w:name="dilution-sensitivity"/>
    <w:p>
      <w:pPr>
        <w:pStyle w:val="Heading2"/>
      </w:pPr>
      <w:r>
        <w:t xml:space="preserve">Dilution Sensitivity</w:t>
      </w:r>
    </w:p>
    <w:p>
      <w:pPr>
        <w:pStyle w:val="FirstParagraph"/>
      </w:pPr>
      <w:r>
        <w:t xml:space="preserve">Illustrative SAFE cap math before option pool, prior instruments, side letters, or priced-round mechanics: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Post-money 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$3.0M staged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$7.5M expanded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$40M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</w:tr>
    </w:tbl>
    <w:p>
      <w:pPr>
        <w:pStyle w:val="BodyText"/>
      </w:pPr>
      <w:r>
        <w:t xml:space="preserve">This is sensitivity only, not a cap recommendation. Do not offer a cap in the room unless counsel/CFO has approved it.</w:t>
      </w:r>
    </w:p>
    <w:bookmarkEnd w:id="23"/>
    <w:bookmarkStart w:id="24" w:name="founder-prepared-revenue-scenario"/>
    <w:p>
      <w:pPr>
        <w:pStyle w:val="Heading2"/>
      </w:pPr>
      <w:r>
        <w:t xml:space="preserve">Founder-Prepared Revenue Scenario</w:t>
      </w:r>
    </w:p>
    <w:p>
      <w:pPr>
        <w:pStyle w:val="FirstParagraph"/>
      </w:pPr>
      <w:r>
        <w:t xml:space="preserve">This is a planning scenario for investor discussion, not a forecast. It exists so the room can see the business logic behind the</w:t>
      </w:r>
      <w:r>
        <w:t xml:space="preserve"> </w:t>
      </w:r>
      <w:r>
        <w:rPr>
          <w:rStyle w:val="VerbatimChar"/>
        </w:rPr>
        <w:t xml:space="preserve">$5M</w:t>
      </w:r>
      <w:r>
        <w:t xml:space="preserve"> </w:t>
      </w:r>
      <w:r>
        <w:t xml:space="preserve">ask without pretending ATOMiK has signed revenue, committed pilots, or completed customer ROI proof.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Planning revenue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evidence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proof reviews and technical evaluations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$0-$150K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workload candidate, baseline, and success metric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paid evaluation or design-partner SOWs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$250K-$750K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SOWs, correctness-preserving test plan, measured readout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licensing or design-partner conversions if proof holds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$1M-$3M potential contracted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workload proof, IP diligence, and partner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IP/license relationships if proof and economics 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$3M-$8M annualized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counsel-reviewed IP packet, feasibility review, and customer evidence</w:t>
            </w:r>
          </w:p>
        </w:tc>
      </w:tr>
    </w:tbl>
    <w:p>
      <w:pPr>
        <w:pStyle w:val="BodyText"/>
      </w:pPr>
      <w:r>
        <w:t xml:space="preserve">Planning assumptions:</w:t>
      </w:r>
    </w:p>
    <w:p>
      <w:pPr>
        <w:numPr>
          <w:ilvl w:val="0"/>
          <w:numId w:val="1001"/>
        </w:numPr>
        <w:pStyle w:val="Compact"/>
      </w:pPr>
      <w:r>
        <w:t xml:space="preserve">Proof review / technical evaluation work may price around $25K-$75K when scoped and paid.</w:t>
      </w:r>
    </w:p>
    <w:p>
      <w:pPr>
        <w:numPr>
          <w:ilvl w:val="0"/>
          <w:numId w:val="1001"/>
        </w:numPr>
        <w:pStyle w:val="Compact"/>
      </w:pPr>
      <w:r>
        <w:t xml:space="preserve">Design-partner validation may price around $100K-$250K when scoped and paid.</w:t>
      </w:r>
    </w:p>
    <w:p>
      <w:pPr>
        <w:numPr>
          <w:ilvl w:val="0"/>
          <w:numId w:val="1001"/>
        </w:numPr>
        <w:pStyle w:val="Compact"/>
      </w:pPr>
      <w:r>
        <w:t xml:space="preserve">The strategic licensing model is upfront licensing plus per-unit royalties, but only if measured workload proof and partner diligence support it.</w:t>
      </w:r>
    </w:p>
    <w:p>
      <w:pPr>
        <w:numPr>
          <w:ilvl w:val="0"/>
          <w:numId w:val="1001"/>
        </w:numPr>
        <w:pStyle w:val="Compact"/>
      </w:pPr>
      <w:r>
        <w:t xml:space="preserve">These figures should be described as planning ranges, not booked revenue, pipeline, customer traction, or guaranteed ROI.</w:t>
      </w:r>
    </w:p>
    <w:p>
      <w:pPr>
        <w:pStyle w:val="FirstParagraph"/>
      </w:pPr>
      <w:r>
        <w:t xml:space="preserve">Customer ROI language should stay conditional: if a workload shows reduced state movement while preserving correctness, ATOMiK can quantify the potential impact against that baseline. Battery, heat, cooling, water, footprint, and power-bill effects remain workload-specific evaluation targets until measured end to end.</w:t>
      </w:r>
    </w:p>
    <w:bookmarkEnd w:id="24"/>
    <w:bookmarkStart w:id="25" w:name="financial-claims-that-are-safe-friday"/>
    <w:p>
      <w:pPr>
        <w:pStyle w:val="Heading2"/>
      </w:pPr>
      <w:r>
        <w:t xml:space="preserve">Financial Claims That Are Safe Friday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We are raising a</w:t>
      </w:r>
      <w:r>
        <w:t xml:space="preserve"> </w:t>
      </w:r>
      <w:r>
        <w:rPr>
          <w:rStyle w:val="VerbatimChar"/>
        </w:rPr>
        <w:t xml:space="preserve">$5M</w:t>
      </w:r>
      <w:r>
        <w:t xml:space="preserve"> </w:t>
      </w:r>
      <w:r>
        <w:t xml:space="preserve">target pre-seed; staged close structure and final SAFE terms are counsel/CFO pending.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target plan gives us roughly 18-24 months to produce measured workload proof, strengthen the IP packet, complete ASIC feasibility, and build a design-partner/licensing path.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round funds measured workload proof, IP/legal readiness, ASIC feasibility, demo reliability, and operations.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round does not fund tape-out.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Reservation pricing is a qualification mechanism; material revenue requires scoped written work.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Final SAFE terms, valuation cap, discount, pro-rata rights, and option pool mechanics require counsel/CFO review.</w:t>
      </w:r>
      <w:r>
        <w:t xml:space="preserve">”</w:t>
      </w:r>
    </w:p>
    <w:bookmarkEnd w:id="25"/>
    <w:bookmarkStart w:id="26" w:name="financial-claims-to-avoid"/>
    <w:p>
      <w:pPr>
        <w:pStyle w:val="Heading2"/>
      </w:pPr>
      <w:r>
        <w:t xml:space="preserve">Financial Claims To Avoid</w:t>
      </w:r>
    </w:p>
    <w:p>
      <w:pPr>
        <w:numPr>
          <w:ilvl w:val="0"/>
          <w:numId w:val="1003"/>
        </w:numPr>
        <w:pStyle w:val="Compact"/>
      </w:pPr>
      <w:r>
        <w:t xml:space="preserve">Do not state a valuation cap unless approved.</w:t>
      </w:r>
    </w:p>
    <w:p>
      <w:pPr>
        <w:numPr>
          <w:ilvl w:val="0"/>
          <w:numId w:val="1003"/>
        </w:numPr>
        <w:pStyle w:val="Compact"/>
      </w:pPr>
      <w:r>
        <w:t xml:space="preserve">Do not imply benchmark seed-market data is ATOMiK’s valuation.</w:t>
      </w:r>
    </w:p>
    <w:p>
      <w:pPr>
        <w:numPr>
          <w:ilvl w:val="0"/>
          <w:numId w:val="1003"/>
        </w:numPr>
        <w:pStyle w:val="Compact"/>
      </w:pPr>
      <w:r>
        <w:t xml:space="preserve">Do not present planning revenue ranges as booked revenue, committed pipeline, or a forecast before signed customer agreements or SOWs.</w:t>
      </w:r>
    </w:p>
    <w:p>
      <w:pPr>
        <w:numPr>
          <w:ilvl w:val="0"/>
          <w:numId w:val="1003"/>
        </w:numPr>
        <w:pStyle w:val="Compact"/>
      </w:pPr>
      <w:r>
        <w:t xml:space="preserve">Do not imply public reservation prices are the full commercial model.</w:t>
      </w:r>
    </w:p>
    <w:p>
      <w:pPr>
        <w:numPr>
          <w:ilvl w:val="0"/>
          <w:numId w:val="1003"/>
        </w:numPr>
        <w:pStyle w:val="Compact"/>
      </w:pPr>
      <w:r>
        <w:t xml:space="preserve">Do not claim customer traction, LOIs, or revenue without signed evidence.</w:t>
      </w:r>
    </w:p>
    <w:p>
      <w:pPr>
        <w:numPr>
          <w:ilvl w:val="0"/>
          <w:numId w:val="1003"/>
        </w:numPr>
        <w:pStyle w:val="Compact"/>
      </w:pPr>
      <w:r>
        <w:t xml:space="preserve">Do not say pre-seed funds production silicon, tape-out, or volume manufacturing.</w:t>
      </w:r>
    </w:p>
    <w:p>
      <w:pPr>
        <w:numPr>
          <w:ilvl w:val="0"/>
          <w:numId w:val="1003"/>
        </w:numPr>
        <w:pStyle w:val="Compact"/>
      </w:pPr>
      <w:r>
        <w:t xml:space="preserve">Do not model battery, heat, cooling, water, footprint, or power-bill savings as financial ROI until workload-specific measurement exists.</w:t>
      </w:r>
    </w:p>
    <w:bookmarkEnd w:id="26"/>
    <w:bookmarkStart w:id="27" w:name="friday-financing-answer"/>
    <w:p>
      <w:pPr>
        <w:pStyle w:val="Heading2"/>
      </w:pPr>
      <w:r>
        <w:t xml:space="preserve">Friday Financing Answer</w:t>
      </w:r>
    </w:p>
    <w:p>
      <w:pPr>
        <w:pStyle w:val="FirstParagraph"/>
      </w:pPr>
      <w:r>
        <w:t xml:space="preserve">Short version:</w:t>
      </w:r>
    </w:p>
    <w:p>
      <w:pPr>
        <w:pStyle w:val="BodyText"/>
      </w:pPr>
      <w:r>
        <w:t xml:space="preserve">We are raising a</w:t>
      </w:r>
      <w:r>
        <w:t xml:space="preserve"> </w:t>
      </w:r>
      <w:r>
        <w:rPr>
          <w:rStyle w:val="VerbatimChar"/>
        </w:rPr>
        <w:t xml:space="preserve">$5M</w:t>
      </w:r>
      <w:r>
        <w:t xml:space="preserve"> </w:t>
      </w:r>
      <w:r>
        <w:t xml:space="preserve">target pre-seed. The plan gives us roughly 18-24 months to produce measured customer workload proof, strengthen the IP packet, complete ASIC feasibility, and build a design-partner/licensing path. It does not fund tape-out.</w:t>
      </w:r>
    </w:p>
    <w:p>
      <w:pPr>
        <w:pStyle w:val="BodyText"/>
      </w:pPr>
      <w:r>
        <w:t xml:space="preserve">If asked for valuation:</w:t>
      </w:r>
    </w:p>
    <w:p>
      <w:pPr>
        <w:pStyle w:val="BodyText"/>
      </w:pPr>
      <w:r>
        <w:t xml:space="preserve">We are planning to use a SAFE structure, but I do not want to improvise the cap or terms. The final SAFE structure, valuation cap, discount, pro-rata rights, option-pool mechanics, and closing details should be finalized with counsel/CFO.</w:t>
      </w:r>
    </w:p>
    <w:p>
      <w:pPr>
        <w:pStyle w:val="BodyText"/>
      </w:pPr>
      <w:r>
        <w:t xml:space="preserve">If asked why</w:t>
      </w:r>
      <w:r>
        <w:t xml:space="preserve"> </w:t>
      </w:r>
      <w:r>
        <w:rPr>
          <w:rStyle w:val="VerbatimChar"/>
        </w:rPr>
        <w:t xml:space="preserve">$5M</w:t>
      </w:r>
      <w:r>
        <w:t xml:space="preserve">:</w:t>
      </w:r>
    </w:p>
    <w:p>
      <w:pPr>
        <w:pStyle w:val="BodyText"/>
      </w:pPr>
      <w:r>
        <w:t xml:space="preserve">Aggie has already seen the</w:t>
      </w:r>
      <w:r>
        <w:t xml:space="preserve"> </w:t>
      </w:r>
      <w:r>
        <w:rPr>
          <w:rStyle w:val="VerbatimChar"/>
        </w:rPr>
        <w:t xml:space="preserve">$5M</w:t>
      </w:r>
      <w:r>
        <w:t xml:space="preserve"> </w:t>
      </w:r>
      <w:r>
        <w:t xml:space="preserve">ask. The target is sized around the next evidence gates: measured workload proof, legal/IP readiness, external ASIC feasibility, and enough operating capacity to pursue qualified design-partner evaluations. It is larger than a minimal proof budget, but it still does not become a tape-out budget.</w:t>
      </w:r>
    </w:p>
    <w:bookmarkEnd w:id="27"/>
    <w:bookmarkStart w:id="28" w:name="X20c75199709e9c20d2ed5bcb410591cb38841b8"/>
    <w:p>
      <w:pPr>
        <w:pStyle w:val="Heading2"/>
      </w:pPr>
      <w:r>
        <w:t xml:space="preserve">Diligence Gaps Before A Serious Follow-Up</w:t>
      </w:r>
    </w:p>
    <w:p>
      <w:pPr>
        <w:numPr>
          <w:ilvl w:val="0"/>
          <w:numId w:val="1004"/>
        </w:numPr>
        <w:pStyle w:val="Compact"/>
      </w:pPr>
      <w:r>
        <w:t xml:space="preserve">Formal cap table after entity formation, stock issuance, any advisor grants, and prior obligations are verified.</w:t>
      </w:r>
    </w:p>
    <w:p>
      <w:pPr>
        <w:numPr>
          <w:ilvl w:val="0"/>
          <w:numId w:val="1004"/>
        </w:numPr>
        <w:pStyle w:val="Compact"/>
      </w:pPr>
      <w:r>
        <w:t xml:space="preserve">Counsel-approved SAFE structure and terms.</w:t>
      </w:r>
    </w:p>
    <w:p>
      <w:pPr>
        <w:numPr>
          <w:ilvl w:val="0"/>
          <w:numId w:val="1004"/>
        </w:numPr>
        <w:pStyle w:val="Compact"/>
      </w:pPr>
      <w:r>
        <w:t xml:space="preserve">Option-pool sizing and hiring plan.</w:t>
      </w:r>
    </w:p>
    <w:p>
      <w:pPr>
        <w:numPr>
          <w:ilvl w:val="0"/>
          <w:numId w:val="1004"/>
        </w:numPr>
        <w:pStyle w:val="Compact"/>
      </w:pPr>
      <w:r>
        <w:t xml:space="preserve">Vendor-backed IP/legal budget.</w:t>
      </w:r>
    </w:p>
    <w:p>
      <w:pPr>
        <w:numPr>
          <w:ilvl w:val="0"/>
          <w:numId w:val="1004"/>
        </w:numPr>
        <w:pStyle w:val="Compact"/>
      </w:pPr>
      <w:r>
        <w:t xml:space="preserve">ASIC mentor or advisor quote-backed feasibility budget.</w:t>
      </w:r>
    </w:p>
    <w:p>
      <w:pPr>
        <w:numPr>
          <w:ilvl w:val="0"/>
          <w:numId w:val="1004"/>
        </w:numPr>
        <w:pStyle w:val="Compact"/>
      </w:pPr>
      <w:r>
        <w:t xml:space="preserve">Monthly cash plan by hire/contractor/vendor.</w:t>
      </w:r>
    </w:p>
    <w:p>
      <w:pPr>
        <w:numPr>
          <w:ilvl w:val="0"/>
          <w:numId w:val="1004"/>
        </w:numPr>
        <w:pStyle w:val="Compact"/>
      </w:pPr>
      <w:r>
        <w:t xml:space="preserve">Paid-evaluation SOW template with pricing, deliverables, ownership, confidentiality, and success criteria.</w:t>
      </w:r>
    </w:p>
    <w:p>
      <w:pPr>
        <w:numPr>
          <w:ilvl w:val="0"/>
          <w:numId w:val="1004"/>
        </w:numPr>
        <w:pStyle w:val="Compact"/>
      </w:pPr>
      <w:r>
        <w:t xml:space="preserve">Customer pipeline status with source, stage, next action, owner, and expected proof gate.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2026-05-28T23:43:38Z</dcterms:created>
  <dcterms:modified xsi:type="dcterms:W3CDTF">2026-05-28T23:43:38Z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