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tomik-financial-static-summary"/>
    <w:p>
      <w:pPr>
        <w:pStyle w:val="Heading1"/>
      </w:pPr>
      <w:r>
        <w:t xml:space="preserve">ATOMiK Financial Static Summary</w:t>
      </w:r>
    </w:p>
    <w:p>
      <w:pPr>
        <w:pStyle w:val="FirstParagraph"/>
      </w:pPr>
      <w:r>
        <w:t xml:space="preserve">This is a static export for reviewers who cannot rely on XLSX formula recalculation. Use the workbook as the detailed source, but use this file/PDF for quick diligence review.</w:t>
      </w:r>
    </w:p>
    <w:bookmarkStart w:id="20" w:name="use-of-funds"/>
    <w:p>
      <w:pPr>
        <w:pStyle w:val="Heading2"/>
      </w:pPr>
      <w:r>
        <w:t xml:space="preserve">Use Of Funds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and demo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proof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and 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ASIC feasibility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Finance, GTM, and 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</w:tr>
    </w:tbl>
    <w:bookmarkEnd w:id="20"/>
    <w:bookmarkStart w:id="21" w:name="runway"/>
    <w:p>
      <w:pPr>
        <w:pStyle w:val="Heading2"/>
      </w:pPr>
      <w:r>
        <w:t xml:space="preserve">Runway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Spendable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monthly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Ex-reserve monthly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Staged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~$167K/mo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~$153K/mo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$4.60M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~$208K/mo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~$192K/mo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$6.90M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~$313K/mo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~$288K/mo</w:t>
            </w:r>
          </w:p>
        </w:tc>
      </w:tr>
    </w:tbl>
    <w:p>
      <w:pPr>
        <w:pStyle w:val="BodyText"/>
      </w:pPr>
      <w:r>
        <w:t xml:space="preserve">Expanded capacity means faster validation, hiring, and broader evaluation/ASIC feasibility support. It does not convert the round into tape-out funding.</w:t>
      </w:r>
    </w:p>
    <w:bookmarkEnd w:id="21"/>
    <w:bookmarkStart w:id="22" w:name="founder-prepared-revenue-scenario"/>
    <w:p>
      <w:pPr>
        <w:pStyle w:val="Heading2"/>
      </w:pPr>
      <w:r>
        <w:t xml:space="preserve">Founder-Prepared Revenue Scenario</w:t>
      </w:r>
    </w:p>
    <w:p>
      <w:pPr>
        <w:pStyle w:val="FirstParagraph"/>
      </w:pPr>
      <w:r>
        <w:t xml:space="preserve">This is a planning scenario for investor discussion, not a forecast. Revenue depends on signed SOWs, measured workload proof, and partner diligence.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revenue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proof reviews / technical evaluations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$0-$150K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evaluation candidates and baseline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paid evaluation or design-partner SOWs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$250K-$750K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SOWs with success metrics and readout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licensing or design-partner conversions if proof holds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$1M-$3M potential contracted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workload proof and partner diligence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IP/license relationships if proof and economics 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$3M-$8M annualized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counsel-reviewed IP packet, feasibility review, and customer evidence</w:t>
            </w:r>
          </w:p>
        </w:tc>
      </w:tr>
    </w:tbl>
    <w:p>
      <w:pPr>
        <w:pStyle w:val="BodyText"/>
      </w:pPr>
      <w:r>
        <w:t xml:space="preserve">Commercial assumptions:</w:t>
      </w:r>
    </w:p>
    <w:p>
      <w:pPr>
        <w:numPr>
          <w:ilvl w:val="0"/>
          <w:numId w:val="1001"/>
        </w:numPr>
        <w:pStyle w:val="Compact"/>
      </w:pPr>
      <w:r>
        <w:t xml:space="preserve">Proof review / technical evaluation: $25K-$75K scoped work where appropriate.</w:t>
      </w:r>
    </w:p>
    <w:p>
      <w:pPr>
        <w:numPr>
          <w:ilvl w:val="0"/>
          <w:numId w:val="1001"/>
        </w:numPr>
        <w:pStyle w:val="Compact"/>
      </w:pPr>
      <w:r>
        <w:t xml:space="preserve">Design-partner validation: $100K-$250K scoped validation or integration work where appropriate.</w:t>
      </w:r>
    </w:p>
    <w:p>
      <w:pPr>
        <w:numPr>
          <w:ilvl w:val="0"/>
          <w:numId w:val="1001"/>
        </w:numPr>
        <w:pStyle w:val="Compact"/>
      </w:pPr>
      <w:r>
        <w:t xml:space="preserve">Licensing path: upfront licensing plus per-unit royalty only after workload proof, IP diligence, and partner fit support it.</w:t>
      </w:r>
    </w:p>
    <w:p>
      <w:pPr>
        <w:numPr>
          <w:ilvl w:val="0"/>
          <w:numId w:val="1001"/>
        </w:numPr>
        <w:pStyle w:val="Compact"/>
      </w:pPr>
      <w:r>
        <w:t xml:space="preserve">Do not present this table as committed pipeline, signed revenue, or guaranteed ROI.</w:t>
      </w:r>
    </w:p>
    <w:bookmarkEnd w:id="22"/>
    <w:bookmarkStart w:id="23" w:name="dilution-sensitivity"/>
    <w:p>
      <w:pPr>
        <w:pStyle w:val="Heading2"/>
      </w:pPr>
      <w:r>
        <w:t xml:space="preserve">Dilution Sensitivity</w:t>
      </w:r>
    </w:p>
    <w:p>
      <w:pPr>
        <w:pStyle w:val="FirstParagraph"/>
      </w:pPr>
      <w:r>
        <w:t xml:space="preserve">Illustrative SAFE cap math only. This is not a cap recommendation and excludes option-pool, prior-instrument, side-letter, and priced-round mechanics.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Post-money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 staged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 expanded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$40M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</w:tbl>
    <w:bookmarkEnd w:id="23"/>
    <w:bookmarkStart w:id="24" w:name="milestone-gates"/>
    <w:p>
      <w:pPr>
        <w:pStyle w:val="Heading2"/>
      </w:pPr>
      <w:r>
        <w:t xml:space="preserve">Milestone Gates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financing structure, counsel plan, design-partner target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CFO/counsel reviewed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 Zynq demo into repeatable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checklist and current artifact bundle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first customer workload and baseline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SOW and one success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first measured workload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Correctness-preserving workload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6-9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artifact into paid evaluation, LOI, or no-fit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ASIC feasibility scope and IP diligence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Mentor-reviewed feasibility and counsel-reviewed IP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next financing or strategic partner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proof, partner pipeline, IP packet</w:t>
            </w:r>
          </w:p>
        </w:tc>
      </w:tr>
    </w:tbl>
    <w:bookmarkEnd w:id="24"/>
    <w:bookmarkStart w:id="25" w:name="workbook-additions"/>
    <w:p>
      <w:pPr>
        <w:pStyle w:val="Heading2"/>
      </w:pPr>
      <w:r>
        <w:t xml:space="preserve">Workbook Additions</w:t>
      </w:r>
    </w:p>
    <w:p>
      <w:pPr>
        <w:numPr>
          <w:ilvl w:val="0"/>
          <w:numId w:val="1002"/>
        </w:numPr>
        <w:pStyle w:val="Compact"/>
      </w:pPr>
      <w:r>
        <w:t xml:space="preserve">README Model Map tab: intended use, owner, assumptions, investor-facing/internal sheet map, source pointer, and open diligence gaps.</w:t>
      </w:r>
    </w:p>
    <w:p>
      <w:pPr>
        <w:numPr>
          <w:ilvl w:val="0"/>
          <w:numId w:val="1002"/>
        </w:numPr>
        <w:pStyle w:val="Compact"/>
      </w:pPr>
      <w:r>
        <w:t xml:space="preserve">Unmodeled CFO Needs tab: payroll taxes, benefits, insurance, accounting, legal close, C-Corp conversion, IP prosecution variability, tooling, infrastructure, travel, and contingency items.</w:t>
      </w:r>
    </w:p>
    <w:p>
      <w:pPr>
        <w:numPr>
          <w:ilvl w:val="0"/>
          <w:numId w:val="1002"/>
        </w:numPr>
        <w:pStyle w:val="Compact"/>
      </w:pPr>
      <w:r>
        <w:t xml:space="preserve">Evaluation SOW Economics tab: planning-only structure for workload intake, baseline mapping, success metric, test harness/artifacts, readout, optional partner-funded proof work, pricing, and accounting treatment.</w:t>
      </w:r>
    </w:p>
    <w:bookmarkEnd w:id="25"/>
    <w:bookmarkStart w:id="26" w:name="guardrails"/>
    <w:p>
      <w:pPr>
        <w:pStyle w:val="Heading2"/>
      </w:pPr>
      <w:r>
        <w:t xml:space="preserve">Guardrails</w:t>
      </w:r>
    </w:p>
    <w:p>
      <w:pPr>
        <w:numPr>
          <w:ilvl w:val="0"/>
          <w:numId w:val="1003"/>
        </w:numPr>
        <w:pStyle w:val="Compact"/>
      </w:pPr>
      <w:r>
        <w:t xml:space="preserve">Do not state a valuation cap without CFO/counsel approval.</w:t>
      </w:r>
    </w:p>
    <w:p>
      <w:pPr>
        <w:numPr>
          <w:ilvl w:val="0"/>
          <w:numId w:val="1003"/>
        </w:numPr>
        <w:pStyle w:val="Compact"/>
      </w:pPr>
      <w:r>
        <w:t xml:space="preserve">Do not present planning revenue ranges as booked revenue, committed pipeline, or a forecast before signed SOWs or licensing terms.</w:t>
      </w:r>
    </w:p>
    <w:p>
      <w:pPr>
        <w:numPr>
          <w:ilvl w:val="0"/>
          <w:numId w:val="1003"/>
        </w:numPr>
        <w:pStyle w:val="Compact"/>
      </w:pPr>
      <w:r>
        <w:t xml:space="preserve">Do not claim customer traction, production silicon, tape-out funding, or downstream savings.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2026-05-28T23:43:35Z</dcterms:created>
  <dcterms:modified xsi:type="dcterms:W3CDTF">2026-05-28T23:43:35Z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