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ATOMiK — Customer &amp; Sales Pipeline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r>
        <w:rPr>
          <w:b/>
          <w:sz w:val="18"/>
        </w:rPr>
        <w:t>CONFIDENTIAL DATA ROOM DOCUMENT</w:t>
      </w:r>
    </w:p>
    <w:p>
      <w:pPr>
        <w:pStyle w:val="Heading1"/>
      </w:pPr>
      <w:r>
        <w:rPr>
          <w:color w:val="070B12"/>
        </w:rPr>
        <w:t>Current Status</w:t>
      </w:r>
    </w:p>
    <w:p>
      <w:r>
        <w:rPr>
          <w:b/>
          <w:sz w:val="22"/>
        </w:rPr>
        <w:t>ATOMiK is pre-revenue. No signed customer contracts or LOIs exist as of May 2026. This document describes the pipeline strategy and evaluation offer structure.</w:t>
      </w:r>
    </w:p>
    <w:p>
      <w:pPr>
        <w:pStyle w:val="Heading1"/>
      </w:pPr>
      <w:r>
        <w:rPr>
          <w:color w:val="070B12"/>
        </w:rPr>
        <w:t>Evaluation Offer</w:t>
      </w:r>
    </w:p>
    <w:p>
      <w:r>
        <w:rPr>
          <w:sz w:val="22"/>
        </w:rPr>
        <w:t>Standard entry point: Bring one state-heavy workload, your current baseline, and the constraint that already hurts.</w:t>
      </w:r>
    </w:p>
    <w:p>
      <w:r>
        <w:rPr>
          <w:sz w:val="22"/>
        </w:rPr>
        <w:t>ATOMiK delivers: workload map, baseline comparison, evidence map, fit/no-fit recommendation, and next-step plan.</w:t>
      </w:r>
    </w:p>
    <w:p>
      <w:r>
        <w:rPr>
          <w:sz w:val="22"/>
        </w:rPr>
        <w:t>This can be structured as: (a) unpaid feasibility conversation, (b) paid technical evaluation (SOW-based), or (c) design-partner engagement with IP access.</w:t>
      </w:r>
    </w:p>
    <w:p>
      <w:pPr>
        <w:pStyle w:val="Heading1"/>
      </w:pPr>
      <w:r>
        <w:rPr>
          <w:color w:val="070B12"/>
        </w:rPr>
        <w:t>Target Segment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Segment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Pain &amp; Entry Point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Edge / embedded OEMs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Battery, heat, bandwidth-constrained products (IoT, industrial, automotive edge)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Defense / remote systems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Size, weight, power (SWaP) constrained; packet budget; field runtime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AI at the edge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Context movement, memory pressure, local inference latency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Data center / infrastructure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Strategic expansion path — requires edge proof first</w:t>
            </w:r>
          </w:p>
        </w:tc>
      </w:tr>
    </w:tbl>
    <w:p/>
    <w:p>
      <w:pPr>
        <w:pStyle w:val="Heading1"/>
      </w:pPr>
      <w:r>
        <w:rPr>
          <w:color w:val="070B12"/>
        </w:rPr>
        <w:t>Active Outreach</w:t>
      </w:r>
    </w:p>
    <w:p>
      <w:r>
        <w:rPr>
          <w:sz w:val="22"/>
        </w:rPr>
        <w:t>Investor, advisor, and design-partner outreach notes should be kept in the controlled data room. Do not present conversations as pipeline unless there is a confirmed meeting, LOI, paid evaluation, or customer artifact.</w:t>
      </w:r>
    </w:p>
    <w:p>
      <w:pPr>
        <w:pStyle w:val="Heading1"/>
      </w:pPr>
      <w:r>
        <w:rPr>
          <w:color w:val="070B12"/>
        </w:rPr>
        <w:t>Pipeline Tracker</w:t>
      </w:r>
    </w:p>
    <w:p>
      <w:r>
        <w:rPr>
          <w:sz w:val="18"/>
        </w:rPr>
        <w:t>Use these controlled diligence tables for updates. Keep unknowns as TBD rather than implying traction.</w:t>
      </w:r>
    </w:p>
    <w:p>
      <w:pPr>
        <w:pStyle w:val="Heading2"/>
      </w:pPr>
      <w:r>
        <w:rPr>
          <w:color w:val="1D324A"/>
        </w:rPr>
        <w:t>Segment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6"/>
              </w:rPr>
              <w:t>Segment</w:t>
            </w:r>
          </w:p>
        </w:tc>
        <w:tc>
          <w:tcPr>
            <w:tcW w:type="dxa" w:w="2196"/>
          </w:tcPr>
          <w:p>
            <w:r>
              <w:rPr>
                <w:b/>
                <w:sz w:val="16"/>
              </w:rPr>
              <w:t>Primary pain</w:t>
            </w:r>
          </w:p>
        </w:tc>
        <w:tc>
          <w:tcPr>
            <w:tcW w:type="dxa" w:w="2196"/>
          </w:tcPr>
          <w:p>
            <w:r>
              <w:rPr>
                <w:b/>
                <w:sz w:val="16"/>
              </w:rPr>
              <w:t>Entry point</w:t>
            </w:r>
          </w:p>
        </w:tc>
        <w:tc>
          <w:tcPr>
            <w:tcW w:type="dxa" w:w="2196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196"/>
          </w:tcPr>
          <w:p>
            <w:r>
              <w:rPr>
                <w:sz w:val="16"/>
              </w:rPr>
              <w:t>Edge / embedded OEM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Battery, heat, bandwidth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State-heavy device workload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Target</w:t>
            </w:r>
          </w:p>
        </w:tc>
      </w:tr>
      <w:tr>
        <w:tc>
          <w:tcPr>
            <w:tcW w:type="dxa" w:w="2196"/>
          </w:tcPr>
          <w:p>
            <w:r>
              <w:rPr>
                <w:sz w:val="16"/>
              </w:rPr>
              <w:t>Robotics / industrial edge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Latency, reliability, control updates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Sync/control path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Target</w:t>
            </w:r>
          </w:p>
        </w:tc>
      </w:tr>
      <w:tr>
        <w:tc>
          <w:tcPr>
            <w:tcW w:type="dxa" w:w="2196"/>
          </w:tcPr>
          <w:p>
            <w:r>
              <w:rPr>
                <w:sz w:val="16"/>
              </w:rPr>
              <w:t>Defense-adjacent remote systems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SWaP, packet budget, runtime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Remote state-transfer constraint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Target</w:t>
            </w:r>
          </w:p>
        </w:tc>
      </w:tr>
      <w:tr>
        <w:tc>
          <w:tcPr>
            <w:tcW w:type="dxa" w:w="2196"/>
          </w:tcPr>
          <w:p>
            <w:r>
              <w:rPr>
                <w:sz w:val="16"/>
              </w:rPr>
              <w:t>AI-at-the-edge context state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Context movement, memory pressure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Representative context-state update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Target</w:t>
            </w:r>
          </w:p>
        </w:tc>
      </w:tr>
    </w:tbl>
    <w:p/>
    <w:p>
      <w:pPr>
        <w:pStyle w:val="Heading2"/>
      </w:pPr>
      <w:r>
        <w:rPr>
          <w:color w:val="1D324A"/>
        </w:rPr>
        <w:t>Controlled Tracker</w:t>
      </w:r>
    </w:p>
    <w:p>
      <w:r>
        <w:rPr>
          <w:sz w:val="18"/>
        </w:rPr>
        <w:t>Owner for current tracker rows: Founder. Current evidence for all rows: none yet unless updated with a confirmed meeting, workload, LOI, paid evaluation, or customer artifact.</w:t>
      </w:r>
    </w:p>
    <w:p>
      <w:pPr>
        <w:pStyle w:val="Heading2"/>
      </w:pPr>
      <w:r>
        <w:rPr>
          <w:color w:val="1D324A"/>
        </w:rPr>
        <w:t>Edge / Embedded OEM</w:t>
      </w:r>
    </w:p>
    <w:p>
      <w:r>
        <w:rPr>
          <w:sz w:val="22"/>
        </w:rPr>
        <w:t>Source/status: intro, outbound, or advisor target. Next action: identify workload owner and painful constraint. Proof gate: workload map, baseline, and signed SOW. Note: do not call pipeline until meeting or artifact exists.</w:t>
      </w:r>
    </w:p>
    <w:p>
      <w:pPr>
        <w:pStyle w:val="Heading2"/>
      </w:pPr>
      <w:r>
        <w:rPr>
          <w:color w:val="1D324A"/>
        </w:rPr>
        <w:t>Robotics / Industrial Edge</w:t>
      </w:r>
    </w:p>
    <w:p>
      <w:r>
        <w:rPr>
          <w:sz w:val="22"/>
        </w:rPr>
        <w:t>Source/status: advisor or outbound target. Next action: find a state-heavy sync/control path. Proof gate: trace, baseline, and success metric. Note: likely design-partner fit if the constraint is expensive.</w:t>
      </w:r>
    </w:p>
    <w:p>
      <w:pPr>
        <w:pStyle w:val="Heading2"/>
      </w:pPr>
      <w:r>
        <w:rPr>
          <w:color w:val="1D324A"/>
        </w:rPr>
        <w:t>Defense-Adjacent Remote Systems</w:t>
      </w:r>
    </w:p>
    <w:p>
      <w:r>
        <w:rPr>
          <w:sz w:val="22"/>
        </w:rPr>
        <w:t>Source/status: connector or advisor target. Next action: qualify packet, radio, or SWaP constraint. Proof gate: NDA, workload map, and baseline. Note: treat as controlled; no public customer claims.</w:t>
      </w:r>
    </w:p>
    <w:p>
      <w:pPr>
        <w:pStyle w:val="Heading2"/>
      </w:pPr>
      <w:r>
        <w:rPr>
          <w:color w:val="1D324A"/>
        </w:rPr>
        <w:t>AI-at-the-Edge Context State</w:t>
      </w:r>
    </w:p>
    <w:p>
      <w:r>
        <w:rPr>
          <w:sz w:val="22"/>
        </w:rPr>
        <w:t>Source/status: outbound or technical advisor target. Next action: frame as context-state update, not AI inference. Proof gate: representative trace and correctness oracle. Note: avoid generalized AI performance claims.</w:t>
      </w:r>
    </w:p>
    <w:p>
      <w:pPr>
        <w:pStyle w:val="Heading1"/>
      </w:pPr>
      <w:r>
        <w:rPr>
          <w:color w:val="070B12"/>
        </w:rPr>
        <w:t>LOI &amp; Contract Templates</w:t>
      </w:r>
    </w:p>
    <w:p>
      <w:r>
        <w:rPr>
          <w:sz w:val="22"/>
        </w:rPr>
        <w:t>Paid evaluation proposal template: business/design_partners/paid_evaluation_proposal.md</w:t>
      </w:r>
    </w:p>
    <w:p>
      <w:r>
        <w:rPr>
          <w:sz w:val="22"/>
        </w:rPr>
        <w:t>LOI outline: business/design_partners/loi_outline.md</w:t>
      </w:r>
    </w:p>
    <w:p>
      <w:r>
        <w:rPr>
          <w:sz w:val="22"/>
        </w:rPr>
        <w:t>No signed LOIs or customer contracts exist as of this writing. First signed agreement is a key pre-seed milestone.</w:t>
      </w:r>
    </w:p>
    <w:p>
      <w:pPr>
        <w:pStyle w:val="Heading1"/>
      </w:pPr>
      <w:r>
        <w:rPr>
          <w:color w:val="070B12"/>
        </w:rPr>
        <w:t>Pipeline Gate</w:t>
      </w:r>
    </w:p>
    <w:p>
      <w:r>
        <w:rPr>
          <w:sz w:val="22"/>
        </w:rPr>
        <w:t>The $400K customer proof budget funds the first 1-3 evaluation efforts if qualified workloads are available. Success metric: measured improvement on one agreed metric while preserving correctness, with raw artifacts and a claims registry entry.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