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070B12"/>
          <w:sz w:val="48"/>
        </w:rPr>
        <w:t>ATOMiK — Legal &amp; Formation Summary</w:t>
      </w:r>
    </w:p>
    <w:p>
      <w:r>
        <w:rPr>
          <w:color w:val="22D3EE"/>
          <w:sz w:val="20"/>
        </w:rPr>
        <w:t>ATOMiK  ·  State-Aware Compute Architecture  ·  Pre-Seed  ·  May 2026</w:t>
      </w:r>
    </w:p>
    <w:p/>
    <w:p>
      <w:r>
        <w:rPr>
          <w:b/>
          <w:sz w:val="22"/>
        </w:rPr>
        <w:t>CONFIDENTIAL — DATA ROOM DOCUMENT — NOT FOR PUBLIC DISTRIBUTION</w:t>
      </w:r>
    </w:p>
    <w:p>
      <w:r>
        <w:rPr>
          <w:sz w:val="18"/>
        </w:rPr>
        <w:t>Last updated: May 2026. Requires counsel review before investor distribution.</w:t>
      </w:r>
    </w:p>
    <w:p/>
    <w:p>
      <w:pPr>
        <w:pStyle w:val="Heading1"/>
      </w:pPr>
      <w:r>
        <w:rPr>
          <w:color w:val="070B12"/>
        </w:rPr>
        <w:t>Current Entity Status</w:t>
      </w:r>
    </w:p>
    <w:p>
      <w:r>
        <w:rPr>
          <w:sz w:val="22"/>
        </w:rPr>
        <w:t>Current operating entity per internal data-room record: Rockwell Industries, LLC, California LLC, active. EIN/address details are intentionally kept out of public send materials.</w:t>
      </w:r>
    </w:p>
    <w:p>
      <w:r>
        <w:rPr>
          <w:b/>
          <w:sz w:val="22"/>
        </w:rPr>
        <w:t>Intended venture-financing path: Delaware C-Corp conversion or formation path before institutional close, pending counsel.</w:t>
      </w:r>
    </w:p>
    <w:p>
      <w:r>
        <w:rPr>
          <w:sz w:val="22"/>
        </w:rPr>
        <w:t>Investor-safe wording: current entity and IP records exist, but final VC-ready corporate structure, cap table, and close documents require counsel review.</w:t>
      </w:r>
    </w:p>
    <w:p>
      <w:pPr>
        <w:pStyle w:val="Heading1"/>
      </w:pPr>
      <w:r>
        <w:rPr>
          <w:color w:val="070B12"/>
        </w:rPr>
        <w:t>Intellectual Property</w:t>
      </w:r>
    </w:p>
    <w:p>
      <w:r>
        <w:rPr>
          <w:sz w:val="22"/>
        </w:rPr>
        <w:t>Provisional patent filed — see data room 03_intellectual_property for filing details.</w:t>
      </w:r>
    </w:p>
    <w:p>
      <w:r>
        <w:rPr>
          <w:sz w:val="22"/>
        </w:rPr>
        <w:t>Patent conversion funded in pre-seed budget ($300K IP/legal allocation).</w:t>
      </w:r>
    </w:p>
    <w:p>
      <w:r>
        <w:rPr>
          <w:sz w:val="22"/>
        </w:rPr>
        <w:t>Current founder IP assignment template assigns to Rockwell Industries, LLC. Counsel must confirm whether assignment remains with the LLC, moves to a Delaware C-Corp, or is handled through conversion/assignment chain before close.</w:t>
      </w:r>
    </w:p>
    <w:p>
      <w:r>
        <w:rPr>
          <w:b/>
          <w:sz w:val="22"/>
        </w:rPr>
        <w:t>Do not state that final post-close IP assignment is complete until counsel confirms it.</w:t>
      </w:r>
    </w:p>
    <w:p>
      <w:pPr>
        <w:pStyle w:val="Heading1"/>
      </w:pPr>
      <w:r>
        <w:rPr>
          <w:color w:val="070B12"/>
        </w:rPr>
        <w:t>Capitalization</w:t>
      </w:r>
    </w:p>
    <w:p>
      <w:r>
        <w:rPr>
          <w:sz w:val="22"/>
        </w:rPr>
        <w:t>See ATOMiK_Financial_Model.xlsx → Cap Table Draft sheet.</w:t>
      </w:r>
    </w:p>
    <w:p>
      <w:r>
        <w:rPr>
          <w:sz w:val="22"/>
        </w:rPr>
        <w:t>Formal cap table requires incorporation/conversion records, founder stock issuance or equivalent conversion records, option-pool decision, and counsel-reviewed financing documents.</w:t>
      </w:r>
    </w:p>
    <w:p>
      <w:r>
        <w:rPr>
          <w:sz w:val="22"/>
        </w:rPr>
        <w:t>Pre-seed instrument currently planned: SAFE, with final structure pending CFO/counsel. Valuation cap, discount, pro-rata rights, side letters, and close mechanics require CFO/counsel approval.</w:t>
      </w:r>
    </w:p>
    <w:p>
      <w:pPr>
        <w:pStyle w:val="Heading1"/>
      </w:pPr>
      <w:r>
        <w:rPr>
          <w:color w:val="070B12"/>
        </w:rPr>
        <w:t>Employment &amp; Contractors</w:t>
      </w:r>
    </w:p>
    <w:p>
      <w:r>
        <w:rPr>
          <w:sz w:val="22"/>
        </w:rPr>
        <w:t>Current status for investor materials: founder-led, with first hires/fractional roles planned after financing. Any contractor/advisor arrangement should be documented before being presented as part of the company team or cap table.</w:t>
      </w:r>
    </w:p>
    <w:p>
      <w:r>
        <w:rPr>
          <w:sz w:val="22"/>
        </w:rPr>
        <w:t>Recommended before close: founder employment/consulting status reviewed by counsel, consulting agreements for any contractors, and IP assignment for all contributors.</w:t>
      </w:r>
    </w:p>
    <w:p>
      <w:pPr>
        <w:pStyle w:val="Heading1"/>
      </w:pPr>
      <w:r>
        <w:rPr>
          <w:color w:val="070B12"/>
        </w:rPr>
        <w:t>Before-Close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896"/>
          </w:tcPr>
          <w:p>
            <w:r>
              <w:rPr>
                <w:b/>
                <w:sz w:val="19"/>
              </w:rPr>
              <w:t>Document / Gate</w:t>
            </w:r>
          </w:p>
        </w:tc>
        <w:tc>
          <w:tcPr>
            <w:tcW w:type="dxa" w:w="4896"/>
          </w:tcPr>
          <w:p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  <w:t>Delaware C-Corp conversion or formation plan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PENDING COUNSEL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  <w:t>Founder stock issuance / conversion-equivalent records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PENDING COUNSEL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  <w:t>Founder IP assignment into correct post-close entity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PENDING COUNSEL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  <w:t>SAFE template and side letters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PENDING CFO/COUNSEL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  <w:t>Cap table setup and option-pool decision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PENDING CFO/COUNSEL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  <w:t>Prior obligations / advisor promises / contractor rights check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PENDING COUNSEL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  <w:t>Provisional patent filing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FILED / SEE IP DATA ROOM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  <w:t>Patent conversion plan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FUNDED IN PRE-SEED PLAN</w:t>
            </w:r>
          </w:p>
        </w:tc>
      </w:tr>
    </w:tbl>
    <w:p/>
    <w:p>
      <w:pPr>
        <w:pStyle w:val="Heading1"/>
      </w:pPr>
      <w:r>
        <w:rPr>
          <w:color w:val="070B12"/>
        </w:rPr>
        <w:t>Legal / IP Attachment 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  <w:sz w:val="16"/>
              </w:rPr>
              <w:t>Attachment</w:t>
            </w:r>
          </w:p>
        </w:tc>
        <w:tc>
          <w:tcPr>
            <w:tcW w:type="dxa" w:w="2928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2928"/>
          </w:tcPr>
          <w:p>
            <w:r>
              <w:rPr>
                <w:b/>
                <w:sz w:val="16"/>
              </w:rPr>
              <w:t>Diligence note</w:t>
            </w:r>
          </w:p>
        </w:tc>
      </w:tr>
      <w:tr>
        <w:tc>
          <w:tcPr>
            <w:tcW w:type="dxa" w:w="2928"/>
          </w:tcPr>
          <w:p>
            <w:r>
              <w:rPr>
                <w:sz w:val="16"/>
              </w:rPr>
              <w:t>California LLC entity record</w:t>
            </w:r>
          </w:p>
        </w:tc>
        <w:tc>
          <w:tcPr>
            <w:tcW w:type="dxa" w:w="2928"/>
          </w:tcPr>
          <w:p>
            <w:r>
              <w:rPr>
                <w:sz w:val="16"/>
              </w:rPr>
              <w:t>Available internally / controlled</w:t>
            </w:r>
          </w:p>
        </w:tc>
        <w:tc>
          <w:tcPr>
            <w:tcW w:type="dxa" w:w="2928"/>
          </w:tcPr>
          <w:p>
            <w:r>
              <w:rPr>
                <w:sz w:val="16"/>
              </w:rPr>
              <w:t>Attach or refresh before serious diligence</w:t>
            </w:r>
          </w:p>
        </w:tc>
      </w:tr>
      <w:tr>
        <w:tc>
          <w:tcPr>
            <w:tcW w:type="dxa" w:w="2928"/>
          </w:tcPr>
          <w:p>
            <w:r>
              <w:rPr>
                <w:sz w:val="16"/>
              </w:rPr>
              <w:t>Founder IP assignment template</w:t>
            </w:r>
          </w:p>
        </w:tc>
        <w:tc>
          <w:tcPr>
            <w:tcW w:type="dxa" w:w="2928"/>
          </w:tcPr>
          <w:p>
            <w:r>
              <w:rPr>
                <w:sz w:val="16"/>
              </w:rPr>
              <w:t>Available as template / counsel review pending</w:t>
            </w:r>
          </w:p>
        </w:tc>
        <w:tc>
          <w:tcPr>
            <w:tcW w:type="dxa" w:w="2928"/>
          </w:tcPr>
          <w:p>
            <w:r>
              <w:rPr>
                <w:sz w:val="16"/>
              </w:rPr>
              <w:t>Do not claim final assignment chain complete</w:t>
            </w:r>
          </w:p>
        </w:tc>
      </w:tr>
      <w:tr>
        <w:tc>
          <w:tcPr>
            <w:tcW w:type="dxa" w:w="2928"/>
          </w:tcPr>
          <w:p>
            <w:r>
              <w:rPr>
                <w:sz w:val="16"/>
              </w:rPr>
              <w:t>Provisional patent filing receipt</w:t>
            </w:r>
          </w:p>
        </w:tc>
        <w:tc>
          <w:tcPr>
            <w:tcW w:type="dxa" w:w="2928"/>
          </w:tcPr>
          <w:p>
            <w:r>
              <w:rPr>
                <w:sz w:val="16"/>
              </w:rPr>
              <w:t>Available / controlled</w:t>
            </w:r>
          </w:p>
        </w:tc>
        <w:tc>
          <w:tcPr>
            <w:tcW w:type="dxa" w:w="2928"/>
          </w:tcPr>
          <w:p>
            <w:r>
              <w:rPr>
                <w:sz w:val="16"/>
              </w:rPr>
              <w:t>Counsel-controlled or NDA path</w:t>
            </w:r>
          </w:p>
        </w:tc>
      </w:tr>
      <w:tr>
        <w:tc>
          <w:tcPr>
            <w:tcW w:type="dxa" w:w="2928"/>
          </w:tcPr>
          <w:p>
            <w:r>
              <w:rPr>
                <w:sz w:val="16"/>
              </w:rPr>
              <w:t>Provisional patent cover sheet or filing confirmation</w:t>
            </w:r>
          </w:p>
        </w:tc>
        <w:tc>
          <w:tcPr>
            <w:tcW w:type="dxa" w:w="2928"/>
          </w:tcPr>
          <w:p>
            <w:r>
              <w:rPr>
                <w:sz w:val="16"/>
              </w:rPr>
              <w:t>Available / controlled</w:t>
            </w:r>
          </w:p>
        </w:tc>
        <w:tc>
          <w:tcPr>
            <w:tcW w:type="dxa" w:w="2928"/>
          </w:tcPr>
          <w:p>
            <w:r>
              <w:rPr>
                <w:sz w:val="16"/>
              </w:rPr>
              <w:t>Use investor-safe patent summary for broad follow-up</w:t>
            </w:r>
          </w:p>
        </w:tc>
      </w:tr>
      <w:tr>
        <w:tc>
          <w:tcPr>
            <w:tcW w:type="dxa" w:w="2928"/>
          </w:tcPr>
          <w:p>
            <w:r>
              <w:rPr>
                <w:sz w:val="16"/>
              </w:rPr>
              <w:t>Patent conversion calendar</w:t>
            </w:r>
          </w:p>
        </w:tc>
        <w:tc>
          <w:tcPr>
            <w:tcW w:type="dxa" w:w="2928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2928"/>
          </w:tcPr>
          <w:p>
            <w:r>
              <w:rPr>
                <w:sz w:val="16"/>
              </w:rPr>
              <w:t>Track conversion deadline and counsel owner</w:t>
            </w:r>
          </w:p>
        </w:tc>
      </w:tr>
      <w:tr>
        <w:tc>
          <w:tcPr>
            <w:tcW w:type="dxa" w:w="2928"/>
          </w:tcPr>
          <w:p>
            <w:r>
              <w:rPr>
                <w:sz w:val="16"/>
              </w:rPr>
              <w:t>Cap table draft</w:t>
            </w:r>
          </w:p>
        </w:tc>
        <w:tc>
          <w:tcPr>
            <w:tcW w:type="dxa" w:w="2928"/>
          </w:tcPr>
          <w:p>
            <w:r>
              <w:rPr>
                <w:sz w:val="16"/>
              </w:rPr>
              <w:t>Pending counsel/CFO</w:t>
            </w:r>
          </w:p>
        </w:tc>
        <w:tc>
          <w:tcPr>
            <w:tcW w:type="dxa" w:w="2928"/>
          </w:tcPr>
          <w:p>
            <w:r>
              <w:rPr>
                <w:sz w:val="16"/>
              </w:rPr>
              <w:t>Do not circulate as final cap table</w:t>
            </w:r>
          </w:p>
        </w:tc>
      </w:tr>
      <w:tr>
        <w:tc>
          <w:tcPr>
            <w:tcW w:type="dxa" w:w="2928"/>
          </w:tcPr>
          <w:p>
            <w:r>
              <w:rPr>
                <w:sz w:val="16"/>
              </w:rPr>
              <w:t>SAFE template</w:t>
            </w:r>
          </w:p>
        </w:tc>
        <w:tc>
          <w:tcPr>
            <w:tcW w:type="dxa" w:w="2928"/>
          </w:tcPr>
          <w:p>
            <w:r>
              <w:rPr>
                <w:sz w:val="16"/>
              </w:rPr>
              <w:t>Pending counsel</w:t>
            </w:r>
          </w:p>
        </w:tc>
        <w:tc>
          <w:tcPr>
            <w:tcW w:type="dxa" w:w="2928"/>
          </w:tcPr>
          <w:p>
            <w:r>
              <w:rPr>
                <w:sz w:val="16"/>
              </w:rPr>
              <w:t>Do not quote finalized cap or side-letter terms</w:t>
            </w:r>
          </w:p>
        </w:tc>
      </w:tr>
      <w:tr>
        <w:tc>
          <w:tcPr>
            <w:tcW w:type="dxa" w:w="2928"/>
          </w:tcPr>
          <w:p>
            <w:r>
              <w:rPr>
                <w:sz w:val="16"/>
              </w:rPr>
              <w:t>Contractor/advisor IP assignment agreements</w:t>
            </w:r>
          </w:p>
        </w:tc>
        <w:tc>
          <w:tcPr>
            <w:tcW w:type="dxa" w:w="2928"/>
          </w:tcPr>
          <w:p>
            <w:r>
              <w:rPr>
                <w:sz w:val="16"/>
              </w:rPr>
              <w:t>None / pending / available as applicable</w:t>
            </w:r>
          </w:p>
        </w:tc>
        <w:tc>
          <w:tcPr>
            <w:tcW w:type="dxa" w:w="2928"/>
          </w:tcPr>
          <w:p>
            <w:r>
              <w:rPr>
                <w:sz w:val="16"/>
              </w:rPr>
              <w:t>Verify before close</w:t>
            </w:r>
          </w:p>
        </w:tc>
      </w:tr>
      <w:tr>
        <w:tc>
          <w:tcPr>
            <w:tcW w:type="dxa" w:w="2928"/>
          </w:tcPr>
          <w:p>
            <w:r>
              <w:rPr>
                <w:sz w:val="16"/>
              </w:rPr>
              <w:t>Counsel engagement status</w:t>
            </w:r>
          </w:p>
        </w:tc>
        <w:tc>
          <w:tcPr>
            <w:tcW w:type="dxa" w:w="2928"/>
          </w:tcPr>
          <w:p>
            <w:r>
              <w:rPr>
                <w:sz w:val="16"/>
              </w:rPr>
              <w:t>Pending / controlled note</w:t>
            </w:r>
          </w:p>
        </w:tc>
        <w:tc>
          <w:tcPr>
            <w:tcW w:type="dxa" w:w="2928"/>
          </w:tcPr>
          <w:p>
            <w:r>
              <w:rPr>
                <w:sz w:val="16"/>
              </w:rPr>
              <w:t>Update once counsel is retained for close</w:t>
            </w:r>
          </w:p>
        </w:tc>
      </w:tr>
    </w:tbl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