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ATOMiK - Team Overview</w:t>
      </w:r>
    </w:p>
    <w:p>
      <w:pPr>
        <w:jc w:val="center"/>
      </w:pPr>
      <w:r>
        <w:t>ATOMiK | State-Aware Compute Architecture | Pre-Seed | May 2026</w:t>
      </w:r>
    </w:p>
    <w:p>
      <w:r>
        <w:t>Current meeting representation: Keaton Savoie is the listed Aggie Angel Network representative. Allison Rossi, CMO, and Matthew H. Rockwell, Founder &amp; CEO, are representing ATOMiK for the Friday meeting.</w:t>
      </w:r>
    </w:p>
    <w:p>
      <w:pPr>
        <w:pStyle w:val="Heading1"/>
      </w:pPr>
      <w:r>
        <w:t>Core Team / Friday Meeting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Friday focus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r>
              <w:t>Matthew H. Rockwell</w:t>
            </w:r>
          </w:p>
        </w:tc>
        <w:tc>
          <w:tcPr>
            <w:tcW w:type="dxa" w:w="2160"/>
            <w:vAlign w:val="top"/>
          </w:tcPr>
          <w:p>
            <w:r>
              <w:t>Founder &amp; CEO</w:t>
            </w:r>
          </w:p>
        </w:tc>
        <w:tc>
          <w:tcPr>
            <w:tcW w:type="dxa" w:w="2160"/>
            <w:vAlign w:val="top"/>
          </w:tcPr>
          <w:p>
            <w:r>
              <w:t>Architecture, live proof, product direction, financing, and technical diligence.</w:t>
            </w:r>
          </w:p>
        </w:tc>
        <w:tc>
          <w:tcPr>
            <w:tcW w:type="dxa" w:w="2160"/>
            <w:vAlign w:val="top"/>
          </w:tcPr>
          <w:p>
            <w:r>
              <w:t>Owns the deck walk-through, proof posture, financial model, ask, and technical Q&amp;A. Email: matthew.h.rockwell@gmail.com.</w:t>
            </w:r>
          </w:p>
        </w:tc>
      </w:tr>
      <w:tr>
        <w:tc>
          <w:tcPr>
            <w:tcW w:type="dxa" w:w="2160"/>
            <w:vAlign w:val="top"/>
          </w:tcPr>
          <w:p>
            <w:r>
              <w:t>Allison Rossi</w:t>
            </w:r>
          </w:p>
        </w:tc>
        <w:tc>
          <w:tcPr>
            <w:tcW w:type="dxa" w:w="2160"/>
            <w:vAlign w:val="top"/>
          </w:tcPr>
          <w:p>
            <w:r>
              <w:t>CMO</w:t>
            </w:r>
          </w:p>
        </w:tc>
        <w:tc>
          <w:tcPr>
            <w:tcW w:type="dxa" w:w="2160"/>
            <w:vAlign w:val="top"/>
          </w:tcPr>
          <w:p>
            <w:r>
              <w:t>Messaging, positioning, buyer translation, commercialization, and AAN feedback capture.</w:t>
            </w:r>
          </w:p>
        </w:tc>
        <w:tc>
          <w:tcPr>
            <w:tcW w:type="dxa" w:w="2160"/>
            <w:vAlign w:val="top"/>
          </w:tcPr>
          <w:p>
            <w:r>
              <w:t>Not expected to present the technical deck. Highest-value role is translating the customer pain and facilitating design-partner/investor-feedback asks.</w:t>
            </w:r>
          </w:p>
        </w:tc>
      </w:tr>
    </w:tbl>
    <w:p>
      <w:pPr>
        <w:pStyle w:val="Heading1"/>
      </w:pPr>
      <w:r>
        <w:t>Planned First Hires Post-Close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t>Senior Hardware Engineer</w:t>
            </w:r>
          </w:p>
        </w:tc>
        <w:tc>
          <w:tcPr>
            <w:tcW w:type="dxa" w:w="4320"/>
          </w:tcPr>
          <w:p>
            <w:r>
              <w:t>ASIC-capable; RTL optimization, place-and-route, customer workload harness.</w:t>
            </w:r>
          </w:p>
        </w:tc>
      </w:tr>
      <w:tr>
        <w:tc>
          <w:tcPr>
            <w:tcW w:type="dxa" w:w="4320"/>
          </w:tcPr>
          <w:p>
            <w:r>
              <w:t>Customer Engineer / Solutions</w:t>
            </w:r>
          </w:p>
        </w:tc>
        <w:tc>
          <w:tcPr>
            <w:tcW w:type="dxa" w:w="4320"/>
          </w:tcPr>
          <w:p>
            <w:r>
              <w:t>Technical evaluation lead; customer workload proof execution and customer artifact packaging.</w:t>
            </w:r>
          </w:p>
        </w:tc>
      </w:tr>
      <w:tr>
        <w:tc>
          <w:tcPr>
            <w:tcW w:type="dxa" w:w="4320"/>
          </w:tcPr>
          <w:p>
            <w:r>
              <w:t>Fractional CFO</w:t>
            </w:r>
          </w:p>
        </w:tc>
        <w:tc>
          <w:tcPr>
            <w:tcW w:type="dxa" w:w="4320"/>
          </w:tcPr>
          <w:p>
            <w:r>
              <w:t>SAFE terms, investor reporting, financial model, board prep, close mechanics.</w:t>
            </w:r>
          </w:p>
        </w:tc>
      </w:tr>
    </w:tbl>
    <w:p>
      <w:pPr>
        <w:pStyle w:val="Heading1"/>
      </w:pPr>
      <w:r>
        <w:t>Advisory Board In Progress</w:t>
      </w:r>
    </w:p>
    <w:p>
      <w:r>
        <w:t>Target advisors: semiconductor IP expert, ASIC/tape-out mentor, enterprise sales advisor with hardware/IP background, and customer/design-partner connectors for edge, embedded, industrial, robotics, remote systems, and defense-adjacent markets.</w:t>
      </w:r>
    </w:p>
    <w:p>
      <w:r>
        <w:t>No advisors are formally signed as of May 2026. Advisor and counsel status should not be represented as closed until documentation exists.</w:t>
      </w:r>
    </w:p>
    <w:p>
      <w:pPr>
        <w:pStyle w:val="Heading1"/>
      </w:pPr>
      <w:r>
        <w:t>Key-Person Risk Mitigation</w:t>
      </w:r>
    </w:p>
    <w:p>
      <w:pPr>
        <w:pStyle w:val="ListBullet"/>
      </w:pPr>
      <w:r>
        <w:t>Senior hardware engineer planned post-close to support RTL optimization, customer workload harnesses, and ASIC-readiness work.</w:t>
      </w:r>
    </w:p>
    <w:p>
      <w:pPr>
        <w:pStyle w:val="ListBullet"/>
      </w:pPr>
      <w:r>
        <w:t>Customer / solutions engineer planned to execute workload proof, baseline mapping, and customer evaluation artifacts.</w:t>
      </w:r>
    </w:p>
    <w:p>
      <w:pPr>
        <w:pStyle w:val="ListBullet"/>
      </w:pPr>
      <w:r>
        <w:t>Fractional CFO needed for SAFE terms, investor reporting, financial model, and close mechanics.</w:t>
      </w:r>
    </w:p>
    <w:p>
      <w:pPr>
        <w:pStyle w:val="ListBullet"/>
      </w:pPr>
      <w:r>
        <w:t>IP counsel needed for patent conversion, assignment chain, prior-obligation review, and financing documents.</w:t>
      </w:r>
    </w:p>
    <w:p>
      <w:pPr>
        <w:pStyle w:val="ListBullet"/>
      </w:pPr>
      <w:r>
        <w:t>ASIC mentor or advisor needed before feasibility decisions and any future tape-out path.</w:t>
      </w:r>
    </w:p>
    <w:p>
      <w:pPr>
        <w:pStyle w:val="ListBullet"/>
      </w:pPr>
      <w:r>
        <w:t>CMO/commercial support now active through Allison Rossi for customer language, positioning, and meeting follow-up.</w:t>
      </w:r>
    </w:p>
    <w:p>
      <w:pPr>
        <w:pStyle w:val="Heading1"/>
      </w:pPr>
      <w:r>
        <w:t>Gaps Before Raise Close</w:t>
      </w:r>
    </w:p>
    <w:p>
      <w:pPr>
        <w:pStyle w:val="ListBullet"/>
      </w:pPr>
      <w:r>
        <w:t>Fractional CFO for SAFE terms and financial model review.</w:t>
      </w:r>
    </w:p>
    <w:p>
      <w:pPr>
        <w:pStyle w:val="ListBullet"/>
      </w:pPr>
      <w:r>
        <w:t>IP counsel for patent conversion and SAFE review.</w:t>
      </w:r>
    </w:p>
    <w:p>
      <w:pPr>
        <w:pStyle w:val="ListBullet"/>
      </w:pPr>
      <w:r>
        <w:t>ASIC feasibility mentor funded in pre-seed.</w:t>
      </w:r>
    </w:p>
    <w:p>
      <w:pPr>
        <w:pStyle w:val="ListBullet"/>
      </w:pPr>
      <w:r>
        <w:t>Design-partner introductions and customer workload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