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Executive Summary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pPr>
        <w:pStyle w:val="Heading1"/>
      </w:pPr>
      <w:r>
        <w:rPr>
          <w:color w:val="070B12"/>
        </w:rPr>
        <w:t>What ATOMiK Is</w:t>
      </w:r>
    </w:p>
    <w:p>
      <w:r>
        <w:rPr>
          <w:sz w:val="22"/>
        </w:rPr>
        <w:t>ATOMiK is a state-aware compute architecture that helps constrained edge, embedded, and AI-at-the-edge teams evaluate whether they can reduce wasted state movement by tracking meaningful change instead of repeatedly moving, scanning, syncing, replaying, or rebuilding full state.</w:t>
      </w:r>
    </w:p>
    <w:p>
      <w:r>
        <w:rPr>
          <w:b/>
          <w:sz w:val="22"/>
        </w:rPr>
        <w:t>The company is raising a $5M target pre-seed to move from hardware-backed primitive proof to measured customer workload proof, IP diligence, and ASIC feasibility. The round does not fund tape-out.</w:t>
      </w:r>
    </w:p>
    <w:p>
      <w:pPr>
        <w:pStyle w:val="Heading1"/>
      </w:pPr>
      <w:r>
        <w:rPr>
          <w:color w:val="070B12"/>
        </w:rPr>
        <w:t>Why It Matters</w:t>
      </w:r>
    </w:p>
    <w:p>
      <w:pPr>
        <w:pStyle w:val="ListBullet"/>
      </w:pPr>
      <w:r>
        <w:rPr>
          <w:sz w:val="21"/>
        </w:rPr>
        <w:t>Buyer pain: battery budget, enclosure heat, link budget, update latency, reliability, size, and weight.</w:t>
      </w:r>
    </w:p>
    <w:p>
      <w:pPr>
        <w:pStyle w:val="ListBullet"/>
      </w:pPr>
      <w:r>
        <w:rPr>
          <w:sz w:val="21"/>
        </w:rPr>
        <w:t>First wedge: one state-heavy workload, one current baseline, and one painful constraint expensive enough to evaluate.</w:t>
      </w:r>
    </w:p>
    <w:p>
      <w:pPr>
        <w:pStyle w:val="ListBullet"/>
      </w:pPr>
      <w:r>
        <w:rPr>
          <w:sz w:val="21"/>
        </w:rPr>
        <w:t>Why now: energy, bandwidth, thermal, and local-compute pressure are rising; IEA/LBNL figures are market context, not ATOMiK savings claims.</w:t>
      </w:r>
    </w:p>
    <w:p>
      <w:pPr>
        <w:pStyle w:val="Heading1"/>
      </w:pPr>
      <w:r>
        <w:rPr>
          <w:color w:val="070B12"/>
        </w:rPr>
        <w:t>Market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</w:tcPr>
          <w:p>
            <w:r>
              <w:rPr>
                <w:sz w:val="19"/>
              </w:rPr>
              <w:t>TAM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$1T+ 2026 semiconductor revenue backdrop. Context only; ATOMiK does not address all semiconductor spend.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SAM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$112B-$169B embedded systems market range from 2024 estimate to 2030 forecast; edge AI adds adjacent pressure.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Entry wedge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$10M-$40M early annual revenue path from paid evaluations, design partners, and licensing if proof converts; not a ceiling or forecast.</w:t>
            </w:r>
          </w:p>
        </w:tc>
      </w:tr>
      <w:tr>
        <w:tc>
          <w:tcPr>
            <w:tcW w:type="dxa" w:w="2376"/>
          </w:tcPr>
          <w:p>
            <w:r>
              <w:rPr>
                <w:sz w:val="19"/>
              </w:rPr>
              <w:t>IP/licensing context</w:t>
            </w:r>
          </w:p>
        </w:tc>
        <w:tc>
          <w:tcPr>
            <w:tcW w:type="dxa" w:w="7416"/>
          </w:tcPr>
          <w:p>
            <w:r>
              <w:rPr>
                <w:sz w:val="19"/>
              </w:rPr>
              <w:t>$8.14B 2025 to $11.2B 2029 semiconductor IP market context.</w:t>
            </w:r>
          </w:p>
        </w:tc>
      </w:tr>
    </w:tbl>
    <w:p/>
    <w:p>
      <w:pPr>
        <w:pStyle w:val="Heading1"/>
      </w:pPr>
      <w:r>
        <w:rPr>
          <w:color w:val="070B12"/>
        </w:rPr>
        <w:t>Evaluation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>
              <w:rPr>
                <w:sz w:val="19"/>
              </w:rPr>
              <w:t>Give us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One state-heavy workload, current baseline, and painful constraint.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We evaluate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Where state movement creates waste and whether ATOMiK can improve that path.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You receive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Workload map, baseline comparison, evidence map, fit/no-fit recommendation, and next-step plan.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Success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Measured improvement against one agreed metric while preserving correctness.</w:t>
            </w:r>
          </w:p>
        </w:tc>
      </w:tr>
    </w:tbl>
    <w:p/>
    <w:p>
      <w:pPr>
        <w:pStyle w:val="Heading1"/>
      </w:pPr>
      <w:r>
        <w:rPr>
          <w:color w:val="070B12"/>
        </w:rPr>
        <w:t>Proof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</w:tcPr>
          <w:p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768"/>
          </w:tcPr>
          <w:p>
            <w:r>
              <w:rPr>
                <w:b/>
                <w:sz w:val="19"/>
              </w:rPr>
              <w:t>Evidence Boundary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Zynq Desk v0.40-A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HARDWARE_VALIDATED — live UI proof image captured from /dev/fb0, driven by real measured on-board data; not product maturity or performance proof.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Parallel-bank throughput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LIVE_MEASURED — AX7020 8-bank accumulator scales 1/2/4/8x; byte-identical to software recompute. Throughput substrate, not a customer-workload speedup.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Linux userspace to FPGA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HARDWARE_VALIDATED — documented OS-to-bus path with 16/16 property checks.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AX7020 matrix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LIVE_MEASURED — workload-specific wins and losses; quote with caveats.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Lean4-checked formal algebra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FORMAL_PROOF where directly audited; otherwise SOFTWARE_VALIDATED / proof work present. Exact formal claims remain bounded to audited properties.</w:t>
            </w:r>
          </w:p>
        </w:tc>
      </w:tr>
      <w:tr>
        <w:tc>
          <w:tcPr>
            <w:tcW w:type="dxa" w:w="3024"/>
          </w:tcPr>
          <w:p>
            <w:r>
              <w:rPr>
                <w:sz w:val="19"/>
              </w:rPr>
              <w:t>SD boot artifacts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BUILD_ARTIFACT — build output exists; power-on run artifact still gated.</w:t>
            </w:r>
          </w:p>
        </w:tc>
      </w:tr>
    </w:tbl>
    <w:p/>
    <w:p>
      <w:pPr>
        <w:pStyle w:val="Heading1"/>
      </w:pPr>
      <w:r>
        <w:rPr>
          <w:color w:val="070B12"/>
        </w:rPr>
        <w:t>Business Path</w:t>
      </w:r>
    </w:p>
    <w:p>
      <w:r>
        <w:rPr>
          <w:sz w:val="22"/>
        </w:rPr>
        <w:t>Paid proof reviews and technical evaluations -&gt; design-partner evaluations -&gt; IP/licensing diligence -&gt; strategic licensing or platform partnership if workload proof supports it.</w:t>
      </w:r>
    </w:p>
    <w:p>
      <w:r>
        <w:rPr>
          <w:sz w:val="18"/>
        </w:rPr>
        <w:t>Defensibility wedge: Lean4-checked formal algebra, FPGA hardware validation, and an IP/proof registry. This is presented as a proof-bound diligence asset, not as a customer outcome claim.</w:t>
      </w:r>
    </w:p>
    <w:p>
      <w:r>
        <w:rPr>
          <w:sz w:val="18"/>
        </w:rPr>
        <w:t>Return narrative: pre-seed capital buys diligence assets a strategic partner can evaluate: workload proof, IP status, integration path, and ASIC feasibility. No exit, valuation, or return multiple is implied.</w:t>
      </w:r>
    </w:p>
    <w:p>
      <w:pPr>
        <w:pStyle w:val="Heading1"/>
      </w:pPr>
      <w:r>
        <w:rPr>
          <w:color w:val="070B12"/>
        </w:rPr>
        <w:t>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>
              <w:rPr>
                <w:sz w:val="19"/>
              </w:rPr>
              <w:t>Target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$5M pre-seed target; staged close terms counsel/CFO pending.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Use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$1.5M engineering, $1.0M customer proof, $750K IP/legal, $750K ASIC feasibility, $1.0M finance/GTM/ops + reserve.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Need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Capital, design-partner introductions, qualified workload access, and ASIC/IP diligence support.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7560"/>
          </w:tcPr>
          <w:p>
            <w:r>
              <w:rPr>
                <w:sz w:val="19"/>
              </w:rPr>
              <w:t>SAFE terms, valuation cap, discount, and close mechanics require CFO/counsel approval.</w:t>
            </w:r>
          </w:p>
        </w:tc>
      </w:tr>
    </w:tbl>
    <w:p/>
    <w:p>
      <w:pPr>
        <w:pStyle w:val="Heading1"/>
      </w:pPr>
      <w:r>
        <w:rPr>
          <w:color w:val="070B12"/>
        </w:rPr>
        <w:t>Evidence Boundary</w:t>
      </w:r>
    </w:p>
    <w:p>
      <w:r>
        <w:rPr>
          <w:sz w:val="18"/>
        </w:rPr>
        <w:t>Proof and financial claims remain artifact-bound or planning-only. Customer workload, production, revenue, and downstream battery, thermal, water, footprint, or ROI outcomes require matching measured artifacts or signed documents.</w:t>
      </w:r>
    </w:p>
    <w:p>
      <w:pPr>
        <w:pStyle w:val="Heading1"/>
      </w:pPr>
      <w:r>
        <w:rPr>
          <w:color w:val="070B12"/>
        </w:rPr>
        <w:t>Contact</w:t>
      </w:r>
    </w:p>
    <w:p>
      <w:r>
        <w:rPr>
          <w:sz w:val="18"/>
        </w:rPr>
        <w:t>Matthew Rockwell — Founder</w:t>
        <w:br/>
        <w:t>matthew.h.rockwell@gmail.com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