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tomik"/>
    <w:p>
      <w:pPr>
        <w:pStyle w:val="Heading1"/>
      </w:pPr>
      <w:r>
        <w:t xml:space="preserve">ATOMiK</w:t>
      </w:r>
    </w:p>
    <w:p>
      <w:pPr>
        <w:pStyle w:val="FirstParagraph"/>
      </w:pPr>
      <w:r>
        <w:rPr>
          <w:bCs/>
          <w:b/>
        </w:rPr>
        <w:t xml:space="preserve">State-aware compute evaluation for edge and embedded teams constrained by battery, heat, bandwidth, latency, reliability, or hardware footprint.</w:t>
      </w:r>
    </w:p>
    <w:bookmarkStart w:id="20" w:name="the-customer-problem"/>
    <w:p>
      <w:pPr>
        <w:pStyle w:val="Heading2"/>
      </w:pPr>
      <w:r>
        <w:t xml:space="preserve">The Customer Problem</w:t>
      </w:r>
    </w:p>
    <w:p>
      <w:pPr>
        <w:pStyle w:val="FirstParagraph"/>
      </w:pPr>
      <w:r>
        <w:t xml:space="preserve">Many constrained systems spend too much work rediscovering what changed. They</w:t>
      </w:r>
      <w:r>
        <w:t xml:space="preserve"> </w:t>
      </w:r>
      <w:r>
        <w:t xml:space="preserve">move, scan, sync, replay, or rebuild state even when only a compact delta</w:t>
      </w:r>
      <w:r>
        <w:t xml:space="preserve"> </w:t>
      </w:r>
      <w:r>
        <w:t xml:space="preserve">matters. In edge and embedded systems, that waste can become battery drain,</w:t>
      </w:r>
      <w:r>
        <w:t xml:space="preserve"> </w:t>
      </w:r>
      <w:r>
        <w:t xml:space="preserve">thermal pressure, latency, bandwidth pressure, field-service risk, and hardware</w:t>
      </w:r>
      <w:r>
        <w:t xml:space="preserve"> </w:t>
      </w:r>
      <w:r>
        <w:t xml:space="preserve">overbuild.</w:t>
      </w:r>
    </w:p>
    <w:p>
      <w:pPr>
        <w:pStyle w:val="BodyText"/>
      </w:pPr>
      <w:r>
        <w:t xml:space="preserve">Data-center power, cooling, water, and sustainability pressures matter, but they</w:t>
      </w:r>
      <w:r>
        <w:t xml:space="preserve"> </w:t>
      </w:r>
      <w:r>
        <w:t xml:space="preserve">are second-order expansion narratives until ATOMiK has workload-specific</w:t>
      </w:r>
      <w:r>
        <w:t xml:space="preserve"> </w:t>
      </w:r>
      <w:r>
        <w:t xml:space="preserve">measurement in that environment.</w:t>
      </w:r>
    </w:p>
    <w:bookmarkEnd w:id="20"/>
    <w:bookmarkStart w:id="21" w:name="what-customers-get"/>
    <w:p>
      <w:pPr>
        <w:pStyle w:val="Heading2"/>
      </w:pPr>
      <w:r>
        <w:t xml:space="preserve">What Customers Get</w:t>
      </w:r>
    </w:p>
    <w:p>
      <w:pPr>
        <w:pStyle w:val="FirstParagraph"/>
      </w:pPr>
      <w:r>
        <w:t xml:space="preserve">ATOMiK is evaluated where avoided state work may create business value: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Lower state-movement cost:</w:t>
      </w:r>
      <w:r>
        <w:t xml:space="preserve"> </w:t>
      </w:r>
      <w:r>
        <w:t xml:space="preserve">fewer bytes moved, transfers avoided, or scans skipped.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Faster constrained state paths:</w:t>
      </w:r>
      <w:r>
        <w:t xml:space="preserve"> </w:t>
      </w:r>
      <w:r>
        <w:t xml:space="preserve">lower update or reconstruction latency where the path fits.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Lower bandwidth pressure:</w:t>
      </w:r>
      <w:r>
        <w:t xml:space="preserve"> </w:t>
      </w:r>
      <w:r>
        <w:t xml:space="preserve">move compact deltas instead of repeated full-state updates when measured.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Power or thermal pressure reduction:</w:t>
      </w:r>
      <w:r>
        <w:t xml:space="preserve"> </w:t>
      </w:r>
      <w:r>
        <w:t xml:space="preserve">evaluation target when instrumentation or a responsible proxy exists.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Clear fit/no-fit evidence:</w:t>
      </w:r>
      <w:r>
        <w:t xml:space="preserve"> </w:t>
      </w:r>
      <w:r>
        <w:t xml:space="preserve">a decision about whether the workload justifies deeper evaluation.</w:t>
      </w:r>
    </w:p>
    <w:p>
      <w:pPr>
        <w:pStyle w:val="FirstParagraph"/>
      </w:pPr>
      <w:r>
        <w:t xml:space="preserve">Battery, heat, cooling, water, footprint, and hardware-profile improvements are</w:t>
      </w:r>
      <w:r>
        <w:t xml:space="preserve"> </w:t>
      </w:r>
      <w:r>
        <w:t xml:space="preserve">evaluation targets until measured on a specific workload.</w:t>
      </w:r>
    </w:p>
    <w:bookmarkEnd w:id="21"/>
    <w:bookmarkStart w:id="22" w:name="what-atomik-is"/>
    <w:p>
      <w:pPr>
        <w:pStyle w:val="Heading2"/>
      </w:pPr>
      <w:r>
        <w:t xml:space="preserve">What ATOMiK Is</w:t>
      </w:r>
    </w:p>
    <w:p>
      <w:pPr>
        <w:pStyle w:val="FirstParagraph"/>
      </w:pPr>
      <w:r>
        <w:t xml:space="preserve">ATOMiK makes change the unit of compute:</w:t>
      </w:r>
    </w:p>
    <w:p>
      <w:pPr>
        <w:pStyle w:val="SourceCode"/>
      </w:pPr>
      <w:r>
        <w:rPr>
          <w:rStyle w:val="VerbatimChar"/>
        </w:rPr>
        <w:t xml:space="preserve">state = reference_state XOR accumulated_delta</w:t>
      </w:r>
    </w:p>
    <w:p>
      <w:pPr>
        <w:pStyle w:val="FirstParagraph"/>
      </w:pPr>
      <w:r>
        <w:t xml:space="preserve">It keeps a known reference state, accumulates compact deltas, reconstructs only</w:t>
      </w:r>
      <w:r>
        <w:t xml:space="preserve"> </w:t>
      </w:r>
      <w:r>
        <w:t xml:space="preserve">when needed, and commits clean state epochs. The architecture is intended for</w:t>
      </w:r>
      <w:r>
        <w:t xml:space="preserve"> </w:t>
      </w:r>
      <w:r>
        <w:t xml:space="preserve">state-heavy workloads where repeated scans, sync, replay, reconstruction, or</w:t>
      </w:r>
      <w:r>
        <w:t xml:space="preserve"> </w:t>
      </w:r>
      <w:r>
        <w:t xml:space="preserve">full-state movement dominate the cost; it is not positioned as a general-purpose</w:t>
      </w:r>
      <w:r>
        <w:t xml:space="preserve"> </w:t>
      </w:r>
      <w:r>
        <w:t xml:space="preserve">CPU replacement.</w:t>
      </w:r>
    </w:p>
    <w:bookmarkEnd w:id="22"/>
    <w:bookmarkStart w:id="26" w:name="hardware-validated-ui-proof"/>
    <w:p>
      <w:pPr>
        <w:pStyle w:val="Heading2"/>
      </w:pPr>
      <w:r>
        <w:t xml:space="preserve">Hardware-Validated UI Proof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TOMiK Desk v0.40-A prototype UI captured live from the framebuffer on Zynq hardware" title="" id="24" name="Picture"/>
            <a:graphic>
              <a:graphicData uri="http://schemas.openxmlformats.org/drawingml/2006/picture">
                <pic:pic>
                  <pic:nvPicPr>
                    <pic:cNvPr descr="../../website/public/10-current-live-atomik-desk-v040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ATOMiK Desk v0.40-A prototype UI captured live from the framebuffer on Zynq hardware</w:t>
      </w:r>
    </w:p>
    <w:p>
      <w:pPr>
        <w:pStyle w:val="BodyText"/>
      </w:pPr>
      <w:r>
        <w:rPr>
          <w:bCs/>
          <w:b/>
        </w:rPr>
        <w:t xml:space="preserve">HARDWARE_VALIDATED:</w:t>
      </w:r>
      <w:r>
        <w:t xml:space="preserve"> </w:t>
      </w:r>
      <w:r>
        <w:t xml:space="preserve">ATOMiK Desk v0.40-A prototype UI captured from</w:t>
      </w:r>
      <w:r>
        <w:t xml:space="preserve"> </w:t>
      </w:r>
      <w:r>
        <w:rPr>
          <w:rStyle w:val="VerbatimChar"/>
        </w:rPr>
        <w:t xml:space="preserve">/dev/fb0</w:t>
      </w:r>
      <w:r>
        <w:t xml:space="preserve"> </w:t>
      </w:r>
      <w:r>
        <w:t xml:space="preserve">on live Zynq hardware, with on-screen metrics driven by real measured on-board</w:t>
      </w:r>
      <w:r>
        <w:t xml:space="preserve"> </w:t>
      </w:r>
      <w:r>
        <w:t xml:space="preserve">data. This proves the current live demo surface, not commercial product</w:t>
      </w:r>
      <w:r>
        <w:t xml:space="preserve"> </w:t>
      </w:r>
      <w:r>
        <w:t xml:space="preserve">maturity, performance, power, thermal, battery, water, or footprint outcomes.</w:t>
      </w:r>
    </w:p>
    <w:bookmarkEnd w:id="26"/>
    <w:bookmarkStart w:id="27" w:name="proof-stack"/>
    <w:p>
      <w:pPr>
        <w:pStyle w:val="Heading2"/>
      </w:pPr>
      <w:r>
        <w:t xml:space="preserve">Proof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Zynq Desk v0.40-A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HARDWARE_VALIDATED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public proof image, captured from /dev/fb0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Parallel-bank throughput on AX7020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8-bank accumulator scales 1/2/4/8x, byte-identical to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 userspace to FPGA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HARDWARE_VALIDATED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OS-to-bus validation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AX7020 board run 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artifact with interpretation caveats and workload-specific wins/losses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 proof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SOFTWARE_VALIDATED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algebraic proof work in repo; avoid public counts until audited across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Standalone SD boot artifacts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build output exists; public power-on artifact is still a gate</w:t>
            </w:r>
          </w:p>
        </w:tc>
      </w:tr>
    </w:tbl>
    <w:bookmarkEnd w:id="27"/>
    <w:bookmarkStart w:id="28" w:name="target-use-cases"/>
    <w:p>
      <w:pPr>
        <w:pStyle w:val="Heading2"/>
      </w:pPr>
      <w:r>
        <w:t xml:space="preserve">Target Use Cases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/ embedded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budget, enclosure heat, intermittent links, 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moved, update latency, bandwidth, power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at the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context/state movement, memory pressure, local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 avoided, context retained, response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/ industrial / robotics / defense-adjacent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wattage, packet budget, field runtime, size/weight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proxy, packet budget, update cost, reliability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 /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bill, cooling, water pressure, rack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moved, power/thermal proxy, measured workload energy path</w:t>
            </w:r>
          </w:p>
        </w:tc>
      </w:tr>
    </w:tbl>
    <w:p>
      <w:pPr>
        <w:pStyle w:val="BodyText"/>
      </w:pPr>
      <w:r>
        <w:t xml:space="preserve">The lead customer is the edge or embedded team that can bring one state-heavy</w:t>
      </w:r>
      <w:r>
        <w:t xml:space="preserve"> </w:t>
      </w:r>
      <w:r>
        <w:t xml:space="preserve">workload, one current baseline, and one painful constraint.</w:t>
      </w:r>
    </w:p>
    <w:bookmarkEnd w:id="28"/>
    <w:bookmarkStart w:id="29" w:name="evaluation-offer"/>
    <w:p>
      <w:pPr>
        <w:pStyle w:val="Heading2"/>
      </w:pPr>
      <w:r>
        <w:t xml:space="preserve">Evaluation Offer</w:t>
      </w:r>
    </w:p>
    <w:p>
      <w:pPr>
        <w:pStyle w:val="FirstParagraph"/>
      </w:pPr>
      <w:r>
        <w:t xml:space="preserve">Give us one state-heavy workload, your current baseline, and the constraint that</w:t>
      </w:r>
      <w:r>
        <w:t xml:space="preserve"> </w:t>
      </w:r>
      <w:r>
        <w:t xml:space="preserve">already hurts. We evaluate where state movement creates waste and whether ATOMiK</w:t>
      </w:r>
      <w:r>
        <w:t xml:space="preserve"> </w:t>
      </w:r>
      <w:r>
        <w:t xml:space="preserve">can improve the path. You receive a workload map, baseline comparison, evidence</w:t>
      </w:r>
      <w:r>
        <w:t xml:space="preserve"> </w:t>
      </w:r>
      <w:r>
        <w:t xml:space="preserve">map, fit/no-fit recommendation, and next-step plan. Success looks like measured</w:t>
      </w:r>
      <w:r>
        <w:t xml:space="preserve"> </w:t>
      </w:r>
      <w:r>
        <w:t xml:space="preserve">improvement against one agreed metric while preserving correctness.</w:t>
      </w:r>
    </w:p>
    <w:bookmarkEnd w:id="29"/>
    <w:bookmarkStart w:id="30" w:name="business-path"/>
    <w:p>
      <w:pPr>
        <w:pStyle w:val="Heading2"/>
      </w:pPr>
      <w:r>
        <w:t xml:space="preserve">Business Path</w:t>
      </w:r>
    </w:p>
    <w:p>
      <w:pPr>
        <w:pStyle w:val="FirstParagraph"/>
      </w:pPr>
      <w:r>
        <w:t xml:space="preserve">Near term: paid proof reviews, technical evaluations, design partners, IP</w:t>
      </w:r>
      <w:r>
        <w:t xml:space="preserve"> </w:t>
      </w:r>
      <w:r>
        <w:t xml:space="preserve">strengthening, and ASIC feasibility review.</w:t>
      </w:r>
    </w:p>
    <w:p>
      <w:pPr>
        <w:pStyle w:val="BodyText"/>
      </w:pPr>
      <w:r>
        <w:t xml:space="preserve">Longer term: strategic licensing or integration partnership optionality only if workload proof and IP diligence justify it.</w:t>
      </w:r>
    </w:p>
    <w:bookmarkEnd w:id="30"/>
    <w:bookmarkStart w:id="31" w:name="pre-seed-use-of-funds"/>
    <w:p>
      <w:pPr>
        <w:pStyle w:val="Heading2"/>
      </w:pPr>
      <w:r>
        <w:t xml:space="preserve">Pre-Seed Use Of Funds</w:t>
      </w:r>
    </w:p>
    <w:p>
      <w:pPr>
        <w:numPr>
          <w:ilvl w:val="0"/>
          <w:numId w:val="1002"/>
        </w:numPr>
        <w:pStyle w:val="Compact"/>
      </w:pPr>
      <w:r>
        <w:t xml:space="preserve">Convert provisional IP protection into stronger patent coverage.</w:t>
      </w:r>
    </w:p>
    <w:p>
      <w:pPr>
        <w:numPr>
          <w:ilvl w:val="0"/>
          <w:numId w:val="1002"/>
        </w:numPr>
        <w:pStyle w:val="Compact"/>
      </w:pPr>
      <w:r>
        <w:t xml:space="preserve">Run customer workload evaluations around state paths tied to battery, heat, power, bandwidth, latency, and footprint pressure.</w:t>
      </w:r>
    </w:p>
    <w:p>
      <w:pPr>
        <w:numPr>
          <w:ilvl w:val="0"/>
          <w:numId w:val="1002"/>
        </w:numPr>
        <w:pStyle w:val="Compact"/>
      </w:pPr>
      <w:r>
        <w:t xml:space="preserve">Bring in fractional CFO support for valuation and financing structure.</w:t>
      </w:r>
    </w:p>
    <w:p>
      <w:pPr>
        <w:numPr>
          <w:ilvl w:val="0"/>
          <w:numId w:val="1002"/>
        </w:numPr>
        <w:pStyle w:val="Compact"/>
      </w:pPr>
      <w:r>
        <w:t xml:space="preserve">Add ASIC mentorship before any tape-out decision.</w:t>
      </w:r>
    </w:p>
    <w:p>
      <w:pPr>
        <w:numPr>
          <w:ilvl w:val="0"/>
          <w:numId w:val="1002"/>
        </w:numPr>
        <w:pStyle w:val="Compact"/>
      </w:pPr>
      <w:r>
        <w:t xml:space="preserve">Package the Zynq demo into a lower-friction investor and customer proof system.</w:t>
      </w:r>
    </w:p>
    <w:bookmarkEnd w:id="31"/>
    <w:bookmarkStart w:id="32" w:name="financial-discipline"/>
    <w:p>
      <w:pPr>
        <w:pStyle w:val="Heading2"/>
      </w:pPr>
      <w:r>
        <w:t xml:space="preserve">Financial Discipline</w:t>
      </w:r>
    </w:p>
    <w:p>
      <w:pPr>
        <w:pStyle w:val="FirstParagraph"/>
      </w:pPr>
      <w:r>
        <w:t xml:space="preserve">The current working ask is a $2.0M target pre-seed, with a $1.25M minimum viable</w:t>
      </w:r>
      <w:r>
        <w:t xml:space="preserve"> </w:t>
      </w:r>
      <w:r>
        <w:t xml:space="preserve">close and a $2.75M stretch plan. The round funds customer workload measurements,</w:t>
      </w:r>
      <w:r>
        <w:t xml:space="preserve"> </w:t>
      </w:r>
      <w:r>
        <w:t xml:space="preserve">IP strengthening, CFO-reviewed financing structure, demo hardening, and ASIC</w:t>
      </w:r>
      <w:r>
        <w:t xml:space="preserve"> </w:t>
      </w:r>
      <w:r>
        <w:t xml:space="preserve">feasibility. It does not fund tape-out.</w:t>
      </w:r>
    </w:p>
    <w:p>
      <w:pPr>
        <w:pStyle w:val="BodyText"/>
      </w:pPr>
      <w:r>
        <w:t xml:space="preserve">Market benchmarks are context only: IEA/LBNL support the energy, cooling, and</w:t>
      </w:r>
      <w:r>
        <w:t xml:space="preserve"> </w:t>
      </w:r>
      <w:r>
        <w:t xml:space="preserve">water-pressure urgency; Carta/PitchBook/NVCA support financing market context;</w:t>
      </w:r>
      <w:r>
        <w:t xml:space="preserve"> </w:t>
      </w:r>
      <w:r>
        <w:t xml:space="preserve">SIA/WSTS supports the semiconductor-market backdrop. None of those sources prove</w:t>
      </w:r>
      <w:r>
        <w:t xml:space="preserve"> </w:t>
      </w:r>
      <w:r>
        <w:t xml:space="preserve">ATOMiK savings or set ATOMiK’s valuation.</w:t>
      </w:r>
    </w:p>
    <w:bookmarkEnd w:id="32"/>
    <w:bookmarkStart w:id="33" w:name="ask"/>
    <w:p>
      <w:pPr>
        <w:pStyle w:val="Heading2"/>
      </w:pPr>
      <w:r>
        <w:t xml:space="preserve">Ask</w:t>
      </w:r>
    </w:p>
    <w:p>
      <w:pPr>
        <w:pStyle w:val="FirstParagraph"/>
      </w:pPr>
      <w:r>
        <w:t xml:space="preserve">ATOMiK is seeking a $2.0M target pre-seed, design-partner introductions,</w:t>
      </w:r>
      <w:r>
        <w:t xml:space="preserve"> </w:t>
      </w:r>
      <w:r>
        <w:t xml:space="preserve">ASIC/IP diligence support, and customer workloads where battery, heat, power,</w:t>
      </w:r>
      <w:r>
        <w:t xml:space="preserve"> </w:t>
      </w:r>
      <w:r>
        <w:t xml:space="preserve">bandwidth, latency, reliability, or footprint are already painful. Final</w:t>
      </w:r>
      <w:r>
        <w:t xml:space="preserve"> </w:t>
      </w:r>
      <w:r>
        <w:t xml:space="preserve">financing terms require CFO/counsel approval.</w:t>
      </w:r>
    </w:p>
    <w:bookmarkEnd w:id="33"/>
    <w:bookmarkStart w:id="34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Request an investor briefing, technical evaluation, or design-partner</w:t>
      </w:r>
      <w:r>
        <w:t xml:space="preserve"> </w:t>
      </w:r>
      <w:r>
        <w:t xml:space="preserve">conversation:</w:t>
      </w:r>
      <w:r>
        <w:t xml:space="preserve"> </w:t>
      </w:r>
      <w:r>
        <w:rPr>
          <w:rStyle w:val="VerbatimChar"/>
        </w:rPr>
        <w:t xml:space="preserve">matthew.h.rockwell@gmail.com</w:t>
      </w:r>
    </w:p>
    <w:bookmarkEnd w:id="34"/>
    <w:bookmarkStart w:id="35" w:name="evidence-boundary"/>
    <w:p>
      <w:pPr>
        <w:pStyle w:val="Heading2"/>
      </w:pPr>
      <w:r>
        <w:t xml:space="preserve">Evidence Boundary</w:t>
      </w:r>
    </w:p>
    <w:p>
      <w:pPr>
        <w:pStyle w:val="FirstParagraph"/>
      </w:pPr>
      <w:r>
        <w:t xml:space="preserve">Live screenshots show current prototypes. Concept visuals show product direction</w:t>
      </w:r>
      <w:r>
        <w:t xml:space="preserve"> </w:t>
      </w:r>
      <w:r>
        <w:t xml:space="preserve">and are not represented as current commercial functionality. Performance,</w:t>
      </w:r>
      <w:r>
        <w:t xml:space="preserve"> </w:t>
      </w:r>
      <w:r>
        <w:t xml:space="preserve">thermal, water, battery, and footprint claims are only stated when backed by</w:t>
      </w:r>
      <w:r>
        <w:t xml:space="preserve"> </w:t>
      </w:r>
      <w:r>
        <w:t xml:space="preserve">measured artifacts for that exact claim.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2026-06-07T23:56:11Z</dcterms:created>
  <dcterms:modified xsi:type="dcterms:W3CDTF">2026-06-07T23:56:11Z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