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070B12"/>
          <w:sz w:val="48"/>
        </w:rPr>
        <w:t>ATOMiK — Product &amp; Technical Overview</w:t>
      </w:r>
    </w:p>
    <w:p>
      <w:r>
        <w:rPr>
          <w:color w:val="22D3EE"/>
          <w:sz w:val="20"/>
        </w:rPr>
        <w:t>ATOMiK  ·  State-Aware Compute Architecture  ·  Pre-Seed  ·  May 2026</w:t>
      </w:r>
    </w:p>
    <w:p/>
    <w:p>
      <w:r>
        <w:rPr>
          <w:b/>
          <w:sz w:val="18"/>
        </w:rPr>
        <w:t>DATA ROOM — TECHNICAL SUMMARY</w:t>
      </w:r>
    </w:p>
    <w:p>
      <w:pPr>
        <w:pStyle w:val="Heading1"/>
      </w:pPr>
      <w:r>
        <w:rPr>
          <w:color w:val="070B12"/>
        </w:rPr>
        <w:t>Architecture Overview</w:t>
      </w:r>
    </w:p>
    <w:p>
      <w:r>
        <w:rPr>
          <w:sz w:val="22"/>
        </w:rPr>
        <w:t>ATOMiK is a state-aware compute primitive implemented as FPGA-validated hardware IP for specific proof artifacts, with an ASIC feasibility path still to be reviewed. The core equation: state = reference_state XOR accumulated_delta</w:t>
      </w:r>
    </w:p>
    <w:p>
      <w:r>
        <w:rPr>
          <w:sz w:val="18"/>
        </w:rPr>
        <w:t>Plain-English diagram: traditional path = full state -&gt; scan/copy/sync/rebuild -&gt; full state again. ATOMiK path = reference state + accumulated deltas -&gt; coalesce where possible -&gt; READ only when needed -&gt; SWAP boundary.</w:t>
      </w:r>
    </w:p>
    <w:p>
      <w:r>
        <w:rPr>
          <w:sz w:val="22"/>
        </w:rPr>
        <w:t>Operations: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600"/>
          </w:tcPr>
          <w:p>
            <w:r>
              <w:rPr>
                <w:sz w:val="19"/>
              </w:rPr>
              <w:t>LOAD(addr, initial_state)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Write reference state to address slot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ACCUM(delta)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XOR a delta into the current accumulator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READ()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Reconstruct current state: reference XOR accumulated deltas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SWAP(addr)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Commit clean epoch boundary</w:t>
            </w:r>
          </w:p>
        </w:tc>
      </w:tr>
    </w:tbl>
    <w:p/>
    <w:p>
      <w:pPr>
        <w:pStyle w:val="Heading1"/>
      </w:pPr>
      <w:r>
        <w:rPr>
          <w:color w:val="070B12"/>
        </w:rPr>
        <w:t>Hardware Implementation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880"/>
          </w:tcPr>
          <w:p>
            <w:r>
              <w:rPr>
                <w:sz w:val="19"/>
              </w:rPr>
              <w:t>Platform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Zynq XC7Z020-2CLG484I (HamGeek RK-ZYNQ7020-F)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Soft CPU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VexRiscv SMP rv32ima in frozen Linux userspace baseline; NaxRiscv RV64GC SD-boot work remains build/bring-up context until promoted by run artifacts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ATOMiK core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Single-bank, 256×64-bit state table, LiteX Migen CSR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CSR base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0xf0000000 in frozen VexRiscv baseline; verify generated CSR map for each newer NaxRiscv/SD-boot build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Linux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Buildroot/Linux 6.9 in frozen userspace validation; Ubuntu/NaxRiscv work remains bring-up context unless linked to run artifacts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Bitstream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hamgeek_rk7020f.bit in frozen baseline; newer SD-boot bitstream should be cited by exact build artifact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FPGA utilization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Build-specific; do not quote utilization publicly without the matching synthesis artifact</w:t>
            </w:r>
          </w:p>
        </w:tc>
      </w:tr>
    </w:tbl>
    <w:p/>
    <w:p>
      <w:pPr>
        <w:pStyle w:val="Heading1"/>
      </w:pPr>
      <w:r>
        <w:rPr>
          <w:color w:val="070B12"/>
        </w:rPr>
        <w:t>Validated Proof</w:t>
      </w:r>
    </w:p>
    <w:p>
      <w:r>
        <w:rPr>
          <w:sz w:val="18"/>
        </w:rPr>
        <w:t>Each proof item below is intentionally separated to avoid treating different evidence labels as one blended claim.</w:t>
      </w:r>
    </w:p>
    <w:p>
      <w:pPr>
        <w:pStyle w:val="Heading2"/>
      </w:pPr>
      <w:r>
        <w:rPr>
          <w:color w:val="1D324A"/>
        </w:rPr>
        <w:t>Linux Userspace Algebraic Checks</w:t>
      </w:r>
    </w:p>
    <w:p>
      <w:r>
        <w:rPr>
          <w:sz w:val="22"/>
        </w:rPr>
        <w:t>Evidence label: HARDWARE_VALIDATED. Current summary: 16/16 algebraic property checks passed on XC7Z020 through Linux userspace.</w:t>
      </w:r>
    </w:p>
    <w:p>
      <w:pPr>
        <w:pStyle w:val="Heading2"/>
      </w:pPr>
      <w:r>
        <w:rPr>
          <w:color w:val="1D324A"/>
        </w:rPr>
        <w:t>ATOMiK Desk v0.40-A UI</w:t>
      </w:r>
    </w:p>
    <w:p>
      <w:r>
        <w:rPr>
          <w:sz w:val="22"/>
        </w:rPr>
        <w:t>Evidence label: HARDWARE_VALIDATED. Current summary: framebuffer-native prototype on live hardware.</w:t>
      </w:r>
    </w:p>
    <w:p>
      <w:pPr>
        <w:pStyle w:val="Heading2"/>
      </w:pPr>
      <w:r>
        <w:rPr>
          <w:color w:val="1D324A"/>
        </w:rPr>
        <w:t>AX7020 Board-Run Matrix</w:t>
      </w:r>
    </w:p>
    <w:p>
      <w:r>
        <w:rPr>
          <w:sz w:val="22"/>
        </w:rPr>
        <w:t>Evidence label: LIVE_MEASURED. Current summary: four-way comparison with raw artifacts and workload-specific caveats.</w:t>
      </w:r>
    </w:p>
    <w:p>
      <w:pPr>
        <w:pStyle w:val="Heading2"/>
      </w:pPr>
      <w:r>
        <w:rPr>
          <w:color w:val="1D324A"/>
        </w:rPr>
        <w:t>Formal Proof Foundation</w:t>
      </w:r>
    </w:p>
    <w:p>
      <w:r>
        <w:rPr>
          <w:sz w:val="22"/>
        </w:rPr>
        <w:t>Evidence label: FORMAL_PROOF where directly audited; otherwise SOFTWARE_VALIDATED / proof work present. Do not publish theorem-count hype until reconciled.</w:t>
      </w:r>
    </w:p>
    <w:p>
      <w:pPr>
        <w:pStyle w:val="Heading2"/>
      </w:pPr>
      <w:r>
        <w:rPr>
          <w:color w:val="1D324A"/>
        </w:rPr>
        <w:t>SD Boot Artifacts</w:t>
      </w:r>
    </w:p>
    <w:p>
      <w:r>
        <w:rPr>
          <w:sz w:val="22"/>
        </w:rPr>
        <w:t>Evidence label: BUILD_ARTIFACT. Current summary: BOOT.bin and bitstream exist; standalone power-on artifact remains gated until reproducible logs exist.</w:t>
      </w:r>
    </w:p>
    <w:p>
      <w:pPr>
        <w:pStyle w:val="Heading1"/>
      </w:pPr>
      <w:r>
        <w:rPr>
          <w:color w:val="070B12"/>
        </w:rPr>
        <w:t>MMIO Interface</w:t>
      </w:r>
    </w:p>
    <w:p>
      <w:r>
        <w:rPr>
          <w:sz w:val="22"/>
        </w:rPr>
        <w:t>In the frozen Linux userspace validation, ATOMiK was accessible via /dev/mem at CSR base 0xf0000000. Ordering requirement: after CSR writes, issue fence iorw,iorw plus a dummy STATUS read before reading STATE_LO/HI to flush the Wishbone pipeline. Verify the generated CSR map for newer builds.</w:t>
      </w:r>
    </w:p>
    <w:p>
      <w:pPr>
        <w:pStyle w:val="Heading1"/>
      </w:pPr>
      <w:r>
        <w:rPr>
          <w:color w:val="070B12"/>
        </w:rPr>
        <w:t>ASIC Path</w:t>
      </w:r>
    </w:p>
    <w:p>
      <w:r>
        <w:rPr>
          <w:sz w:val="22"/>
        </w:rPr>
        <w:t>The architecture is intended to be ASIC-portable, but ASIC feasibility remains a funded diligence task. The 256x64-bit state table in the frozen baseline is 16,384 bits, or 2KB of raw state storage; production area, power, memory macro, verification, and integration economics require expert review.</w:t>
      </w:r>
    </w:p>
    <w:p>
      <w:r>
        <w:rPr>
          <w:sz w:val="22"/>
        </w:rPr>
        <w:t>Pre-seed allocates $300K for ASIC feasibility (mentor-reviewed go/no-go). Tape-out is NOT in this round.</w:t>
      </w:r>
    </w:p>
    <w:p>
      <w:pPr>
        <w:pStyle w:val="Heading1"/>
      </w:pPr>
      <w:r>
        <w:rPr>
          <w:color w:val="070B12"/>
        </w:rPr>
        <w:t>Where ATOMiK Is Less Likely To Fit</w:t>
      </w:r>
    </w:p>
    <w:p>
      <w:pPr>
        <w:pStyle w:val="ListBullet"/>
      </w:pPr>
      <w:r>
        <w:rPr>
          <w:sz w:val="21"/>
        </w:rPr>
        <w:t>The workload is not state-heavy.</w:t>
      </w:r>
    </w:p>
    <w:p>
      <w:pPr>
        <w:pStyle w:val="ListBullet"/>
      </w:pPr>
      <w:r>
        <w:rPr>
          <w:sz w:val="21"/>
        </w:rPr>
        <w:t>Every region changes uniformly or the full state truly must move every time.</w:t>
      </w:r>
    </w:p>
    <w:p>
      <w:pPr>
        <w:pStyle w:val="ListBullet"/>
      </w:pPr>
      <w:r>
        <w:rPr>
          <w:sz w:val="21"/>
        </w:rPr>
        <w:t>Hardware access overhead dominates the measured path.</w:t>
      </w:r>
    </w:p>
    <w:p>
      <w:pPr>
        <w:pStyle w:val="ListBullet"/>
      </w:pPr>
      <w:r>
        <w:rPr>
          <w:sz w:val="21"/>
        </w:rPr>
        <w:t>The current software path is already optimal for the metric that matters.</w:t>
      </w:r>
    </w:p>
    <w:p>
      <w:pPr>
        <w:pStyle w:val="ListBullet"/>
      </w:pPr>
      <w:r>
        <w:rPr>
          <w:sz w:val="21"/>
        </w:rPr>
        <w:t>Correctness cannot be cleanly validated.</w:t>
      </w:r>
    </w:p>
    <w:p>
      <w:pPr>
        <w:pStyle w:val="ListBullet"/>
      </w:pPr>
      <w:r>
        <w:rPr>
          <w:sz w:val="21"/>
        </w:rPr>
        <w:t>The customer cannot provide a trace, baseline, or success metric.</w:t>
      </w:r>
    </w:p>
    <w:p>
      <w:pPr>
        <w:pStyle w:val="Heading1"/>
      </w:pPr>
      <w:r>
        <w:rPr>
          <w:color w:val="070B12"/>
        </w:rPr>
        <w:t>Diligence Questions We Expect</w:t>
      </w:r>
    </w:p>
    <w:p>
      <w:pPr>
        <w:pStyle w:val="ListBullet"/>
      </w:pPr>
      <w:r>
        <w:rPr>
          <w:sz w:val="21"/>
        </w:rPr>
        <w:t>What is the exact board, build, bitstream, and commit for each artifact?</w:t>
      </w:r>
    </w:p>
    <w:p>
      <w:pPr>
        <w:pStyle w:val="ListBullet"/>
      </w:pPr>
      <w:r>
        <w:rPr>
          <w:sz w:val="21"/>
        </w:rPr>
        <w:t>What is frozen validation versus current SD-boot/NaxRiscv bring-up?</w:t>
      </w:r>
    </w:p>
    <w:p>
      <w:pPr>
        <w:pStyle w:val="ListBullet"/>
      </w:pPr>
      <w:r>
        <w:rPr>
          <w:sz w:val="21"/>
        </w:rPr>
        <w:t>Which proof is live measured, hardware-validated, build artifact, formal, projected, or roadmap?</w:t>
      </w:r>
    </w:p>
    <w:p>
      <w:pPr>
        <w:pStyle w:val="ListBullet"/>
      </w:pPr>
      <w:r>
        <w:rPr>
          <w:sz w:val="21"/>
        </w:rPr>
        <w:t>What does the AX7020 matrix prove and what does it not prove?</w:t>
      </w:r>
    </w:p>
    <w:p>
      <w:pPr>
        <w:pStyle w:val="ListBullet"/>
      </w:pPr>
      <w:r>
        <w:rPr>
          <w:sz w:val="21"/>
        </w:rPr>
        <w:t>What must happen before ASIC feasibility can be taken seriously?</w:t>
      </w:r>
    </w:p>
    <w:p>
      <w:pPr>
        <w:pStyle w:val="ListBullet"/>
      </w:pPr>
      <w:r>
        <w:rPr>
          <w:sz w:val="21"/>
        </w:rPr>
        <w:t>Which customer workload is the first proof gate?</w:t>
      </w:r>
    </w:p>
    <w:p>
      <w:pPr>
        <w:pStyle w:val="Heading1"/>
      </w:pPr>
      <w:r>
        <w:rPr>
          <w:color w:val="070B12"/>
        </w:rPr>
        <w:t>Product Roadmap (High-Level)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160"/>
          </w:tcPr>
          <w:p>
            <w:r>
              <w:rPr>
                <w:sz w:val="19"/>
              </w:rPr>
              <w:t>Now</w:t>
            </w:r>
          </w:p>
        </w:tc>
        <w:tc>
          <w:tcPr>
            <w:tcW w:type="dxa" w:w="7632"/>
          </w:tcPr>
          <w:p>
            <w:r>
              <w:rPr>
                <w:sz w:val="19"/>
              </w:rPr>
              <w:t>Zynq FPGA prototype proof paths exist. Desktop UI screenshot is hardware-validated. Workload validation is the next evidence gate.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Q3 2026</w:t>
            </w:r>
          </w:p>
        </w:tc>
        <w:tc>
          <w:tcPr>
            <w:tcW w:type="dxa" w:w="7632"/>
          </w:tcPr>
          <w:p>
            <w:r>
              <w:rPr>
                <w:sz w:val="19"/>
              </w:rPr>
              <w:t>P0 workloads targeted for hardware measurement; first paid evaluation targeted; SD boot promoted only when run artifacts exist.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Q4 2026</w:t>
            </w:r>
          </w:p>
        </w:tc>
        <w:tc>
          <w:tcPr>
            <w:tcW w:type="dxa" w:w="7632"/>
          </w:tcPr>
          <w:p>
            <w:r>
              <w:rPr>
                <w:sz w:val="19"/>
              </w:rPr>
              <w:t>IP diligence packet. Design partner agreement(s). ASIC feasibility study.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2027</w:t>
            </w:r>
          </w:p>
        </w:tc>
        <w:tc>
          <w:tcPr>
            <w:tcW w:type="dxa" w:w="7632"/>
          </w:tcPr>
          <w:p>
            <w:r>
              <w:rPr>
                <w:sz w:val="19"/>
              </w:rPr>
              <w:t>IP licensing or strategic partnership. ASIC feasibility outcome determines path.</w:t>
            </w:r>
          </w:p>
        </w:tc>
      </w:tr>
    </w:tbl>
    <w:p/>
    <w:p>
      <w:pPr>
        <w:pStyle w:val="Heading1"/>
      </w:pPr>
      <w:r>
        <w:rPr>
          <w:color w:val="070B12"/>
        </w:rPr>
        <w:t>Source Code &amp; Artifacts</w:t>
      </w:r>
    </w:p>
    <w:p>
      <w:r>
        <w:rPr>
          <w:sz w:val="22"/>
        </w:rPr>
        <w:t>Private GitHub repository. Access granted under NDA.</w:t>
      </w:r>
    </w:p>
    <w:p>
      <w:pPr>
        <w:pStyle w:val="ListBullet"/>
      </w:pPr>
      <w:r>
        <w:rPr>
          <w:sz w:val="21"/>
        </w:rPr>
        <w:t>hardware/ — ATOMiK RTL, Zynq integration, synthesis/build artifacts</w:t>
      </w:r>
    </w:p>
    <w:p>
      <w:pPr>
        <w:pStyle w:val="ListBullet"/>
      </w:pPr>
      <w:r>
        <w:rPr>
          <w:sz w:val="21"/>
        </w:rPr>
        <w:t>hardware/zynq/ — Zynq SoC, FSBL, NaxRiscv integration</w:t>
      </w:r>
    </w:p>
    <w:p>
      <w:pPr>
        <w:pStyle w:val="ListBullet"/>
      </w:pPr>
      <w:r>
        <w:rPr>
          <w:sz w:val="21"/>
        </w:rPr>
        <w:t>software/ — SDK/runtime examples and tests; cite exact test counts only after rerun</w:t>
      </w:r>
    </w:p>
    <w:p>
      <w:pPr>
        <w:pStyle w:val="ListBullet"/>
      </w:pPr>
      <w:r>
        <w:rPr>
          <w:sz w:val="21"/>
        </w:rPr>
        <w:t>math/proofs/ — Lean4 formal proofs of algebraic properties</w:t>
      </w:r>
    </w:p>
    <w:p>
      <w:pPr>
        <w:pStyle w:val="ListBullet"/>
      </w:pPr>
      <w:r>
        <w:rPr>
          <w:sz w:val="21"/>
        </w:rPr>
        <w:t>results/ — Raw measurement artifacts with evidence labels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