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70B12"/>
          <w:sz w:val="48"/>
        </w:rPr>
        <w:t>ATOMiK Business Plan</w:t>
      </w:r>
    </w:p>
    <w:p>
      <w:r>
        <w:rPr>
          <w:color w:val="22D3EE"/>
          <w:sz w:val="20"/>
        </w:rPr>
        <w:t>ATOMiK  ·  State-Aware Compute Architecture  ·  Pre-Seed  ·  May 2026</w:t>
      </w:r>
    </w:p>
    <w:p/>
    <w:p>
      <w:pPr>
        <w:pStyle w:val="Heading1"/>
      </w:pPr>
      <w:r>
        <w:rPr>
          <w:color w:val="070B12"/>
        </w:rPr>
        <w:t>Company Overview</w:t>
      </w:r>
    </w:p>
    <w:p>
      <w:r>
        <w:rPr>
          <w:sz w:val="22"/>
        </w:rPr>
        <w:t>ATOMiK is a state-aware compute architecture startup developing a hardware/IP primitive that reduces wasted state movement in constrained edge, embedded, and AI systems. The company is pre-revenue, pre-seed stage, hardware-validated on FPGA, and raising $2.0M to fund measured customer proof and IP diligence.</w:t>
      </w:r>
    </w:p>
    <w:p>
      <w:r>
        <w:rPr>
          <w:sz w:val="22"/>
        </w:rPr>
        <w:t>Incorporation status: LLC/C-Corp formation in progress. See data room for current entity documentation.</w:t>
      </w:r>
    </w:p>
    <w:p>
      <w:pPr>
        <w:pStyle w:val="Heading1"/>
      </w:pPr>
      <w:r>
        <w:rPr>
          <w:color w:val="070B12"/>
        </w:rPr>
        <w:t>Problem</w:t>
      </w:r>
    </w:p>
    <w:p>
      <w:r>
        <w:rPr>
          <w:sz w:val="22"/>
        </w:rPr>
        <w:t>Every constrained system in the world — edge devices, embedded controllers, AI inference systems, remote industrial equipment — pays a hidden tax on state it hasn't changed. The system scans it, compares it, copies it, moves it, syncs it. Every tick. Even when nothing meaningful changed.</w:t>
      </w:r>
    </w:p>
    <w:p>
      <w:r>
        <w:rPr>
          <w:sz w:val="22"/>
        </w:rPr>
        <w:t>This waste manifests as:</w:t>
      </w:r>
    </w:p>
    <w:p>
      <w:pPr>
        <w:pStyle w:val="ListBullet"/>
      </w:pPr>
      <w:r>
        <w:rPr>
          <w:sz w:val="21"/>
        </w:rPr>
        <w:t>Shortened battery life in edge and IoT devices</w:t>
      </w:r>
    </w:p>
    <w:p>
      <w:pPr>
        <w:pStyle w:val="ListBullet"/>
      </w:pPr>
      <w:r>
        <w:rPr>
          <w:sz w:val="21"/>
        </w:rPr>
        <w:t>Unnecessary heat in sealed or fanless systems</w:t>
      </w:r>
    </w:p>
    <w:p>
      <w:pPr>
        <w:pStyle w:val="ListBullet"/>
      </w:pPr>
      <w:r>
        <w:rPr>
          <w:sz w:val="21"/>
        </w:rPr>
        <w:t>Wasted bandwidth over intermittent or expensive links</w:t>
      </w:r>
    </w:p>
    <w:p>
      <w:pPr>
        <w:pStyle w:val="ListBullet"/>
      </w:pPr>
      <w:r>
        <w:rPr>
          <w:sz w:val="21"/>
        </w:rPr>
        <w:t>Latency from rebuilding or replaying state that could have been tracked</w:t>
      </w:r>
    </w:p>
    <w:p>
      <w:pPr>
        <w:pStyle w:val="ListBullet"/>
      </w:pPr>
      <w:r>
        <w:rPr>
          <w:sz w:val="21"/>
        </w:rPr>
        <w:t>Hardware overbuild to handle peak-state throughput that is mostly redundant</w:t>
      </w:r>
    </w:p>
    <w:p>
      <w:r>
        <w:rPr>
          <w:sz w:val="18"/>
        </w:rPr>
        <w:t>Market scale: Data-center energy 415→945 TWh by 2030 (IEA). U.S. data centers 176→325–580 TWh by 2028 (LBNL). 66B liters direct cooling water (2023 U.S.). Semiconductor market $772B (2025).</w:t>
      </w:r>
    </w:p>
    <w:p>
      <w:pPr>
        <w:pStyle w:val="Heading1"/>
      </w:pPr>
      <w:r>
        <w:rPr>
          <w:color w:val="070B12"/>
        </w:rPr>
        <w:t>Solution: ATOMiK Architecture</w:t>
      </w:r>
    </w:p>
    <w:p>
      <w:r>
        <w:rPr>
          <w:sz w:val="22"/>
        </w:rPr>
        <w:t>Core equation: state = reference_state XOR accumulated_delta</w:t>
      </w:r>
    </w:p>
    <w:p>
      <w:r>
        <w:rPr>
          <w:sz w:val="22"/>
        </w:rPr>
        <w:t>Operations: LOAD (set reference state) → ACCUM (accumulate deltas via XOR) → READ (reconstruct current state) → SWAP (commit epoch boundary)</w:t>
      </w:r>
    </w:p>
    <w:p>
      <w:r>
        <w:rPr>
          <w:sz w:val="22"/>
        </w:rPr>
        <w:t>The primitive is self-inverse (applying a delta twice returns to original state), commutative (order doesn't matter), associative (can be parallelized), and identity-preserving (XOR with zero is a no-op). These algebraic properties have been formally proven and hardware-validated.</w:t>
      </w:r>
    </w:p>
    <w:p>
      <w:r>
        <w:rPr>
          <w:sz w:val="22"/>
        </w:rPr>
        <w:t>What this means for customers: instead of moving, scanning, syncing, or rebuilding full state — move only what changed. Track only meaningful change. Reduce redundant state movement at the source.</w:t>
      </w:r>
    </w:p>
    <w:p>
      <w:pPr>
        <w:pStyle w:val="Heading1"/>
      </w:pPr>
      <w:r>
        <w:rPr>
          <w:color w:val="070B12"/>
        </w:rPr>
        <w:t>Current Proof Status</w:t>
      </w:r>
    </w:p>
    <w:p>
      <w:r>
        <w:rPr>
          <w:sz w:val="22"/>
        </w:rPr>
        <w:t>Hardware-validated proof exists. The following is accurate as of May 2026:</w:t>
      </w:r>
    </w:p>
    <w:p>
      <w:pPr>
        <w:pStyle w:val="ListBullet"/>
      </w:pPr>
      <w:r>
        <w:rPr>
          <w:sz w:val="21"/>
        </w:rPr>
        <w:t>ATOMiK Desk v0.39-K: framebuffer-native prototype UI running on live Zynq FPGA (HARDWARE_VALIDATED)</w:t>
      </w:r>
    </w:p>
    <w:p>
      <w:pPr>
        <w:pStyle w:val="ListBullet"/>
      </w:pPr>
      <w:r>
        <w:rPr>
          <w:sz w:val="21"/>
        </w:rPr>
        <w:t>Algebraic tests: 16/16 PASS on XC7Z020 hardware through Linux userspace to FPGA (HARDWARE_VALIDATED)</w:t>
      </w:r>
    </w:p>
    <w:p>
      <w:pPr>
        <w:pStyle w:val="ListBullet"/>
      </w:pPr>
      <w:r>
        <w:rPr>
          <w:sz w:val="21"/>
        </w:rPr>
        <w:t>AX7020 performance matrix: raw board-run artifacts with 4-way comparison (LIVE_MEASURED with documented caveats)</w:t>
      </w:r>
    </w:p>
    <w:p>
      <w:pPr>
        <w:pStyle w:val="ListBullet"/>
      </w:pPr>
      <w:r>
        <w:rPr>
          <w:sz w:val="21"/>
        </w:rPr>
        <w:t>Formal proofs: algebraic properties proved in Lean4 (SOFTWARE_VALIDATED)</w:t>
      </w:r>
    </w:p>
    <w:p>
      <w:pPr>
        <w:pStyle w:val="ListBullet"/>
      </w:pPr>
      <w:r>
        <w:rPr>
          <w:sz w:val="21"/>
        </w:rPr>
        <w:t>SD boot artifacts: BOOT.bin and bitstream exist; standalone SD boot in final validation (BUILD_ARTIFACT)</w:t>
      </w:r>
    </w:p>
    <w:p>
      <w:r>
        <w:rPr>
          <w:b/>
          <w:sz w:val="18"/>
        </w:rPr>
        <w:t>IMPORTANT: Battery, heat, cooling, water, and footprint outcomes require workload-specific customer measurement. These are evaluation targets, not current claims.</w:t>
      </w:r>
    </w:p>
    <w:p>
      <w:pPr>
        <w:pStyle w:val="Heading1"/>
      </w:pPr>
      <w:r>
        <w:rPr>
          <w:color w:val="070B12"/>
        </w:rPr>
        <w:t>Target Market &amp; Customer Segments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Segment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Pain &amp; Target Metrics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Edge / embedded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Battery pressure, enclosure heat, intermittent links, reliability. Metrics: bytes moved, latency, bandwidth, power proxy.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AI at the edge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Context/state movement, memory pressure, response time. Metrics: context retained, transfer avoided.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Remote/industrial/robotics/defense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Weight, wattage, packet budget, field runtime. Metrics: runtime proxy, update cost.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Data center / infrastructure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Power bill, cooling, water pressure, rack density. Metrics: bytes moved, power/thermal path. (Strategic expansion)</w:t>
            </w:r>
          </w:p>
        </w:tc>
      </w:tr>
    </w:tbl>
    <w:p/>
    <w:p>
      <w:pPr>
        <w:pStyle w:val="Heading1"/>
      </w:pPr>
      <w:r>
        <w:rPr>
          <w:color w:val="070B12"/>
        </w:rPr>
        <w:t>Business Model</w:t>
      </w:r>
    </w:p>
    <w:p>
      <w:r>
        <w:rPr>
          <w:sz w:val="22"/>
        </w:rPr>
        <w:t>ATOMiK is an IP company, not a product company. Revenue path:</w:t>
      </w:r>
    </w:p>
    <w:p>
      <w:pPr>
        <w:pStyle w:val="ListBullet"/>
      </w:pPr>
      <w:r>
        <w:rPr>
          <w:sz w:val="21"/>
        </w:rPr>
        <w:t>Paid technical evaluations — bring one workload, one baseline, one constraint; receive measured fit assessment</w:t>
      </w:r>
    </w:p>
    <w:p>
      <w:pPr>
        <w:pStyle w:val="ListBullet"/>
      </w:pPr>
      <w:r>
        <w:rPr>
          <w:sz w:val="21"/>
        </w:rPr>
        <w:t>Design-partner engagements — deeper technical partnership with IP access</w:t>
      </w:r>
    </w:p>
    <w:p>
      <w:pPr>
        <w:pStyle w:val="ListBullet"/>
      </w:pPr>
      <w:r>
        <w:rPr>
          <w:sz w:val="21"/>
        </w:rPr>
        <w:t>IP licensing — architecture and implementation licensed to chip/platform companies</w:t>
      </w:r>
    </w:p>
    <w:p>
      <w:pPr>
        <w:pStyle w:val="ListBullet"/>
      </w:pPr>
      <w:r>
        <w:rPr>
          <w:sz w:val="21"/>
        </w:rPr>
        <w:t>Strategic acquisition — acquired by semiconductor or platform company needing this for their edge stack</w:t>
      </w:r>
    </w:p>
    <w:p>
      <w:r>
        <w:rPr>
          <w:sz w:val="22"/>
        </w:rPr>
        <w:t>No revenue forecast until signed customer agreements. CFO approval required before projections are shared externally.</w:t>
      </w:r>
    </w:p>
    <w:p>
      <w:pPr>
        <w:pStyle w:val="Heading1"/>
      </w:pPr>
      <w:r>
        <w:rPr>
          <w:color w:val="070B12"/>
        </w:rPr>
        <w:t>Go-to-Market</w:t>
      </w:r>
    </w:p>
    <w:p>
      <w:r>
        <w:rPr>
          <w:sz w:val="22"/>
        </w:rPr>
        <w:t>First sale: one constrained team with one state-heavy workload hitting a hard limit. Entry point: technical evaluation. Proof-gate: measured improvement on one agreed metric while preserving correctness.</w:t>
      </w:r>
    </w:p>
    <w:p>
      <w:r>
        <w:rPr>
          <w:sz w:val="22"/>
        </w:rPr>
        <w:t>Not: outspend incumbents. Not: build a consumer product. Not: chase the data-center market before edge proof exists.</w:t>
      </w:r>
    </w:p>
    <w:p>
      <w:pPr>
        <w:pStyle w:val="Heading1"/>
      </w:pPr>
      <w:r>
        <w:rPr>
          <w:color w:val="070B12"/>
        </w:rPr>
        <w:t>Competitive Positioning</w:t>
      </w:r>
    </w:p>
    <w:p>
      <w:r>
        <w:rPr>
          <w:sz w:val="22"/>
        </w:rPr>
        <w:t>ATOMiK is not a CPU, GPU, NPU, or accelerator replacement. It is a state-aware architecture layer for workloads where state movement is the binding constraint.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Comparison</w:t>
            </w:r>
          </w:p>
        </w:tc>
        <w:tc>
          <w:tcPr>
            <w:tcW w:type="dxa" w:w="7200"/>
          </w:tcPr>
          <w:p>
            <w:r>
              <w:rPr>
                <w:b/>
                <w:sz w:val="19"/>
              </w:rPr>
              <w:t>Differentiation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Von Neumann CPUs</w:t>
            </w:r>
          </w:p>
        </w:tc>
        <w:tc>
          <w:tcPr>
            <w:tcW w:type="dxa" w:w="7200"/>
          </w:tcPr>
          <w:p>
            <w:r>
              <w:rPr>
                <w:sz w:val="19"/>
              </w:rPr>
              <w:t>Process full state every cycle. ATOMiK: process change.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Compression</w:t>
            </w:r>
          </w:p>
        </w:tc>
        <w:tc>
          <w:tcPr>
            <w:tcW w:type="dxa" w:w="7200"/>
          </w:tcPr>
          <w:p>
            <w:r>
              <w:rPr>
                <w:sz w:val="19"/>
              </w:rPr>
              <w:t>Reduce stored size. ATOMiK: reduce movement frequency.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Caching</w:t>
            </w:r>
          </w:p>
        </w:tc>
        <w:tc>
          <w:tcPr>
            <w:tcW w:type="dxa" w:w="7200"/>
          </w:tcPr>
          <w:p>
            <w:r>
              <w:rPr>
                <w:sz w:val="19"/>
              </w:rPr>
              <w:t>Cache hot data. ATOMiK: accumulate delta; avoid unnecessary reads.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 ASICs</w:t>
            </w:r>
          </w:p>
        </w:tc>
        <w:tc>
          <w:tcPr>
            <w:tcW w:type="dxa" w:w="7200"/>
          </w:tcPr>
          <w:p>
            <w:r>
              <w:rPr>
                <w:sz w:val="19"/>
              </w:rPr>
              <w:t>Optimize known workload. ATOMiK: architecture-level primitive applicable across workloads.</w:t>
            </w:r>
          </w:p>
        </w:tc>
      </w:tr>
    </w:tbl>
    <w:p/>
    <w:p>
      <w:pPr>
        <w:pStyle w:val="Heading1"/>
      </w:pPr>
      <w:r>
        <w:rPr>
          <w:color w:val="070B12"/>
        </w:rPr>
        <w:t>IP &amp; Legal</w:t>
      </w:r>
    </w:p>
    <w:p>
      <w:r>
        <w:rPr>
          <w:sz w:val="22"/>
        </w:rPr>
        <w:t>Provisional patent filed (see data room: 03_intellectual_property). Patent conversion and prior-art review funded in pre-seed budget. Trade secret protections documented. Pre-seed allocates $300K to IP/legal.</w:t>
      </w:r>
    </w:p>
    <w:p>
      <w:pPr>
        <w:pStyle w:val="Heading1"/>
      </w:pPr>
      <w:r>
        <w:rPr>
          <w:color w:val="070B12"/>
        </w:rPr>
        <w:t>Team</w:t>
      </w:r>
    </w:p>
    <w:p>
      <w:r>
        <w:rPr>
          <w:sz w:val="22"/>
        </w:rPr>
        <w:t>Matthew Rockwell — Founder. Hardware engineer, FPGA/ASIC development background. Built the ATOMiK architecture, validated on physical hardware. See data room for full founder profile.</w:t>
      </w:r>
    </w:p>
    <w:p>
      <w:r>
        <w:rPr>
          <w:sz w:val="22"/>
        </w:rPr>
        <w:t>Fractional CFO: needed before SAFE terms finalized. First technical hire and advisory board in progress.</w:t>
      </w:r>
    </w:p>
    <w:p>
      <w:pPr>
        <w:pStyle w:val="Heading1"/>
      </w:pPr>
      <w:r>
        <w:rPr>
          <w:color w:val="070B12"/>
        </w:rPr>
        <w:t>Financial Summary</w:t>
      </w:r>
    </w:p>
    <w:p>
      <w:r>
        <w:rPr>
          <w:sz w:val="22"/>
        </w:rPr>
        <w:t>See ATOMiK_Financial_Model.xlsx for full detail.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168"/>
          </w:tcPr>
          <w:p>
            <w:r>
              <w:rPr>
                <w:sz w:val="19"/>
              </w:rPr>
              <w:t>Pre-seed target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$2.0M (minimum $1.25M, stretch $2.75M)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Instrument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Post-money SAFE — final terms require CFO/counsel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Runway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18 months at $2.0M raise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Engineering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$600K (demo hardening, measurement tooling)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proof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$400K (evaluation SOWs, baseline harnesses)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IP / legal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$300K (patent conversion, diligence packet)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ASIC feasibility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$300K (expert review, go/no-go)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Finance / GTM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$250K + $150K reserve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Tape-out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NOT funded in this round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Revenue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No forecast without signed agreements</w:t>
            </w:r>
          </w:p>
        </w:tc>
      </w:tr>
    </w:tbl>
    <w:p/>
    <w:p>
      <w:pPr>
        <w:pStyle w:val="Heading1"/>
      </w:pPr>
      <w:r>
        <w:rPr>
          <w:color w:val="070B12"/>
        </w:rPr>
        <w:t>Risks &amp;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3456"/>
          </w:tcPr>
          <w:p>
            <w:r>
              <w:rPr>
                <w:b/>
                <w:sz w:val="19"/>
              </w:rPr>
              <w:t>Risk</w:t>
            </w:r>
          </w:p>
        </w:tc>
        <w:tc>
          <w:tcPr>
            <w:tcW w:type="dxa" w:w="6336"/>
          </w:tcPr>
          <w:p>
            <w:r>
              <w:rPr>
                <w:b/>
                <w:sz w:val="19"/>
              </w:rPr>
              <w:t>Mitigation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Customer validation pending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First evaluation conversation in progress. Budget dedicated to proof.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Battery/thermal/water outcomes unproven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Evaluation targets. Require workload measurement. Not claimed yet.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ASIC economics unvalidated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Funded in budget. Expert review before tape-out commitment.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IP protection coverage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Funded conversion. Prior-art review in progress.</w:t>
            </w:r>
          </w:p>
        </w:tc>
      </w:tr>
      <w:tr>
        <w:tc>
          <w:tcPr>
            <w:tcW w:type="dxa" w:w="3456"/>
          </w:tcPr>
          <w:p>
            <w:r>
              <w:rPr>
                <w:sz w:val="19"/>
              </w:rPr>
              <w:t>Incumbent response</w:t>
            </w:r>
          </w:p>
        </w:tc>
        <w:tc>
          <w:tcPr>
            <w:tcW w:type="dxa" w:w="6336"/>
          </w:tcPr>
          <w:p>
            <w:r>
              <w:rPr>
                <w:sz w:val="19"/>
              </w:rPr>
              <w:t>Build IP and proof quickly. Strategic conversations now.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