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Executive Summary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pPr>
        <w:pStyle w:val="Heading1"/>
      </w:pPr>
      <w:r>
        <w:rPr>
          <w:color w:val="070B12"/>
        </w:rPr>
        <w:t>The Opportunity</w:t>
      </w:r>
    </w:p>
    <w:p>
      <w:r>
        <w:rPr>
          <w:sz w:val="22"/>
        </w:rPr>
        <w:t>ATOMiK is a state-aware compute architecture that reduces wasted state movement in constrained edge, embedded, and AI systems. Every constrained device — from edge sensors to autonomous systems — spends resources rediscovering what hasn't changed. ATOMiK tracks meaningful change instead of moving, scanning, or rebuilding full state.</w:t>
      </w:r>
    </w:p>
    <w:p>
      <w:r>
        <w:rPr>
          <w:sz w:val="22"/>
        </w:rPr>
        <w:t>The company is raising $2.0M in pre-seed capital to fund measured customer-value proof, IP strengthening, and ASIC feasibility — positioning ATOMiK for IP licensing or strategic acquisition by a major semiconductor or platform company.</w:t>
      </w:r>
    </w:p>
    <w:p>
      <w:pPr>
        <w:pStyle w:val="Heading1"/>
      </w:pPr>
      <w:r>
        <w:rPr>
          <w:color w:val="070B12"/>
        </w:rPr>
        <w:t>The Problem</w:t>
      </w:r>
    </w:p>
    <w:p>
      <w:r>
        <w:rPr>
          <w:sz w:val="22"/>
        </w:rPr>
        <w:t>Constrained systems everywhere pay a hidden tax on unchanged state:</w:t>
      </w:r>
    </w:p>
    <w:p>
      <w:pPr>
        <w:pStyle w:val="ListBullet"/>
      </w:pPr>
      <w:r>
        <w:rPr>
          <w:sz w:val="21"/>
        </w:rPr>
        <w:t>Data-center energy: 415 TWh globally (2024) → projected 945 TWh by 2030 (IEA)</w:t>
      </w:r>
    </w:p>
    <w:p>
      <w:pPr>
        <w:pStyle w:val="ListBullet"/>
      </w:pPr>
      <w:r>
        <w:rPr>
          <w:sz w:val="21"/>
        </w:rPr>
        <w:t>U.S. data centers alone: 176 TWh (2023) → 325–580 TWh projected by 2028 (LBNL)</w:t>
      </w:r>
    </w:p>
    <w:p>
      <w:pPr>
        <w:pStyle w:val="ListBullet"/>
      </w:pPr>
      <w:r>
        <w:rPr>
          <w:sz w:val="21"/>
        </w:rPr>
        <w:t>Edge devices burn battery, generate heat, and use bandwidth scanning state they already know</w:t>
      </w:r>
    </w:p>
    <w:p>
      <w:pPr>
        <w:pStyle w:val="ListBullet"/>
      </w:pPr>
      <w:r>
        <w:rPr>
          <w:sz w:val="21"/>
        </w:rPr>
        <w:t>AI context systems move full state even when only a small delta matters</w:t>
      </w:r>
    </w:p>
    <w:p>
      <w:r>
        <w:rPr>
          <w:b/>
          <w:sz w:val="22"/>
        </w:rPr>
        <w:t>The root cause: computing has been architected around full-state movement. ATOMiK changes the unit of compute from state to change.</w:t>
      </w:r>
    </w:p>
    <w:p>
      <w:pPr>
        <w:pStyle w:val="Heading1"/>
      </w:pPr>
      <w:r>
        <w:rPr>
          <w:color w:val="070B12"/>
        </w:rPr>
        <w:t>The Solution</w:t>
      </w:r>
    </w:p>
    <w:p>
      <w:r>
        <w:rPr>
          <w:sz w:val="22"/>
        </w:rPr>
        <w:t>ATOMiK's core primitive: state = reference_state XOR accumulated_delta</w:t>
      </w:r>
    </w:p>
    <w:p>
      <w:r>
        <w:rPr>
          <w:sz w:val="22"/>
        </w:rPr>
        <w:t>LOAD a reference. ACCUM only meaningful changes. READ only when reconstruction is needed. SWAP at clean epoch boundaries.</w:t>
      </w:r>
    </w:p>
    <w:p>
      <w:r>
        <w:rPr>
          <w:sz w:val="22"/>
        </w:rPr>
        <w:t>The math — XOR algebra — is self-inverse, commutative, and parallelizable. It maps efficiently to hardware. It is not ML, not new silicon; it is a better structural approach to what computing already does with state.</w:t>
      </w:r>
    </w:p>
    <w:p>
      <w:pPr>
        <w:pStyle w:val="Heading1"/>
      </w:pPr>
      <w:r>
        <w:rPr>
          <w:color w:val="070B12"/>
        </w:rPr>
        <w:t>Validated Proof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Proof Item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Status &amp; Evidence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ATOMiK Desk v0.39-K UI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HARDWARE_VALIDATED — prototype running on live Zynq FPGA (May 2026)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16/16 algebraic property tests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HARDWARE_VALIDATED — XOR self-inverse, identity, commutativity confirmed on silicon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Linux userspace to FPGA path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HARDWARE_VALIDATED — full OS-to-accelerator path verified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AX7020 board performance matrix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LIVE_MEASURED — 4-way baseline vs. ATOMiK comparison with raw artifacts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Formal proof work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SOFTWARE_VALIDATED — algebraic properties proved in Lean4</w:t>
            </w:r>
          </w:p>
        </w:tc>
      </w:tr>
    </w:tbl>
    <w:p/>
    <w:p>
      <w:r>
        <w:rPr>
          <w:sz w:val="18"/>
        </w:rPr>
        <w:t>Note: Battery, thermal, cooling, water, and footprint outcomes are evaluation targets — they require workload-specific measurement per customer environment. The mechanism has been validated; the outcomes need customer workloads.</w:t>
      </w:r>
    </w:p>
    <w:p>
      <w:pPr>
        <w:pStyle w:val="Heading1"/>
      </w:pPr>
      <w:r>
        <w:rPr>
          <w:color w:val="070B12"/>
        </w:rPr>
        <w:t>Business Model &amp; Path to Return</w:t>
      </w:r>
    </w:p>
    <w:p>
      <w:r>
        <w:rPr>
          <w:sz w:val="22"/>
        </w:rPr>
        <w:t>ATOMiK does not need to outspend incumbents. The path: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Timeline</w:t>
            </w:r>
          </w:p>
        </w:tc>
        <w:tc>
          <w:tcPr>
            <w:tcW w:type="dxa" w:w="7200"/>
          </w:tcPr>
          <w:p>
            <w:r>
              <w:rPr>
                <w:b/>
                <w:sz w:val="19"/>
              </w:rPr>
              <w:t>Activity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Near term (0–12 mo)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Paid technical evaluations — customer brings workload, baseline, constraint; ATOMiK measures fit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Medium term (12–24 mo)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Design-partner agreements, IP licensing deals with embedded/edge platform companies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Long term (18–36 mo)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Strategic licensing or acquisition by chip/platform company — Qualcomm, NXP, TI, Renesas, ARM, or hyperscaler edge division</w:t>
            </w:r>
          </w:p>
        </w:tc>
      </w:tr>
    </w:tbl>
    <w:p/>
    <w:p>
      <w:r>
        <w:rPr>
          <w:b/>
          <w:sz w:val="22"/>
        </w:rPr>
        <w:t>Comparable IP architecture acquisitions in semiconductor history: $50M–$400M+ for validated compute primitives. ATOMiK's path: workload proof → IP diligence → strategic exit.</w:t>
      </w:r>
    </w:p>
    <w:p>
      <w:pPr>
        <w:pStyle w:val="Heading1"/>
      </w:pPr>
      <w:r>
        <w:rPr>
          <w:color w:val="070B12"/>
        </w:rPr>
        <w:t>The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</w:tcPr>
          <w:p>
            <w:r>
              <w:rPr>
                <w:sz w:val="19"/>
              </w:rPr>
              <w:t>Target raise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$2.0M pre-seed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Minimum close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$1.25M (12 months)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Stretch plan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$2.75M (18+ months)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Instrument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Post-money SAFE (terms require CFO/counsel review)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Engineering &amp; demo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$600K — Zynq hardening, measurement tooling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Customer proof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$400K — workload baselines, evaluation SOWs, artifacts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IP / legal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$300K — patent conversion, diligence packet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ASIC feasibility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$300K — mentor review, go/no-go path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Finance / ops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$250K + $150K reserve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Round funds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Customer proof + IP + ASIC feasibility. NOT tape-out.</w:t>
            </w:r>
          </w:p>
        </w:tc>
      </w:tr>
    </w:tbl>
    <w:p/>
    <w:p>
      <w:pPr>
        <w:pStyle w:val="Heading1"/>
      </w:pPr>
      <w:r>
        <w:rPr>
          <w:color w:val="070B12"/>
        </w:rPr>
        <w:t>Contact</w:t>
      </w:r>
    </w:p>
    <w:p>
      <w:r>
        <w:rPr>
          <w:sz w:val="22"/>
        </w:rPr>
        <w:t>Matthew Rockwell — Founder</w:t>
        <w:br/>
        <w:t>matthew.h.rockwell@gmail.com</w:t>
      </w:r>
    </w:p>
    <w:p>
      <w:r>
        <w:rPr>
          <w:sz w:val="18"/>
        </w:rPr>
        <w:t>ATOMiK  |  Hardware-validated  |  Pre-seed open  |  May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