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70B12"/>
          <w:sz w:val="48"/>
        </w:rPr>
        <w:t>ATOMiK — One Page Overview</w:t>
      </w:r>
    </w:p>
    <w:p>
      <w:r>
        <w:rPr>
          <w:color w:val="22D3EE"/>
          <w:sz w:val="20"/>
        </w:rPr>
        <w:t>ATOMiK  ·  State-Aware Compute Architecture  ·  Pre-Seed  ·  May 2026</w:t>
      </w:r>
    </w:p>
    <w:p/>
    <w:p>
      <w:r>
        <w:rPr>
          <w:b/>
          <w:sz w:val="26"/>
        </w:rPr>
        <w:t>State-aware compute architecture that reduces wasted state movement in constrained edge, embedded, and AI systems.</w:t>
      </w:r>
    </w:p>
    <w:p/>
    <w:p>
      <w:pPr>
        <w:pStyle w:val="Heading2"/>
      </w:pPr>
      <w:r>
        <w:rPr>
          <w:color w:val="1D324A"/>
        </w:rPr>
        <w:t>The Problem</w:t>
      </w:r>
    </w:p>
    <w:p>
      <w:r>
        <w:rPr>
          <w:sz w:val="22"/>
        </w:rPr>
        <w:t>Constrained systems repeatedly move, scan, sync, and rebuild state that hasn't meaningfully changed — burning battery, generating heat, consuming bandwidth, and adding latency. The root cause is architectural: computing moves full state when it could move only change.</w:t>
      </w:r>
    </w:p>
    <w:p>
      <w:pPr>
        <w:pStyle w:val="Heading2"/>
      </w:pPr>
      <w:r>
        <w:rPr>
          <w:color w:val="1D324A"/>
        </w:rPr>
        <w:t>The Solution</w:t>
      </w:r>
    </w:p>
    <w:p>
      <w:r>
        <w:rPr>
          <w:sz w:val="22"/>
        </w:rPr>
        <w:t>state = reference_state XOR accumulated_delta</w:t>
      </w:r>
    </w:p>
    <w:p>
      <w:r>
        <w:rPr>
          <w:sz w:val="22"/>
        </w:rPr>
        <w:t>LOAD a reference → ACCUM meaningful changes → READ only when needed → SWAP at clean boundaries. XOR is compact, self-inverse, and parallelizable. Validated algebraic properties. Hardware-proven on FPGA.</w:t>
      </w:r>
    </w:p>
    <w:p>
      <w:pPr>
        <w:pStyle w:val="Heading2"/>
      </w:pPr>
      <w:r>
        <w:rPr>
          <w:color w:val="1D324A"/>
        </w:rPr>
        <w:t>Validated Proof Today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5040"/>
          </w:tcPr>
          <w:p>
            <w:r>
              <w:rPr>
                <w:sz w:val="19"/>
              </w:rPr>
              <w:t>v0.39-K Desk UI on Zynq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HARDWARE_VALIDATED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16/16 algebraic tests on hardware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HARDWARE_VALIDATED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Linux userspace to FPGA path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HARDWARE_VALIDATED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AX7020 board run matrix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LIVE_MEASURED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Formal algebra proofs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SOFTWARE_VALIDATED</w:t>
            </w:r>
          </w:p>
        </w:tc>
      </w:tr>
    </w:tbl>
    <w:p/>
    <w:p>
      <w:pPr>
        <w:pStyle w:val="Heading2"/>
      </w:pPr>
      <w:r>
        <w:rPr>
          <w:color w:val="1D324A"/>
        </w:rPr>
        <w:t>Evaluation Offer</w:t>
      </w:r>
    </w:p>
    <w:p>
      <w:r>
        <w:rPr>
          <w:sz w:val="22"/>
        </w:rPr>
        <w:t>Bring one state-heavy workload, your current baseline, and the constraint that already hurts. We evaluate where state movement creates waste. You receive: workload map, baseline comparison, evidence map, fit/no-fit recommendation, and next-step plan.</w:t>
      </w:r>
    </w:p>
    <w:p>
      <w:pPr>
        <w:pStyle w:val="Heading2"/>
      </w:pPr>
      <w:r>
        <w:rPr>
          <w:color w:val="1D324A"/>
        </w:rPr>
        <w:t>Business Path</w:t>
      </w:r>
    </w:p>
    <w:p>
      <w:r>
        <w:rPr>
          <w:sz w:val="22"/>
        </w:rPr>
        <w:t>Paid evaluations → Design partners → IP licensing → Strategic acquisition by chip/platform company</w:t>
      </w:r>
    </w:p>
    <w:p>
      <w:pPr>
        <w:pStyle w:val="Heading2"/>
      </w:pPr>
      <w:r>
        <w:rPr>
          <w:color w:val="1D324A"/>
        </w:rPr>
        <w:t>Pre-Seed Ask: $2.0M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</w:tcPr>
          <w:p>
            <w:r>
              <w:rPr>
                <w:sz w:val="19"/>
              </w:rPr>
              <w:t>Engineering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$600K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Customer proof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$400K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IP / legal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$300K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ASIC feasibility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$300K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Finance / GTM / reserve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$400K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Tape-out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NOT in this round</w:t>
            </w:r>
          </w:p>
        </w:tc>
      </w:tr>
    </w:tbl>
    <w:p/>
    <w:p>
      <w:r>
        <w:rPr>
          <w:sz w:val="18"/>
        </w:rPr>
        <w:t>Minimum viable close $1.25M. Stretch $2.75M. Post-money SAFE. Final terms require CFO/counsel approval.</w:t>
      </w:r>
    </w:p>
    <w:p>
      <w:r>
        <w:rPr>
          <w:sz w:val="18"/>
        </w:rPr>
        <w:br/>
        <w:t>matthew.h.rockwell@gmail.com  ·  matthew-rockwell.com  ·  May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