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Customer &amp; Sales Pipeline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r>
        <w:rPr>
          <w:b/>
          <w:sz w:val="18"/>
        </w:rPr>
        <w:t>CONFIDENTIAL DATA ROOM DOCUMENT</w:t>
      </w:r>
    </w:p>
    <w:p>
      <w:pPr>
        <w:pStyle w:val="Heading1"/>
      </w:pPr>
      <w:r>
        <w:rPr>
          <w:color w:val="070B12"/>
        </w:rPr>
        <w:t>Current Status</w:t>
      </w:r>
    </w:p>
    <w:p>
      <w:r>
        <w:rPr>
          <w:b/>
          <w:sz w:val="22"/>
        </w:rPr>
        <w:t>ATOMiK is pre-revenue. No signed customer contracts or LOIs exist as of May 2026. This document describes the pipeline strategy and evaluation offer structure.</w:t>
      </w:r>
    </w:p>
    <w:p>
      <w:pPr>
        <w:pStyle w:val="Heading1"/>
      </w:pPr>
      <w:r>
        <w:rPr>
          <w:color w:val="070B12"/>
        </w:rPr>
        <w:t>Evaluation Offer</w:t>
      </w:r>
    </w:p>
    <w:p>
      <w:r>
        <w:rPr>
          <w:sz w:val="22"/>
        </w:rPr>
        <w:t>Standard entry point: Bring one state-heavy workload, your current baseline, and the constraint that already hurts.</w:t>
      </w:r>
    </w:p>
    <w:p>
      <w:r>
        <w:rPr>
          <w:sz w:val="22"/>
        </w:rPr>
        <w:t>ATOMiK delivers: workload map, baseline comparison, evidence map, fit/no-fit recommendation, and next-step plan.</w:t>
      </w:r>
    </w:p>
    <w:p>
      <w:r>
        <w:rPr>
          <w:sz w:val="22"/>
        </w:rPr>
        <w:t>This can be structured as: (a) unpaid feasibility conversation, (b) paid technical evaluation (SOW-based), or (c) design-partner engagement with IP access.</w:t>
      </w:r>
    </w:p>
    <w:p>
      <w:pPr>
        <w:pStyle w:val="Heading1"/>
      </w:pPr>
      <w:r>
        <w:rPr>
          <w:color w:val="070B12"/>
        </w:rPr>
        <w:t>Target Segment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Segment</w:t>
            </w:r>
          </w:p>
        </w:tc>
        <w:tc>
          <w:tcPr>
            <w:tcW w:type="dxa" w:w="6624"/>
          </w:tcPr>
          <w:p>
            <w:r>
              <w:rPr>
                <w:b/>
                <w:sz w:val="19"/>
              </w:rPr>
              <w:t>Pain &amp; Entry Point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Edge / embedded OEMs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Battery, heat, bandwidth-constrained products (IoT, industrial, automotive edge)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Defense / remote systems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Size, weight, power (SWaP) constrained; packet budget; field runtime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AI at the edge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Context movement, memory pressure, local inference latency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Data center / infrastructure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Strategic expansion path — requires edge proof first</w:t>
            </w:r>
          </w:p>
        </w:tc>
      </w:tr>
    </w:tbl>
    <w:p/>
    <w:p>
      <w:pPr>
        <w:pStyle w:val="Heading1"/>
      </w:pPr>
      <w:r>
        <w:rPr>
          <w:color w:val="070B12"/>
        </w:rPr>
        <w:t>Active Outreach</w:t>
      </w:r>
    </w:p>
    <w:p>
      <w:r>
        <w:rPr>
          <w:sz w:val="22"/>
        </w:rPr>
        <w:t>See outreach/ directory in repo for current status of VC and design-partner conversations.</w:t>
      </w:r>
    </w:p>
    <w:p>
      <w:r>
        <w:rPr>
          <w:sz w:val="22"/>
        </w:rPr>
        <w:t>Previous investor conversations: Chris Bolt (notes in vc_diligence_response_chris_bolt.md), Jeremy Mueller (meeting_prep_jeremy_mueller.md).</w:t>
      </w:r>
    </w:p>
    <w:p>
      <w:pPr>
        <w:pStyle w:val="Heading1"/>
      </w:pPr>
      <w:r>
        <w:rPr>
          <w:color w:val="070B12"/>
        </w:rPr>
        <w:t>LOI &amp; Contract Templates</w:t>
      </w:r>
    </w:p>
    <w:p>
      <w:r>
        <w:rPr>
          <w:sz w:val="22"/>
        </w:rPr>
        <w:t>Paid evaluation proposal template: business/design_partners/paid_evaluation_proposal.md</w:t>
      </w:r>
    </w:p>
    <w:p>
      <w:r>
        <w:rPr>
          <w:sz w:val="22"/>
        </w:rPr>
        <w:t>LOI outline: business/design_partners/loi_outline.md</w:t>
      </w:r>
    </w:p>
    <w:p>
      <w:r>
        <w:rPr>
          <w:sz w:val="22"/>
        </w:rPr>
        <w:t>⚠️ No signed LOIs or customer contracts exist as of this writing. First signed agreement is a key pre-seed milestone.</w:t>
      </w:r>
    </w:p>
    <w:p>
      <w:pPr>
        <w:pStyle w:val="Heading1"/>
      </w:pPr>
      <w:r>
        <w:rPr>
          <w:color w:val="070B12"/>
        </w:rPr>
        <w:t>Pipeline Gate</w:t>
      </w:r>
    </w:p>
    <w:p>
      <w:r>
        <w:rPr>
          <w:sz w:val="22"/>
        </w:rPr>
        <w:t>The $400K customer proof budget funds the first 1–3 paid evaluations. Success metric: measured improvement on one agreed metric while preserving correctness, with raw artifacts and claims registry entry.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