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color w:val="070B12"/>
          <w:sz w:val="48"/>
        </w:rPr>
        <w:t>ATOMiK — Product &amp; Technical Overview</w:t>
      </w:r>
    </w:p>
    <w:p>
      <w:r>
        <w:rPr>
          <w:color w:val="22D3EE"/>
          <w:sz w:val="20"/>
        </w:rPr>
        <w:t>ATOMiK  ·  State-Aware Compute Architecture  ·  Pre-Seed  ·  May 2026</w:t>
      </w:r>
    </w:p>
    <w:p/>
    <w:p>
      <w:r>
        <w:rPr>
          <w:b/>
          <w:sz w:val="18"/>
        </w:rPr>
        <w:t>DATA ROOM — TECHNICAL SUMMARY</w:t>
      </w:r>
    </w:p>
    <w:p>
      <w:pPr>
        <w:pStyle w:val="Heading1"/>
      </w:pPr>
      <w:r>
        <w:rPr>
          <w:color w:val="070B12"/>
        </w:rPr>
        <w:t>Architecture Overview</w:t>
      </w:r>
    </w:p>
    <w:p>
      <w:r>
        <w:rPr>
          <w:sz w:val="22"/>
        </w:rPr>
        <w:t>ATOMiK is a state-aware compute primitive implemented as hardware IP (FPGA-validated) with a path to ASIC. The core equation: state = reference_state XOR accumulated_delta</w:t>
      </w:r>
    </w:p>
    <w:p>
      <w:r>
        <w:rPr>
          <w:sz w:val="22"/>
        </w:rPr>
        <w:t>Operations: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3600"/>
          </w:tcPr>
          <w:p>
            <w:r>
              <w:rPr>
                <w:sz w:val="19"/>
              </w:rPr>
              <w:t>LOAD(addr, initial_state)</w:t>
            </w:r>
          </w:p>
        </w:tc>
        <w:tc>
          <w:tcPr>
            <w:tcW w:type="dxa" w:w="6192"/>
          </w:tcPr>
          <w:p>
            <w:r>
              <w:rPr>
                <w:sz w:val="19"/>
              </w:rPr>
              <w:t>Write reference state to address slot</w:t>
            </w:r>
          </w:p>
        </w:tc>
      </w:tr>
      <w:tr>
        <w:tc>
          <w:tcPr>
            <w:tcW w:type="dxa" w:w="3600"/>
          </w:tcPr>
          <w:p>
            <w:r>
              <w:rPr>
                <w:sz w:val="19"/>
              </w:rPr>
              <w:t>ACCUM(delta)</w:t>
            </w:r>
          </w:p>
        </w:tc>
        <w:tc>
          <w:tcPr>
            <w:tcW w:type="dxa" w:w="6192"/>
          </w:tcPr>
          <w:p>
            <w:r>
              <w:rPr>
                <w:sz w:val="19"/>
              </w:rPr>
              <w:t>XOR a delta into the current accumulator</w:t>
            </w:r>
          </w:p>
        </w:tc>
      </w:tr>
      <w:tr>
        <w:tc>
          <w:tcPr>
            <w:tcW w:type="dxa" w:w="3600"/>
          </w:tcPr>
          <w:p>
            <w:r>
              <w:rPr>
                <w:sz w:val="19"/>
              </w:rPr>
              <w:t>READ()</w:t>
            </w:r>
          </w:p>
        </w:tc>
        <w:tc>
          <w:tcPr>
            <w:tcW w:type="dxa" w:w="6192"/>
          </w:tcPr>
          <w:p>
            <w:r>
              <w:rPr>
                <w:sz w:val="19"/>
              </w:rPr>
              <w:t>Reconstruct current state: reference XOR accumulated deltas</w:t>
            </w:r>
          </w:p>
        </w:tc>
      </w:tr>
      <w:tr>
        <w:tc>
          <w:tcPr>
            <w:tcW w:type="dxa" w:w="3600"/>
          </w:tcPr>
          <w:p>
            <w:r>
              <w:rPr>
                <w:sz w:val="19"/>
              </w:rPr>
              <w:t>SWAP(addr)</w:t>
            </w:r>
          </w:p>
        </w:tc>
        <w:tc>
          <w:tcPr>
            <w:tcW w:type="dxa" w:w="6192"/>
          </w:tcPr>
          <w:p>
            <w:r>
              <w:rPr>
                <w:sz w:val="19"/>
              </w:rPr>
              <w:t>Commit clean epoch boundary</w:t>
            </w:r>
          </w:p>
        </w:tc>
      </w:tr>
    </w:tbl>
    <w:p/>
    <w:p>
      <w:pPr>
        <w:pStyle w:val="Heading1"/>
      </w:pPr>
      <w:r>
        <w:rPr>
          <w:color w:val="070B12"/>
        </w:rPr>
        <w:t>Hardware Implementation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2880"/>
          </w:tcPr>
          <w:p>
            <w:r>
              <w:rPr>
                <w:sz w:val="19"/>
              </w:rPr>
              <w:t>Platform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Zynq XC7Z020-2CLG484I (HamGeek RK-ZYNQ7020-F)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Soft CPU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NaxRiscv RV64GC (production) / VexRiscv SMP rv32ima (baseline validation)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ATOMiK core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Single-bank, 256×64-bit state table, LiteX Migen CSR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CSR base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0xf0020000 (NaxRiscv SoC)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Linux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Ubuntu 24.04 / Buildroot 6.9, userspace access via /dev/mem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Bitstream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hamgeek_rk7020f.bit (LiteX synthesis, Vivado 2025.2)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FPGA utilization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~63% LUT for full NaxRiscv RV64 + ATOMiK + PSUart0Bridge</w:t>
            </w:r>
          </w:p>
        </w:tc>
      </w:tr>
    </w:tbl>
    <w:p/>
    <w:p>
      <w:pPr>
        <w:pStyle w:val="Heading1"/>
      </w:pPr>
      <w:r>
        <w:rPr>
          <w:color w:val="070B12"/>
        </w:rPr>
        <w:t>Validated Proof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3600"/>
          </w:tcPr>
          <w:p>
            <w:r>
              <w:rPr>
                <w:sz w:val="19"/>
              </w:rPr>
              <w:t>16/16 algebraic property tests</w:t>
            </w:r>
          </w:p>
        </w:tc>
        <w:tc>
          <w:tcPr>
            <w:tcW w:type="dxa" w:w="6192"/>
          </w:tcPr>
          <w:p>
            <w:r>
              <w:rPr>
                <w:sz w:val="19"/>
              </w:rPr>
              <w:t>HARDWARE_VALIDATED — PASS on XC7Z020 through Linux userspace</w:t>
            </w:r>
          </w:p>
        </w:tc>
      </w:tr>
      <w:tr>
        <w:tc>
          <w:tcPr>
            <w:tcW w:type="dxa" w:w="3600"/>
          </w:tcPr>
          <w:p>
            <w:r>
              <w:rPr>
                <w:sz w:val="19"/>
              </w:rPr>
              <w:t>ATOMiK Desk v0.39-K UI</w:t>
            </w:r>
          </w:p>
        </w:tc>
        <w:tc>
          <w:tcPr>
            <w:tcW w:type="dxa" w:w="6192"/>
          </w:tcPr>
          <w:p>
            <w:r>
              <w:rPr>
                <w:sz w:val="19"/>
              </w:rPr>
              <w:t>HARDWARE_VALIDATED — framebuffer-native prototype on live hardware</w:t>
            </w:r>
          </w:p>
        </w:tc>
      </w:tr>
      <w:tr>
        <w:tc>
          <w:tcPr>
            <w:tcW w:type="dxa" w:w="3600"/>
          </w:tcPr>
          <w:p>
            <w:r>
              <w:rPr>
                <w:sz w:val="19"/>
              </w:rPr>
              <w:t>AX7020 board run matrix</w:t>
            </w:r>
          </w:p>
        </w:tc>
        <w:tc>
          <w:tcPr>
            <w:tcW w:type="dxa" w:w="6192"/>
          </w:tcPr>
          <w:p>
            <w:r>
              <w:rPr>
                <w:sz w:val="19"/>
              </w:rPr>
              <w:t>LIVE_MEASURED — 4-way comparison with raw artifacts</w:t>
            </w:r>
          </w:p>
        </w:tc>
      </w:tr>
      <w:tr>
        <w:tc>
          <w:tcPr>
            <w:tcW w:type="dxa" w:w="3600"/>
          </w:tcPr>
          <w:p>
            <w:r>
              <w:rPr>
                <w:sz w:val="19"/>
              </w:rPr>
              <w:t>Formal proofs (Lean4)</w:t>
            </w:r>
          </w:p>
        </w:tc>
        <w:tc>
          <w:tcPr>
            <w:tcW w:type="dxa" w:w="6192"/>
          </w:tcPr>
          <w:p>
            <w:r>
              <w:rPr>
                <w:sz w:val="19"/>
              </w:rPr>
              <w:t>SOFTWARE_VALIDATED — algebraic properties formally proved</w:t>
            </w:r>
          </w:p>
        </w:tc>
      </w:tr>
      <w:tr>
        <w:tc>
          <w:tcPr>
            <w:tcW w:type="dxa" w:w="3600"/>
          </w:tcPr>
          <w:p>
            <w:r>
              <w:rPr>
                <w:sz w:val="19"/>
              </w:rPr>
              <w:t>SD boot artifacts</w:t>
            </w:r>
          </w:p>
        </w:tc>
        <w:tc>
          <w:tcPr>
            <w:tcW w:type="dxa" w:w="6192"/>
          </w:tcPr>
          <w:p>
            <w:r>
              <w:rPr>
                <w:sz w:val="19"/>
              </w:rPr>
              <w:t>BUILD_ARTIFACT — BOOT.bin and bitstream exist; final validation in progress</w:t>
            </w:r>
          </w:p>
        </w:tc>
      </w:tr>
    </w:tbl>
    <w:p/>
    <w:p>
      <w:pPr>
        <w:pStyle w:val="Heading1"/>
      </w:pPr>
      <w:r>
        <w:rPr>
          <w:color w:val="070B12"/>
        </w:rPr>
        <w:t>MMIO Interface</w:t>
      </w:r>
    </w:p>
    <w:p>
      <w:r>
        <w:rPr>
          <w:sz w:val="22"/>
        </w:rPr>
        <w:t>Accessible from Linux userspace via /dev/mem at CSR base 0xf0020000. Ordering requirement: after CSR writes, issue fence iorw,iorw + dummy STATUS read before reading STATE_LO/HI to flush Wishbone pipeline.</w:t>
      </w:r>
    </w:p>
    <w:p>
      <w:pPr>
        <w:pStyle w:val="Heading1"/>
      </w:pPr>
      <w:r>
        <w:rPr>
          <w:color w:val="070B12"/>
        </w:rPr>
        <w:t>ASIC Path</w:t>
      </w:r>
    </w:p>
    <w:p>
      <w:r>
        <w:rPr>
          <w:sz w:val="22"/>
        </w:rPr>
        <w:t>The architecture is ASIC-portable. XOR is 1-2 gates per bit in standard cell. The 256×64-bit state table is 16KB — manageable in any modern node.</w:t>
      </w:r>
    </w:p>
    <w:p>
      <w:r>
        <w:rPr>
          <w:sz w:val="22"/>
        </w:rPr>
        <w:t>Pre-seed allocates $300K for ASIC feasibility (mentor-reviewed go/no-go). Tape-out is NOT in this round.</w:t>
      </w:r>
    </w:p>
    <w:p>
      <w:pPr>
        <w:pStyle w:val="Heading1"/>
      </w:pPr>
      <w:r>
        <w:rPr>
          <w:color w:val="070B12"/>
        </w:rPr>
        <w:t>Product Roadmap (High-Level)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2160"/>
          </w:tcPr>
          <w:p>
            <w:r>
              <w:rPr>
                <w:sz w:val="19"/>
              </w:rPr>
              <w:t>Now</w:t>
            </w:r>
          </w:p>
        </w:tc>
        <w:tc>
          <w:tcPr>
            <w:tcW w:type="dxa" w:w="7632"/>
          </w:tcPr>
          <w:p>
            <w:r>
              <w:rPr>
                <w:sz w:val="19"/>
              </w:rPr>
              <w:t>Zynq FPGA prototype validated. Desktop UI. Algebraic proof. Workload harness ready.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Q3 2026</w:t>
            </w:r>
          </w:p>
        </w:tc>
        <w:tc>
          <w:tcPr>
            <w:tcW w:type="dxa" w:w="7632"/>
          </w:tcPr>
          <w:p>
            <w:r>
              <w:rPr>
                <w:sz w:val="19"/>
              </w:rPr>
              <w:t>P0 workloads measured on hardware. First paid evaluation. SD boot stable.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Q4 2026</w:t>
            </w:r>
          </w:p>
        </w:tc>
        <w:tc>
          <w:tcPr>
            <w:tcW w:type="dxa" w:w="7632"/>
          </w:tcPr>
          <w:p>
            <w:r>
              <w:rPr>
                <w:sz w:val="19"/>
              </w:rPr>
              <w:t>IP diligence packet. Design partner agreement(s). ASIC feasibility study.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2027</w:t>
            </w:r>
          </w:p>
        </w:tc>
        <w:tc>
          <w:tcPr>
            <w:tcW w:type="dxa" w:w="7632"/>
          </w:tcPr>
          <w:p>
            <w:r>
              <w:rPr>
                <w:sz w:val="19"/>
              </w:rPr>
              <w:t>IP licensing or strategic partnership. ASIC feasibility outcome determines path.</w:t>
            </w:r>
          </w:p>
        </w:tc>
      </w:tr>
    </w:tbl>
    <w:p/>
    <w:p>
      <w:pPr>
        <w:pStyle w:val="Heading1"/>
      </w:pPr>
      <w:r>
        <w:rPr>
          <w:color w:val="070B12"/>
        </w:rPr>
        <w:t>Source Code &amp; Artifacts</w:t>
      </w:r>
    </w:p>
    <w:p>
      <w:r>
        <w:rPr>
          <w:sz w:val="22"/>
        </w:rPr>
        <w:t>Private GitHub repository. Access granted under NDA.</w:t>
      </w:r>
    </w:p>
    <w:p>
      <w:pPr>
        <w:pStyle w:val="ListBullet"/>
      </w:pPr>
      <w:r>
        <w:rPr>
          <w:sz w:val="21"/>
        </w:rPr>
        <w:t>hardware/rtl/ — ATOMiK core RTL (atomik_core_v2.v, delta_acc, state_rec)</w:t>
      </w:r>
    </w:p>
    <w:p>
      <w:pPr>
        <w:pStyle w:val="ListBullet"/>
      </w:pPr>
      <w:r>
        <w:rPr>
          <w:sz w:val="21"/>
        </w:rPr>
        <w:t>hardware/zynq/ — Zynq SoC, FSBL, NaxRiscv integration</w:t>
      </w:r>
    </w:p>
    <w:p>
      <w:pPr>
        <w:pStyle w:val="ListBullet"/>
      </w:pPr>
      <w:r>
        <w:rPr>
          <w:sz w:val="21"/>
        </w:rPr>
        <w:t>software/atomik_sdk/ — Python SDK, 353 tests, formal proof integration</w:t>
      </w:r>
    </w:p>
    <w:p>
      <w:pPr>
        <w:pStyle w:val="ListBullet"/>
      </w:pPr>
      <w:r>
        <w:rPr>
          <w:sz w:val="21"/>
        </w:rPr>
        <w:t>math/proofs/ — Lean4 formal proofs of algebraic properties</w:t>
      </w:r>
    </w:p>
    <w:p>
      <w:pPr>
        <w:pStyle w:val="ListBullet"/>
      </w:pPr>
      <w:r>
        <w:rPr>
          <w:sz w:val="21"/>
        </w:rPr>
        <w:t>results/ — Raw measurement artifacts with evidence labels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