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70B12"/>
          <w:sz w:val="48"/>
        </w:rPr>
        <w:t>ATOMiK — Team Overview</w:t>
      </w:r>
    </w:p>
    <w:p>
      <w:r>
        <w:rPr>
          <w:color w:val="22D3EE"/>
          <w:sz w:val="20"/>
        </w:rPr>
        <w:t>ATOMiK  ·  State-Aware Compute Architecture  ·  Pre-Seed  ·  May 2026</w:t>
      </w:r>
    </w:p>
    <w:p/>
    <w:p>
      <w:pPr>
        <w:pStyle w:val="Heading1"/>
      </w:pPr>
      <w:r>
        <w:rPr>
          <w:color w:val="070B12"/>
        </w:rPr>
        <w:t>Founder</w:t>
      </w:r>
    </w:p>
    <w:p>
      <w:r>
        <w:rPr>
          <w:b/>
          <w:sz w:val="28"/>
        </w:rPr>
        <w:t>Matthew H. Rockwell — Founder &amp; CEO</w:t>
      </w:r>
    </w:p>
    <w:p>
      <w:r>
        <w:rPr>
          <w:sz w:val="22"/>
        </w:rPr>
        <w:t>Email: matthew.h.rockwell@gmail.com</w:t>
      </w:r>
    </w:p>
    <w:p>
      <w:r>
        <w:rPr>
          <w:sz w:val="22"/>
        </w:rPr>
        <w:t>Role: Architecture, hardware development, software, business development. All ATOMiK proof artifacts and hardware implementation.</w:t>
      </w:r>
    </w:p>
    <w:p>
      <w:r>
        <w:rPr>
          <w:sz w:val="22"/>
        </w:rPr>
        <w:t>Background: FPGA/ASIC hardware engineering, embedded systems, state-machine architecture. Built and validated ATOMiK on Zynq FPGA hardware. Full-stack from RTL to Linux userspace.</w:t>
      </w:r>
    </w:p>
    <w:p>
      <w:r>
        <w:rPr>
          <w:sz w:val="18"/>
        </w:rPr>
        <w:t>See founder_profile.md in data room for extended profile.</w:t>
      </w:r>
    </w:p>
    <w:p>
      <w:pPr>
        <w:pStyle w:val="Heading1"/>
      </w:pPr>
      <w:r>
        <w:rPr>
          <w:color w:val="070B12"/>
        </w:rPr>
        <w:t>Planned First Hires (Post-Close)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600"/>
          </w:tcPr>
          <w:p>
            <w:r>
              <w:rPr>
                <w:b/>
                <w:sz w:val="19"/>
              </w:rPr>
              <w:t>Role</w:t>
            </w:r>
          </w:p>
        </w:tc>
        <w:tc>
          <w:tcPr>
            <w:tcW w:type="dxa" w:w="6192"/>
          </w:tcPr>
          <w:p>
            <w:r>
              <w:rPr>
                <w:b/>
                <w:sz w:val="19"/>
              </w:rPr>
              <w:t>Focus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Senior Hardware Engineer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ASIC-capable; RTL optimization, place-and-route, customer workload harness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Customer Engineer / Solutions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Technical evaluation lead; customer workload proof execution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Fractional CFO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SAFE terms, investor reporting, financial model, board prep</w:t>
            </w:r>
          </w:p>
        </w:tc>
      </w:tr>
    </w:tbl>
    <w:p/>
    <w:p>
      <w:r>
        <w:rPr>
          <w:sz w:val="18"/>
        </w:rPr>
        <w:t>See first_hires.md in data room for detailed requirements.</w:t>
      </w:r>
    </w:p>
    <w:p>
      <w:pPr>
        <w:pStyle w:val="Heading1"/>
      </w:pPr>
      <w:r>
        <w:rPr>
          <w:color w:val="070B12"/>
        </w:rPr>
        <w:t>Advisory Board (In Progress)</w:t>
      </w:r>
    </w:p>
    <w:p>
      <w:r>
        <w:rPr>
          <w:sz w:val="22"/>
        </w:rPr>
        <w:t>Target advisors: semiconductor IP expert, ASIC/tape-out mentor, enterprise sales advisor with hardware/IP background.</w:t>
      </w:r>
    </w:p>
    <w:p>
      <w:r>
        <w:rPr>
          <w:sz w:val="18"/>
        </w:rPr>
        <w:t>No advisors formally signed as of May 2026. See advisory_board_plan.md for target criteria.</w:t>
      </w:r>
    </w:p>
    <w:p>
      <w:pPr>
        <w:pStyle w:val="Heading1"/>
      </w:pPr>
      <w:r>
        <w:rPr>
          <w:color w:val="070B12"/>
        </w:rPr>
        <w:t>Gaps Before Raise Close</w:t>
      </w:r>
    </w:p>
    <w:p>
      <w:pPr>
        <w:pStyle w:val="ListBullet"/>
      </w:pPr>
      <w:r>
        <w:rPr>
          <w:sz w:val="21"/>
        </w:rPr>
        <w:t>Fractional CFO for SAFE terms and financial model</w:t>
      </w:r>
    </w:p>
    <w:p>
      <w:pPr>
        <w:pStyle w:val="ListBullet"/>
      </w:pPr>
      <w:r>
        <w:rPr>
          <w:sz w:val="21"/>
        </w:rPr>
        <w:t>IP counsel for patent conversion and SAFE review</w:t>
      </w:r>
    </w:p>
    <w:p>
      <w:pPr>
        <w:pStyle w:val="ListBullet"/>
      </w:pPr>
      <w:r>
        <w:rPr>
          <w:sz w:val="21"/>
        </w:rPr>
        <w:t>ASIC feasibility mentor (funded in pre-seed)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