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  <w:color w:val="070B12"/>
          <w:sz w:val="48"/>
        </w:rPr>
        <w:t>Executive Summary</w:t>
      </w:r>
    </w:p>
    <w:p>
      <w:r>
        <w:rPr>
          <w:color w:val="22D3EE"/>
          <w:sz w:val="20"/>
        </w:rPr>
        <w:t>ATOMiK  ·  State-Aware Compute Architecture  ·  Pre-Seed  ·  May 2026</w:t>
      </w:r>
    </w:p>
    <w:p/>
    <w:p>
      <w:pPr>
        <w:pStyle w:val="Heading1"/>
      </w:pPr>
      <w:r>
        <w:rPr>
          <w:color w:val="070B12"/>
        </w:rPr>
        <w:t>What ATOMiK Is</w:t>
      </w:r>
    </w:p>
    <w:p>
      <w:r>
        <w:rPr>
          <w:sz w:val="22"/>
        </w:rPr>
        <w:t>ATOMiK is a state-aware compute architecture that helps constrained edge, embedded, and AI-at-the-edge teams evaluate whether they can reduce wasted state movement by tracking meaningful change instead of repeatedly moving, scanning, syncing, replaying, or rebuilding full state.</w:t>
      </w:r>
    </w:p>
    <w:p>
      <w:r>
        <w:rPr>
          <w:b/>
          <w:sz w:val="22"/>
        </w:rPr>
        <w:t>The company is raising a $2.0M target pre-seed to move from hardware-backed primitive proof to measured customer workload proof, IP diligence, and ASIC feasibility. The round does not fund tape-out.</w:t>
      </w:r>
    </w:p>
    <w:p>
      <w:pPr>
        <w:pStyle w:val="Heading1"/>
      </w:pPr>
      <w:r>
        <w:rPr>
          <w:color w:val="070B12"/>
        </w:rPr>
        <w:t>Why It Matters</w:t>
      </w:r>
    </w:p>
    <w:p>
      <w:pPr>
        <w:pStyle w:val="ListBullet"/>
      </w:pPr>
      <w:r>
        <w:rPr>
          <w:sz w:val="21"/>
        </w:rPr>
        <w:t>Buyer pain: battery budget, enclosure heat, link budget, update latency, reliability, size, and weight.</w:t>
      </w:r>
    </w:p>
    <w:p>
      <w:pPr>
        <w:pStyle w:val="ListBullet"/>
      </w:pPr>
      <w:r>
        <w:rPr>
          <w:sz w:val="21"/>
        </w:rPr>
        <w:t>First wedge: one state-heavy workload, one current baseline, and one painful constraint expensive enough to evaluate.</w:t>
      </w:r>
    </w:p>
    <w:p>
      <w:pPr>
        <w:pStyle w:val="ListBullet"/>
      </w:pPr>
      <w:r>
        <w:rPr>
          <w:sz w:val="21"/>
        </w:rPr>
        <w:t>Why now: energy, bandwidth, thermal, and local-compute pressure are rising; IEA/LBNL figures are market context, not ATOMiK savings claims.</w:t>
      </w:r>
    </w:p>
    <w:p>
      <w:pPr>
        <w:pStyle w:val="Heading1"/>
      </w:pPr>
      <w:r>
        <w:rPr>
          <w:color w:val="070B12"/>
        </w:rPr>
        <w:t>Evaluation Offer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2232"/>
          </w:tcPr>
          <w:p>
            <w:r>
              <w:rPr>
                <w:sz w:val="19"/>
              </w:rPr>
              <w:t>Give us</w:t>
            </w:r>
          </w:p>
        </w:tc>
        <w:tc>
          <w:tcPr>
            <w:tcW w:type="dxa" w:w="7560"/>
          </w:tcPr>
          <w:p>
            <w:r>
              <w:rPr>
                <w:sz w:val="19"/>
              </w:rPr>
              <w:t>One state-heavy workload, current baseline, and painful constraint.</w:t>
            </w:r>
          </w:p>
        </w:tc>
      </w:tr>
      <w:tr>
        <w:tc>
          <w:tcPr>
            <w:tcW w:type="dxa" w:w="2232"/>
          </w:tcPr>
          <w:p>
            <w:r>
              <w:rPr>
                <w:sz w:val="19"/>
              </w:rPr>
              <w:t>We evaluate</w:t>
            </w:r>
          </w:p>
        </w:tc>
        <w:tc>
          <w:tcPr>
            <w:tcW w:type="dxa" w:w="7560"/>
          </w:tcPr>
          <w:p>
            <w:r>
              <w:rPr>
                <w:sz w:val="19"/>
              </w:rPr>
              <w:t>Where state movement creates waste and whether ATOMiK can improve that path.</w:t>
            </w:r>
          </w:p>
        </w:tc>
      </w:tr>
      <w:tr>
        <w:tc>
          <w:tcPr>
            <w:tcW w:type="dxa" w:w="2232"/>
          </w:tcPr>
          <w:p>
            <w:r>
              <w:rPr>
                <w:sz w:val="19"/>
              </w:rPr>
              <w:t>You receive</w:t>
            </w:r>
          </w:p>
        </w:tc>
        <w:tc>
          <w:tcPr>
            <w:tcW w:type="dxa" w:w="7560"/>
          </w:tcPr>
          <w:p>
            <w:r>
              <w:rPr>
                <w:sz w:val="19"/>
              </w:rPr>
              <w:t>Workload map, baseline comparison, evidence map, fit/no-fit recommendation, and next-step plan.</w:t>
            </w:r>
          </w:p>
        </w:tc>
      </w:tr>
      <w:tr>
        <w:tc>
          <w:tcPr>
            <w:tcW w:type="dxa" w:w="2232"/>
          </w:tcPr>
          <w:p>
            <w:r>
              <w:rPr>
                <w:sz w:val="19"/>
              </w:rPr>
              <w:t>Success</w:t>
            </w:r>
          </w:p>
        </w:tc>
        <w:tc>
          <w:tcPr>
            <w:tcW w:type="dxa" w:w="7560"/>
          </w:tcPr>
          <w:p>
            <w:r>
              <w:rPr>
                <w:sz w:val="19"/>
              </w:rPr>
              <w:t>Measured improvement against one agreed metric while preserving correctness.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070B12"/>
        </w:rPr>
        <w:t>Proof Today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3024"/>
          </w:tcPr>
          <w:p>
            <w:r>
              <w:rPr>
                <w:b/>
                <w:sz w:val="19"/>
              </w:rPr>
              <w:t>Artifact</w:t>
            </w:r>
          </w:p>
        </w:tc>
        <w:tc>
          <w:tcPr>
            <w:tcW w:type="dxa" w:w="6768"/>
          </w:tcPr>
          <w:p>
            <w:r>
              <w:rPr>
                <w:b/>
                <w:sz w:val="19"/>
              </w:rPr>
              <w:t>Evidence Boundary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Zynq Desk v0.39-K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>HARDWARE_VALIDATED — live prototype UI proof image; not product maturity or performance proof.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Linux userspace to FPGA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>HARDWARE_VALIDATED — documented OS-to-bus path with 16/16 property checks.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AX7020 matrix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>LIVE_MEASURED — workload-specific wins and losses; quote with caveats.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Formal proof foundation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>FORMAL_PROOF where directly audited; otherwise SOFTWARE_VALIDATED / proof work present. Counts withheld until reconciled.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SD boot artifacts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>BUILD_ARTIFACT — build output exists; power-on run artifact still gated.</w:t>
            </w:r>
          </w:p>
        </w:tc>
      </w:tr>
    </w:tbl>
    <w:p/>
    <w:p>
      <w:pPr>
        <w:pStyle w:val="Heading1"/>
      </w:pPr>
      <w:r>
        <w:rPr>
          <w:color w:val="070B12"/>
        </w:rPr>
        <w:t>Business Path</w:t>
      </w:r>
    </w:p>
    <w:p>
      <w:r>
        <w:rPr>
          <w:sz w:val="22"/>
        </w:rPr>
        <w:t>Paid proof reviews and technical evaluations -&gt; design-partner evaluations -&gt; IP/licensing diligence -&gt; strategic licensing or platform partnership if workload proof supports it.</w:t>
      </w:r>
    </w:p>
    <w:p>
      <w:r>
        <w:rPr>
          <w:sz w:val="18"/>
        </w:rPr>
        <w:t>Return narrative: pre-seed capital buys diligence assets a strategic partner can evaluate: workload proof, IP status, integration path, and ASIC feasibility. No exit, valuation, or return multiple is implied.</w:t>
      </w:r>
    </w:p>
    <w:p>
      <w:pPr>
        <w:pStyle w:val="Heading1"/>
      </w:pPr>
      <w:r>
        <w:rPr>
          <w:color w:val="070B12"/>
        </w:rPr>
        <w:t>Ask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2232"/>
          </w:tcPr>
          <w:p>
            <w:r>
              <w:rPr>
                <w:sz w:val="19"/>
              </w:rPr>
              <w:t>Target</w:t>
            </w:r>
          </w:p>
        </w:tc>
        <w:tc>
          <w:tcPr>
            <w:tcW w:type="dxa" w:w="7560"/>
          </w:tcPr>
          <w:p>
            <w:r>
              <w:rPr>
                <w:sz w:val="19"/>
              </w:rPr>
              <w:t>$2.0M pre-seed; $1.25M minimum; $2.75M stretch.</w:t>
            </w:r>
          </w:p>
        </w:tc>
      </w:tr>
      <w:tr>
        <w:tc>
          <w:tcPr>
            <w:tcW w:type="dxa" w:w="2232"/>
          </w:tcPr>
          <w:p>
            <w:r>
              <w:rPr>
                <w:sz w:val="19"/>
              </w:rPr>
              <w:t>Use</w:t>
            </w:r>
          </w:p>
        </w:tc>
        <w:tc>
          <w:tcPr>
            <w:tcW w:type="dxa" w:w="7560"/>
          </w:tcPr>
          <w:p>
            <w:r>
              <w:rPr>
                <w:sz w:val="19"/>
              </w:rPr>
              <w:t>$600K engineering, $400K customer proof, $300K IP/legal, $300K ASIC feasibility, $400K ops/reserve.</w:t>
            </w:r>
          </w:p>
        </w:tc>
      </w:tr>
      <w:tr>
        <w:tc>
          <w:tcPr>
            <w:tcW w:type="dxa" w:w="2232"/>
          </w:tcPr>
          <w:p>
            <w:r>
              <w:rPr>
                <w:sz w:val="19"/>
              </w:rPr>
              <w:t>Need</w:t>
            </w:r>
          </w:p>
        </w:tc>
        <w:tc>
          <w:tcPr>
            <w:tcW w:type="dxa" w:w="7560"/>
          </w:tcPr>
          <w:p>
            <w:r>
              <w:rPr>
                <w:sz w:val="19"/>
              </w:rPr>
              <w:t>Capital, design-partner introductions, qualified workload access, and ASIC/IP diligence support.</w:t>
            </w:r>
          </w:p>
        </w:tc>
      </w:tr>
      <w:tr>
        <w:tc>
          <w:tcPr>
            <w:tcW w:type="dxa" w:w="2232"/>
          </w:tcPr>
          <w:p>
            <w:r>
              <w:rPr>
                <w:sz w:val="19"/>
              </w:rPr>
              <w:t>Pending</w:t>
            </w:r>
          </w:p>
        </w:tc>
        <w:tc>
          <w:tcPr>
            <w:tcW w:type="dxa" w:w="7560"/>
          </w:tcPr>
          <w:p>
            <w:r>
              <w:rPr>
                <w:sz w:val="19"/>
              </w:rPr>
              <w:t>SAFE terms, valuation cap, discount, and close mechanics require CFO/counsel approval.</w:t>
            </w:r>
          </w:p>
        </w:tc>
      </w:tr>
    </w:tbl>
    <w:p/>
    <w:p>
      <w:pPr>
        <w:pStyle w:val="Heading1"/>
      </w:pPr>
      <w:r>
        <w:rPr>
          <w:color w:val="070B12"/>
        </w:rPr>
        <w:t>Not Claimed</w:t>
      </w:r>
    </w:p>
    <w:p>
      <w:r>
        <w:rPr>
          <w:sz w:val="18"/>
        </w:rPr>
        <w:t>No universal speedup, production readiness, guaranteed battery/heat/cooling/water savings, smaller hardware claim, signed customer traction, or funded tape-out.</w:t>
      </w:r>
    </w:p>
    <w:p>
      <w:pPr>
        <w:pStyle w:val="Heading1"/>
      </w:pPr>
      <w:r>
        <w:rPr>
          <w:color w:val="070B12"/>
        </w:rPr>
        <w:t>Contact</w:t>
      </w:r>
    </w:p>
    <w:p>
      <w:r>
        <w:rPr>
          <w:sz w:val="18"/>
        </w:rPr>
        <w:t>Matthew Rockwell — Founder</w:t>
        <w:br/>
        <w:t>matthew.h.rockwell@gmail.com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