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ATOMiK — One Page Overview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r>
        <w:rPr>
          <w:b/>
          <w:sz w:val="28"/>
        </w:rPr>
        <w:t>ATOMiK makes change the unit of compute.</w:t>
      </w:r>
    </w:p>
    <w:p>
      <w:r>
        <w:rPr>
          <w:sz w:val="20"/>
        </w:rPr>
        <w:t>State-aware compute evaluation for edge and embedded teams constrained by battery, heat, bandwidth, latency, reliability, or hardware footprint.</w:t>
      </w:r>
    </w:p>
    <w:p>
      <w:pPr>
        <w:pStyle w:val="Heading2"/>
      </w:pPr>
      <w:r>
        <w:rPr>
          <w:color w:val="1D324A"/>
        </w:rPr>
        <w:t>Problem</w:t>
      </w:r>
    </w:p>
    <w:p>
      <w:r>
        <w:rPr>
          <w:sz w:val="19"/>
        </w:rPr>
        <w:t>Many constrained systems repeatedly move, scan, sync, replay, or rebuild state even when only a compact change matters. That can become battery pressure, enclosure heat, link budget, latency, reliability risk, or hardware overbuild.</w:t>
      </w:r>
    </w:p>
    <w:p>
      <w:pPr>
        <w:pStyle w:val="Heading2"/>
      </w:pPr>
      <w:r>
        <w:rPr>
          <w:color w:val="1D324A"/>
        </w:rPr>
        <w:t>Offer</w:t>
      </w:r>
    </w:p>
    <w:p>
      <w:r>
        <w:rPr>
          <w:sz w:val="19"/>
        </w:rPr>
        <w:t>Bring one state-heavy workload, one current baseline, and one painful constraint. ATOMiK evaluates wasted state movement and returns a workload map, baseline comparison, evidence map, fit/no-fit recommendation, and next-step plan.</w:t>
      </w:r>
    </w:p>
    <w:p>
      <w:pPr>
        <w:pStyle w:val="Heading2"/>
      </w:pPr>
      <w:r>
        <w:rPr>
          <w:color w:val="1D324A"/>
        </w:rPr>
        <w:t>Proof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5328"/>
          </w:tcPr>
          <w:p>
            <w:r>
              <w:rPr>
                <w:sz w:val="19"/>
              </w:rPr>
              <w:t>Zynq Desk v0.39-K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HARDWARE_VALIDATED</w:t>
            </w:r>
          </w:p>
        </w:tc>
      </w:tr>
      <w:tr>
        <w:tc>
          <w:tcPr>
            <w:tcW w:type="dxa" w:w="5328"/>
          </w:tcPr>
          <w:p>
            <w:r>
              <w:rPr>
                <w:sz w:val="19"/>
              </w:rPr>
              <w:t>Linux userspace-to-FPGA + 16/16 checks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HARDWARE_VALIDATED</w:t>
            </w:r>
          </w:p>
        </w:tc>
      </w:tr>
      <w:tr>
        <w:tc>
          <w:tcPr>
            <w:tcW w:type="dxa" w:w="5328"/>
          </w:tcPr>
          <w:p>
            <w:r>
              <w:rPr>
                <w:sz w:val="19"/>
              </w:rPr>
              <w:t>AX7020 board-run matrix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LIVE_MEASURED with caveats</w:t>
            </w:r>
          </w:p>
        </w:tc>
      </w:tr>
      <w:tr>
        <w:tc>
          <w:tcPr>
            <w:tcW w:type="dxa" w:w="5328"/>
          </w:tcPr>
          <w:p>
            <w:r>
              <w:rPr>
                <w:sz w:val="19"/>
              </w:rPr>
              <w:t>Formal proof foundation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FORMAL_PROOF where directly audited; otherwise SOFTWARE_VALIDATED</w:t>
            </w:r>
          </w:p>
        </w:tc>
      </w:tr>
      <w:tr>
        <w:tc>
          <w:tcPr>
            <w:tcW w:type="dxa" w:w="5328"/>
          </w:tcPr>
          <w:p>
            <w:r>
              <w:rPr>
                <w:sz w:val="19"/>
              </w:rPr>
              <w:t>SD boot artifacts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BUILD_ARTIFACT until power-on run artifact exists</w:t>
            </w:r>
          </w:p>
        </w:tc>
      </w:tr>
    </w:tbl>
    <w:p/>
    <w:p>
      <w:pPr>
        <w:pStyle w:val="Heading2"/>
      </w:pPr>
      <w:r>
        <w:rPr>
          <w:color w:val="1D324A"/>
        </w:rPr>
        <w:t>Pre-Seed 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088"/>
          </w:tcPr>
          <w:p>
            <w:r>
              <w:rPr>
                <w:sz w:val="19"/>
              </w:rPr>
              <w:t>Target</w:t>
            </w:r>
          </w:p>
        </w:tc>
        <w:tc>
          <w:tcPr>
            <w:tcW w:type="dxa" w:w="7704"/>
          </w:tcPr>
          <w:p>
            <w:r>
              <w:rPr>
                <w:sz w:val="19"/>
              </w:rPr>
              <w:t>$2.0M pre-seed; $1.25M minimum; $2.75M stretch</w:t>
            </w:r>
          </w:p>
        </w:tc>
      </w:tr>
      <w:tr>
        <w:tc>
          <w:tcPr>
            <w:tcW w:type="dxa" w:w="2088"/>
          </w:tcPr>
          <w:p>
            <w:r>
              <w:rPr>
                <w:sz w:val="19"/>
              </w:rPr>
              <w:t>Funds</w:t>
            </w:r>
          </w:p>
        </w:tc>
        <w:tc>
          <w:tcPr>
            <w:tcW w:type="dxa" w:w="7704"/>
          </w:tcPr>
          <w:p>
            <w:r>
              <w:rPr>
                <w:sz w:val="19"/>
              </w:rPr>
              <w:t>$600K engineering, $400K customer proof, $300K IP/legal, $300K ASIC feasibility, $400K ops/reserve</w:t>
            </w:r>
          </w:p>
        </w:tc>
      </w:tr>
      <w:tr>
        <w:tc>
          <w:tcPr>
            <w:tcW w:type="dxa" w:w="2088"/>
          </w:tcPr>
          <w:p>
            <w:r>
              <w:rPr>
                <w:sz w:val="19"/>
              </w:rPr>
              <w:t>Milestone</w:t>
            </w:r>
          </w:p>
        </w:tc>
        <w:tc>
          <w:tcPr>
            <w:tcW w:type="dxa" w:w="7704"/>
          </w:tcPr>
          <w:p>
            <w:r>
              <w:rPr>
                <w:sz w:val="19"/>
              </w:rPr>
              <w:t>Measured workload proof + IP packet + ASIC feasibility; no tape-out</w:t>
            </w:r>
          </w:p>
        </w:tc>
      </w:tr>
      <w:tr>
        <w:tc>
          <w:tcPr>
            <w:tcW w:type="dxa" w:w="2088"/>
          </w:tcPr>
          <w:p>
            <w:r>
              <w:rPr>
                <w:sz w:val="19"/>
              </w:rPr>
              <w:t>Need</w:t>
            </w:r>
          </w:p>
        </w:tc>
        <w:tc>
          <w:tcPr>
            <w:tcW w:type="dxa" w:w="7704"/>
          </w:tcPr>
          <w:p>
            <w:r>
              <w:rPr>
                <w:sz w:val="19"/>
              </w:rPr>
              <w:t>Capital, design-partner introductions, qualified workloads</w:t>
            </w:r>
          </w:p>
        </w:tc>
      </w:tr>
    </w:tbl>
    <w:p/>
    <w:p>
      <w:pPr>
        <w:pStyle w:val="Heading2"/>
      </w:pPr>
      <w:r>
        <w:rPr>
          <w:color w:val="1D324A"/>
        </w:rPr>
        <w:t>Evidence Boundary</w:t>
      </w:r>
    </w:p>
    <w:p>
      <w:r>
        <w:rPr>
          <w:sz w:val="17"/>
        </w:rPr>
        <w:t>No claimed universal speedup, production readiness, guaranteed battery/heat/water/cooling savings, smaller hardware, signed traction, or funded tape-out. Final SAFE terms require CFO/counsel approval.</w:t>
      </w:r>
    </w:p>
    <w:p>
      <w:r>
        <w:rPr>
          <w:sz w:val="17"/>
        </w:rPr>
        <w:t>matthew.h.rockwell@gmail.com  |  May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