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12" w:rsidRDefault="00CB4AAC">
      <w:r>
        <w:t>A dynamic approach to input-output modeling:</w:t>
      </w:r>
    </w:p>
    <w:p w:rsidR="00CB4AAC" w:rsidRDefault="00CB4AAC"/>
    <w:p w:rsidR="00CB4AAC" w:rsidRDefault="00CB4AAC">
      <w:r>
        <w:t>Abstract:</w:t>
      </w:r>
    </w:p>
    <w:p w:rsidR="00CB4AAC" w:rsidRDefault="00CB4AAC"/>
    <w:p w:rsidR="00CB4AAC" w:rsidRDefault="00CB4AAC" w:rsidP="00CB4AAC">
      <w:pPr>
        <w:widowControl w:val="0"/>
        <w:autoSpaceDE w:val="0"/>
        <w:autoSpaceDN w:val="0"/>
        <w:adjustRightInd w:val="0"/>
        <w:ind w:left="360" w:right="270"/>
        <w:jc w:val="both"/>
        <w:rPr>
          <w:rFonts w:ascii="font567" w:hAnsi="font567" w:cs="font567"/>
        </w:rPr>
      </w:pPr>
      <w:r>
        <w:rPr>
          <w:rFonts w:ascii="font567" w:hAnsi="font567" w:cs="font567"/>
        </w:rPr>
        <w:t>Previous frameworks for input-output modeling have made the assumption that</w:t>
      </w:r>
      <w:r>
        <w:rPr>
          <w:rFonts w:ascii="font567" w:hAnsi="font567" w:cs="font567"/>
        </w:rPr>
        <w:t xml:space="preserve"> fl</w:t>
      </w:r>
      <w:r>
        <w:rPr>
          <w:rFonts w:ascii="font567" w:hAnsi="font567" w:cs="font567"/>
        </w:rPr>
        <w:t>ows into and out of each economic sector balanc</w:t>
      </w:r>
      <w:r>
        <w:rPr>
          <w:rFonts w:ascii="font567" w:hAnsi="font567" w:cs="font567"/>
        </w:rPr>
        <w:t>e, such that there is no accumu</w:t>
      </w:r>
      <w:r>
        <w:rPr>
          <w:rFonts w:ascii="font567" w:hAnsi="font567" w:cs="font567"/>
        </w:rPr>
        <w:t>lation of economic factors or embodied energy within any of the sectors. This may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be an adequate assumption for a sector of the economy operating at `steady-state',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however the assumption introduces errors for example in analysis of sectors that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are growing rapidly, where a non-negligible propor</w:t>
      </w:r>
      <w:r>
        <w:rPr>
          <w:rFonts w:ascii="font567" w:hAnsi="font567" w:cs="font567"/>
        </w:rPr>
        <w:t>tion of input factors may be in</w:t>
      </w:r>
      <w:r>
        <w:rPr>
          <w:rFonts w:ascii="font567" w:hAnsi="font567" w:cs="font567"/>
        </w:rPr>
        <w:t>vested in accumulation within the sector. This paper presents an extension to the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traditional input-output framework, wherein accumulation is incorporated explicitly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using a dynamic (transient) analysis method. This new approach gives new insight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 xml:space="preserve">into </w:t>
      </w:r>
      <w:proofErr w:type="gramStart"/>
      <w:r>
        <w:rPr>
          <w:rFonts w:ascii="font567" w:hAnsi="font567" w:cs="font567"/>
        </w:rPr>
        <w:t>macro-economics</w:t>
      </w:r>
      <w:proofErr w:type="gramEnd"/>
      <w:r>
        <w:rPr>
          <w:rFonts w:ascii="font567" w:hAnsi="font567" w:cs="font567"/>
        </w:rPr>
        <w:t xml:space="preserve"> including an alternative metric for social development. It al</w:t>
      </w:r>
      <w:r>
        <w:rPr>
          <w:rFonts w:ascii="font567" w:hAnsi="font567" w:cs="font567"/>
        </w:rPr>
        <w:t>s</w:t>
      </w:r>
      <w:r>
        <w:rPr>
          <w:rFonts w:ascii="font567" w:hAnsi="font567" w:cs="font567"/>
        </w:rPr>
        <w:t>o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raises issues for input-output-based methods for net energy analysis. The alterna</w:t>
      </w:r>
      <w:r>
        <w:rPr>
          <w:rFonts w:ascii="font567" w:hAnsi="font567" w:cs="font567"/>
        </w:rPr>
        <w:t>tive perspective off</w:t>
      </w:r>
      <w:r>
        <w:rPr>
          <w:rFonts w:ascii="font567" w:hAnsi="font567" w:cs="font567"/>
        </w:rPr>
        <w:t>ered by this new method is used to explore the implications of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extraction of declining quality resources from the environment.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right="270"/>
        <w:jc w:val="both"/>
        <w:rPr>
          <w:rFonts w:ascii="font567" w:hAnsi="font567" w:cs="font567"/>
        </w:rPr>
      </w:pP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Contents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1 Introduction 3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1.1 Brief history of input-output (I-O) modeling . . . . . . . . . . . . . . 3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1</w:t>
      </w:r>
      <w:r>
        <w:rPr>
          <w:rFonts w:ascii="font567" w:hAnsi="font567" w:cs="font567"/>
        </w:rPr>
        <w:t xml:space="preserve">.2 Basic I-O method . . . .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4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1.3 An I-O method for dynamic (transient) economic analysis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6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 xml:space="preserve">2 </w:t>
      </w:r>
      <w:proofErr w:type="gramStart"/>
      <w:r>
        <w:rPr>
          <w:rFonts w:ascii="font567" w:hAnsi="font567" w:cs="font567"/>
        </w:rPr>
        <w:t>Methodology</w:t>
      </w:r>
      <w:proofErr w:type="gramEnd"/>
      <w:r>
        <w:rPr>
          <w:rFonts w:ascii="font567" w:hAnsi="font567" w:cs="font567"/>
        </w:rPr>
        <w:t xml:space="preserve"> 6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2.1 Model economy . . . .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. 6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2.2 Direct energy (E), indirect (embodied) energy (B), and waste heat (Q) 6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2.3 Total energy (T) . . . .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8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3 Example A: single sector economy 10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3.1 First Law of Thermodynamics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10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3.2 Total energy accounting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11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3.3 Embodied energy accounting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. 12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3.4 Depreciation . . . . . . .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14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4 Value (X), energy intensity (</w:t>
      </w:r>
      <w:r w:rsidRPr="00CB4AAC">
        <w:rPr>
          <w:rFonts w:ascii="font567" w:hAnsi="font567" w:cs="font567"/>
        </w:rPr>
        <w:t>ε</w:t>
      </w:r>
      <w:r>
        <w:rPr>
          <w:rFonts w:ascii="font567" w:hAnsi="font567" w:cs="font567"/>
        </w:rPr>
        <w:t>), and the input-output ratio (a) 14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4.1 Value </w:t>
      </w:r>
      <w:r>
        <w:rPr>
          <w:rFonts w:ascii="font567" w:hAnsi="font567" w:cs="font567"/>
        </w:rPr>
        <w:t xml:space="preserve">flows </w:t>
      </w:r>
      <w:proofErr w:type="gramStart"/>
      <w:r>
        <w:rPr>
          <w:rFonts w:ascii="font567" w:hAnsi="font567" w:cs="font567"/>
        </w:rPr>
        <w:t xml:space="preserve">( </w:t>
      </w:r>
      <w:r>
        <w:rPr>
          <w:rFonts w:ascii="font567" w:hAnsi="font567" w:cs="font567"/>
        </w:rPr>
        <w:t>X</w:t>
      </w:r>
      <w:proofErr w:type="gramEnd"/>
      <w:r>
        <w:rPr>
          <w:rFonts w:ascii="font567" w:hAnsi="font567" w:cs="font567"/>
          <w:sz w:val="12"/>
          <w:szCs w:val="12"/>
        </w:rPr>
        <w:t xml:space="preserve"> </w:t>
      </w:r>
      <w:r>
        <w:rPr>
          <w:rFonts w:ascii="font567" w:hAnsi="font567" w:cs="font567"/>
        </w:rPr>
        <w:t>) . . . . . . . . . . . . . . . . . . . . . . . . . . . . . . 14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4.2 Energy intensity (</w:t>
      </w:r>
      <w:r w:rsidRPr="00CB4AAC">
        <w:rPr>
          <w:rFonts w:ascii="font567" w:hAnsi="font567" w:cs="font567"/>
        </w:rPr>
        <w:t>ε</w:t>
      </w:r>
      <w:r>
        <w:rPr>
          <w:rFonts w:ascii="font567" w:hAnsi="font567" w:cs="font567"/>
        </w:rPr>
        <w:t>) . . . . . . . . . . . . . . . . . . . . . . . . . . . . 15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4.3 Input-output ratios (a) . . . . . . . . . . . . . . . . . . . . . . . . . . 15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 xml:space="preserve">5 Example B: a </w:t>
      </w:r>
      <w:proofErr w:type="gramStart"/>
      <w:r>
        <w:rPr>
          <w:rFonts w:ascii="font567" w:hAnsi="font567" w:cs="font567"/>
        </w:rPr>
        <w:t>one sector</w:t>
      </w:r>
      <w:proofErr w:type="gramEnd"/>
      <w:r>
        <w:rPr>
          <w:rFonts w:ascii="font567" w:hAnsi="font567" w:cs="font567"/>
        </w:rPr>
        <w:t xml:space="preserve"> economy with external demand 16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5.1 First Law of Thermodynamics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16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5.2 Total energy accounting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17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5.3 Embodied energy accounting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. 18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5.4 Depreciation . . . . . . .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19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5.5 Estimating energy intensity (") of the economy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19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5.6 Derivation of eco</w:t>
      </w:r>
      <w:r>
        <w:rPr>
          <w:rFonts w:ascii="font567" w:hAnsi="font567" w:cs="font567"/>
        </w:rPr>
        <w:t>nomic sector energy intensity (</w:t>
      </w:r>
      <w:r w:rsidRPr="00CB4AAC">
        <w:rPr>
          <w:rFonts w:ascii="font567" w:hAnsi="font567" w:cs="font567"/>
        </w:rPr>
        <w:t>ε</w:t>
      </w:r>
      <w:r>
        <w:rPr>
          <w:rFonts w:ascii="font567" w:hAnsi="font567" w:cs="font567"/>
        </w:rPr>
        <w:t>) by a convergent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in</w:t>
      </w:r>
      <w:r>
        <w:rPr>
          <w:rFonts w:ascii="font567" w:hAnsi="font567" w:cs="font567"/>
        </w:rPr>
        <w:t>fi</w:t>
      </w:r>
      <w:r>
        <w:rPr>
          <w:rFonts w:ascii="font567" w:hAnsi="font567" w:cs="font567"/>
        </w:rPr>
        <w:t>nite series . . . . . . . . . . . . . . . . . . . . . . . . . . . . . . . 21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lastRenderedPageBreak/>
        <w:t>6 Example C: a two-sector economy 22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6.1 First Law of Thermodynamics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22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6.2 Total energy accounting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24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6.3 Embodied energy accounting . . . .</w:t>
      </w:r>
      <w:r>
        <w:rPr>
          <w:rFonts w:ascii="font567" w:hAnsi="font567" w:cs="font567"/>
          <w:sz w:val="12"/>
          <w:szCs w:val="12"/>
        </w:rPr>
        <w:t xml:space="preserve"> </w:t>
      </w:r>
      <w:r>
        <w:rPr>
          <w:rFonts w:ascii="font567" w:hAnsi="font567" w:cs="font567"/>
        </w:rPr>
        <w:t xml:space="preserve">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. 25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6.4 De</w:t>
      </w:r>
      <w:r>
        <w:rPr>
          <w:rFonts w:ascii="font567" w:hAnsi="font567" w:cs="font567"/>
        </w:rPr>
        <w:t>fi</w:t>
      </w:r>
      <w:r>
        <w:rPr>
          <w:rFonts w:ascii="font567" w:hAnsi="font567" w:cs="font567"/>
        </w:rPr>
        <w:t>nition</w:t>
      </w:r>
      <w:r>
        <w:rPr>
          <w:rFonts w:ascii="font567" w:hAnsi="font567" w:cs="font567"/>
        </w:rPr>
        <w:t xml:space="preserve"> of embodied energy </w:t>
      </w:r>
      <w:proofErr w:type="gramStart"/>
      <w:r>
        <w:rPr>
          <w:rFonts w:ascii="font567" w:hAnsi="font567" w:cs="font567"/>
        </w:rPr>
        <w:t xml:space="preserve">( </w:t>
      </w:r>
      <w:r>
        <w:rPr>
          <w:rFonts w:ascii="font567" w:hAnsi="font567" w:cs="font567"/>
        </w:rPr>
        <w:t>B</w:t>
      </w:r>
      <w:proofErr w:type="gramEnd"/>
      <w:r>
        <w:rPr>
          <w:rFonts w:ascii="font567" w:hAnsi="font567" w:cs="font567"/>
          <w:sz w:val="12"/>
          <w:szCs w:val="12"/>
        </w:rPr>
        <w:t xml:space="preserve"> </w:t>
      </w:r>
      <w:r>
        <w:rPr>
          <w:rFonts w:ascii="font567" w:hAnsi="font567" w:cs="font567"/>
        </w:rPr>
        <w:t>) . . . . . . . . . . . . . . . . . . . . 26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6.5 Depreciation . . . . . . .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27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6.6 Final demand . . . . . . . . . . . . . . . . . . . . . . . . . . . . . . . 28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6.7 Flows o</w:t>
      </w:r>
      <w:r>
        <w:rPr>
          <w:rFonts w:ascii="font567" w:hAnsi="font567" w:cs="font567"/>
        </w:rPr>
        <w:t>f Value (</w:t>
      </w:r>
      <w:r>
        <w:rPr>
          <w:rFonts w:ascii="font567" w:hAnsi="font567" w:cs="font567"/>
        </w:rPr>
        <w:t>X) . . . . . . . . . . . . . . . . . . . . . . . . . . . . 29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6.8 Matrix Formulation . . . . . . . . . . . . . . . . . . . . . . . . . . . . 30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6.9 Estimating </w:t>
      </w:r>
      <w:r w:rsidRPr="00CB4AAC">
        <w:rPr>
          <w:rFonts w:ascii="font567" w:hAnsi="font567" w:cs="font567"/>
        </w:rPr>
        <w:t>ε</w:t>
      </w:r>
      <w:r>
        <w:rPr>
          <w:rFonts w:ascii="font567" w:hAnsi="font567" w:cs="font567"/>
        </w:rPr>
        <w:t xml:space="preserve"> and </w:t>
      </w:r>
      <w:r>
        <w:rPr>
          <w:rFonts w:ascii="font567" w:hAnsi="font567" w:cs="font567"/>
        </w:rPr>
        <w:t>dB/</w:t>
      </w:r>
      <w:proofErr w:type="spellStart"/>
      <w:r>
        <w:rPr>
          <w:rFonts w:ascii="font567" w:hAnsi="font567" w:cs="font567"/>
        </w:rPr>
        <w:t>bt</w:t>
      </w:r>
      <w:r>
        <w:rPr>
          <w:rFonts w:ascii="font567" w:hAnsi="font567" w:cs="font567"/>
        </w:rPr>
        <w:t>.</w:t>
      </w:r>
      <w:proofErr w:type="spellEnd"/>
      <w:r>
        <w:rPr>
          <w:rFonts w:ascii="font567" w:hAnsi="font567" w:cs="font567"/>
        </w:rPr>
        <w:t xml:space="preserve"> . . . . . . . . . . . . . . . . . . . . . . . . . . 32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7 Example D: a two-sector economy with durable and non-durable</w:t>
      </w:r>
      <w:r>
        <w:rPr>
          <w:rFonts w:ascii="font567" w:hAnsi="font567" w:cs="font567"/>
        </w:rPr>
        <w:t xml:space="preserve"> </w:t>
      </w:r>
      <w:r>
        <w:rPr>
          <w:rFonts w:ascii="font567" w:hAnsi="font567" w:cs="font567"/>
        </w:rPr>
        <w:t>goods 33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7.1 First Law of Thermodynamics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34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7.2 Total energy accounting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35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7.3 Embodied energy accounting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. 36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7.4 Depreciation . . . . . . .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37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7.5 Final demand . . . . . . . . . . . . . . . . . . . . . . . . . . . . . . . 37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7.</w:t>
      </w:r>
      <w:r>
        <w:rPr>
          <w:rFonts w:ascii="font567" w:hAnsi="font567" w:cs="font567"/>
        </w:rPr>
        <w:t>6 Flows of Value (</w:t>
      </w:r>
      <w:proofErr w:type="gramStart"/>
      <w:r>
        <w:rPr>
          <w:rFonts w:ascii="font567" w:hAnsi="font567" w:cs="font567"/>
        </w:rPr>
        <w:t>X</w:t>
      </w:r>
      <w:r>
        <w:rPr>
          <w:rFonts w:ascii="font567" w:hAnsi="font567" w:cs="font567"/>
          <w:sz w:val="12"/>
          <w:szCs w:val="12"/>
        </w:rPr>
        <w:t xml:space="preserve"> </w:t>
      </w:r>
      <w:r>
        <w:rPr>
          <w:rFonts w:ascii="font567" w:hAnsi="font567" w:cs="font567"/>
        </w:rPr>
        <w:t>)</w:t>
      </w:r>
      <w:proofErr w:type="gramEnd"/>
      <w:r>
        <w:rPr>
          <w:rFonts w:ascii="font567" w:hAnsi="font567" w:cs="font567"/>
        </w:rPr>
        <w:t xml:space="preserve"> . . . . . . . . . . . . . . . . . . . . . . . . . . . . 38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7.7 Matrix Formulation . . . . . . . . . . . . . . . . . . . . . . . . . . . . 38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7.8 Estimating </w:t>
      </w:r>
      <w:r w:rsidRPr="00CB4AAC">
        <w:rPr>
          <w:rFonts w:ascii="font567" w:hAnsi="font567" w:cs="font567"/>
        </w:rPr>
        <w:t>ε</w:t>
      </w:r>
      <w:r>
        <w:rPr>
          <w:rFonts w:ascii="font567" w:hAnsi="font567" w:cs="font567"/>
        </w:rPr>
        <w:t xml:space="preserve"> and</w:t>
      </w:r>
      <w:r>
        <w:rPr>
          <w:rFonts w:ascii="font567" w:hAnsi="font567" w:cs="font567"/>
        </w:rPr>
        <w:t xml:space="preserve"> dB/</w:t>
      </w:r>
      <w:proofErr w:type="spellStart"/>
      <w:r>
        <w:rPr>
          <w:rFonts w:ascii="font567" w:hAnsi="font567" w:cs="font567"/>
        </w:rPr>
        <w:t>bt</w:t>
      </w:r>
      <w:proofErr w:type="spellEnd"/>
      <w:r>
        <w:rPr>
          <w:rFonts w:ascii="font567" w:hAnsi="font567" w:cs="font567"/>
          <w:sz w:val="12"/>
          <w:szCs w:val="12"/>
        </w:rPr>
        <w:t xml:space="preserve"> </w:t>
      </w:r>
      <w:r>
        <w:rPr>
          <w:rFonts w:ascii="font567" w:hAnsi="font567" w:cs="font567"/>
        </w:rPr>
        <w:t xml:space="preserve">. . . . .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39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8 Implications 40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8.1 Implications for economic \development"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. 40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8.2 Implications for the I-O method . . . . . . . . . . . . . . . . . . . . . 42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8.3 Implications for recycling, reuse, and dematerialization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43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>8.4 Comparison to a Steady-state Economy . . . . . . . . . . . . . . . . . 44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9 Conceptual and Theoretical Issues 44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9.1 Choice of Energy Input Vector . . . . . . . . . . . . . . . . . . . .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44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9.2 What is Endogenous?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. . . . . . . . . . . . . . . . . . . . . . . . . 45</w:t>
      </w:r>
    </w:p>
    <w:p w:rsidR="00CB4AAC" w:rsidRDefault="00CB4AAC" w:rsidP="00CB4AAC">
      <w:pPr>
        <w:widowControl w:val="0"/>
        <w:autoSpaceDE w:val="0"/>
        <w:autoSpaceDN w:val="0"/>
        <w:adjustRightInd w:val="0"/>
        <w:ind w:firstLine="720"/>
        <w:rPr>
          <w:rFonts w:ascii="font567" w:hAnsi="font567" w:cs="font567"/>
        </w:rPr>
      </w:pPr>
      <w:r>
        <w:rPr>
          <w:rFonts w:ascii="font567" w:hAnsi="font567" w:cs="font567"/>
        </w:rPr>
        <w:t xml:space="preserve">9.3 What About the Sun? </w:t>
      </w:r>
      <w:proofErr w:type="gramStart"/>
      <w:r>
        <w:rPr>
          <w:rFonts w:ascii="font567" w:hAnsi="font567" w:cs="font567"/>
        </w:rPr>
        <w:t>. .</w:t>
      </w:r>
      <w:proofErr w:type="gramEnd"/>
      <w:r>
        <w:rPr>
          <w:rFonts w:ascii="font567" w:hAnsi="font567" w:cs="font567"/>
        </w:rPr>
        <w:t xml:space="preserve"> . . . . . . . . . . . . . . . . . . . . . . . . 46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Appendix A Proof of Equation 94 46</w:t>
      </w:r>
    </w:p>
    <w:p w:rsidR="00CB4AAC" w:rsidRDefault="00CB4AAC" w:rsidP="00CB4AAC">
      <w:pPr>
        <w:widowControl w:val="0"/>
        <w:autoSpaceDE w:val="0"/>
        <w:autoSpaceDN w:val="0"/>
        <w:adjustRightInd w:val="0"/>
        <w:rPr>
          <w:rFonts w:ascii="font567" w:hAnsi="font567" w:cs="font567"/>
        </w:rPr>
      </w:pPr>
      <w:r>
        <w:rPr>
          <w:rFonts w:ascii="font567" w:hAnsi="font567" w:cs="font567"/>
        </w:rPr>
        <w:t>Appendix B Proof of Equation 95 47</w:t>
      </w:r>
    </w:p>
    <w:p w:rsidR="00CB4AAC" w:rsidRDefault="00CB4AAC" w:rsidP="00CB4AAC">
      <w:pPr>
        <w:widowControl w:val="0"/>
        <w:autoSpaceDE w:val="0"/>
        <w:autoSpaceDN w:val="0"/>
        <w:adjustRightInd w:val="0"/>
        <w:jc w:val="both"/>
      </w:pPr>
      <w:bookmarkStart w:id="0" w:name="_GoBack"/>
      <w:bookmarkEnd w:id="0"/>
      <w:r>
        <w:rPr>
          <w:rFonts w:ascii="font567" w:hAnsi="font567" w:cs="font567"/>
        </w:rPr>
        <w:t>Appendix C Derivation of Equation 96 48</w:t>
      </w:r>
    </w:p>
    <w:sectPr w:rsidR="00CB4AAC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5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AC"/>
    <w:rsid w:val="006B7D12"/>
    <w:rsid w:val="00C376F9"/>
    <w:rsid w:val="00C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6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766</Words>
  <Characters>4371</Characters>
  <Application>Microsoft Macintosh Word</Application>
  <DocSecurity>0</DocSecurity>
  <Lines>36</Lines>
  <Paragraphs>10</Paragraphs>
  <ScaleCrop>false</ScaleCrop>
  <Company>Stanford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1</cp:revision>
  <dcterms:created xsi:type="dcterms:W3CDTF">2013-07-22T17:38:00Z</dcterms:created>
  <dcterms:modified xsi:type="dcterms:W3CDTF">2013-07-22T17:48:00Z</dcterms:modified>
</cp:coreProperties>
</file>