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0606" w:rsidRDefault="00B30971">
      <w:pPr>
        <w:pStyle w:val="normal0"/>
        <w:ind w:left="360" w:right="270"/>
        <w:jc w:val="both"/>
      </w:pPr>
      <w:bookmarkStart w:id="0" w:name="_GoBack"/>
      <w:bookmarkEnd w:id="0"/>
      <w:r>
        <w:rPr>
          <w:sz w:val="24"/>
        </w:rPr>
        <w:t>Previous frameworks for both economic and energy input-output (I-O) modeling have made the assumption that flows into and out of each economic sector balance, meaning that there is no accumulation of economic factors—resources, labor, capital—or embodied e</w:t>
      </w:r>
      <w:r>
        <w:rPr>
          <w:sz w:val="24"/>
        </w:rPr>
        <w:t>nergy within any of the sectors. This may be an adequate assumption for a sector of the economy operating at `steady-state'. However, the assumption introduces errors in energy intensity estimates (e.g., kilojoules required per dollar of economic output) i</w:t>
      </w:r>
      <w:r>
        <w:rPr>
          <w:sz w:val="24"/>
        </w:rPr>
        <w:t>n analysis of sectors that are growing rapidly, or any sector that has a non-negligible proportion of input factors (</w:t>
      </w:r>
      <w:r>
        <w:rPr>
          <w:sz w:val="24"/>
        </w:rPr>
        <w:t>with their</w:t>
      </w:r>
      <w:r>
        <w:rPr>
          <w:sz w:val="24"/>
        </w:rPr>
        <w:t xml:space="preserve"> associated embodied energy) accumulat</w:t>
      </w:r>
      <w:r>
        <w:rPr>
          <w:sz w:val="24"/>
        </w:rPr>
        <w:t>ing</w:t>
      </w:r>
      <w:r>
        <w:rPr>
          <w:sz w:val="24"/>
        </w:rPr>
        <w:t xml:space="preserve"> as capital within the sector. This issue takes on particular importance as mode</w:t>
      </w:r>
      <w:r>
        <w:rPr>
          <w:sz w:val="24"/>
        </w:rPr>
        <w:t>rn socie</w:t>
      </w:r>
      <w:r>
        <w:rPr>
          <w:sz w:val="24"/>
        </w:rPr>
        <w:t xml:space="preserve">ties encounter </w:t>
      </w:r>
      <w:r>
        <w:rPr>
          <w:sz w:val="24"/>
        </w:rPr>
        <w:t xml:space="preserve">fossil fuel depletion-induced energy transitions </w:t>
      </w:r>
      <w:r>
        <w:rPr>
          <w:sz w:val="24"/>
        </w:rPr>
        <w:t>and move toward “</w:t>
      </w:r>
      <w:r>
        <w:rPr>
          <w:sz w:val="24"/>
        </w:rPr>
        <w:t>green</w:t>
      </w:r>
      <w:r>
        <w:rPr>
          <w:sz w:val="24"/>
        </w:rPr>
        <w:t>er”</w:t>
      </w:r>
      <w:r>
        <w:rPr>
          <w:sz w:val="24"/>
        </w:rPr>
        <w:t xml:space="preserve"> economies</w:t>
      </w:r>
      <w:r>
        <w:rPr>
          <w:sz w:val="24"/>
        </w:rPr>
        <w:t xml:space="preserve"> </w:t>
      </w:r>
      <w:r>
        <w:rPr>
          <w:sz w:val="24"/>
        </w:rPr>
        <w:t xml:space="preserve">via voluntary </w:t>
      </w:r>
      <w:r>
        <w:rPr>
          <w:sz w:val="24"/>
        </w:rPr>
        <w:t>carbon emissions reductions</w:t>
      </w:r>
      <w:r>
        <w:rPr>
          <w:sz w:val="24"/>
        </w:rPr>
        <w:t>.</w:t>
      </w:r>
    </w:p>
    <w:p w:rsidR="00A00606" w:rsidRDefault="00A00606">
      <w:pPr>
        <w:pStyle w:val="normal0"/>
        <w:ind w:left="360" w:right="270"/>
        <w:jc w:val="both"/>
      </w:pPr>
    </w:p>
    <w:p w:rsidR="00A00606" w:rsidRDefault="00B30971">
      <w:pPr>
        <w:pStyle w:val="normal0"/>
        <w:ind w:left="360" w:right="270"/>
        <w:jc w:val="both"/>
      </w:pPr>
      <w:bookmarkStart w:id="1" w:name="h.o9ertkwq7tag" w:colFirst="0" w:colLast="0"/>
      <w:bookmarkEnd w:id="1"/>
      <w:r>
        <w:rPr>
          <w:sz w:val="24"/>
        </w:rPr>
        <w:t>Development of manufacturing facilities for new goods during a technological transition (e.g. rapid transition t</w:t>
      </w:r>
      <w:r>
        <w:rPr>
          <w:sz w:val="24"/>
        </w:rPr>
        <w:t xml:space="preserve">o electric vehicles) requires a high rate of capital investment. This </w:t>
      </w:r>
      <w:r>
        <w:rPr>
          <w:sz w:val="24"/>
        </w:rPr>
        <w:t xml:space="preserve">capital investment increases </w:t>
      </w:r>
      <w:r>
        <w:rPr>
          <w:sz w:val="24"/>
        </w:rPr>
        <w:t xml:space="preserve">materials and energy </w:t>
      </w:r>
      <w:r>
        <w:rPr>
          <w:sz w:val="24"/>
        </w:rPr>
        <w:t>embodied</w:t>
      </w:r>
      <w:r>
        <w:rPr>
          <w:sz w:val="24"/>
        </w:rPr>
        <w:t xml:space="preserve"> within the sector itself. </w:t>
      </w:r>
      <w:r>
        <w:rPr>
          <w:sz w:val="24"/>
        </w:rPr>
        <w:t>The traditional I-O framework assumes no change in economic structure, i.e. no accumulation or deprec</w:t>
      </w:r>
      <w:r>
        <w:rPr>
          <w:sz w:val="24"/>
        </w:rPr>
        <w:t xml:space="preserve">iation of capital and no technological change. </w:t>
      </w:r>
      <w:r>
        <w:rPr>
          <w:sz w:val="24"/>
        </w:rPr>
        <w:t>The previous I-O framework does not account for capital investment (and associated embodied energy) when estimating the energy and resource intensity of the produc</w:t>
      </w:r>
      <w:r>
        <w:rPr>
          <w:sz w:val="24"/>
        </w:rPr>
        <w:t>ed</w:t>
      </w:r>
      <w:r>
        <w:rPr>
          <w:sz w:val="24"/>
        </w:rPr>
        <w:t xml:space="preserve"> goods. Nor does </w:t>
      </w:r>
      <w:r>
        <w:rPr>
          <w:sz w:val="24"/>
        </w:rPr>
        <w:t>it</w:t>
      </w:r>
      <w:r>
        <w:rPr>
          <w:sz w:val="24"/>
        </w:rPr>
        <w:t xml:space="preserve"> account for the energy f</w:t>
      </w:r>
      <w:r>
        <w:rPr>
          <w:sz w:val="24"/>
        </w:rPr>
        <w:t xml:space="preserve">low rates required during these types of transitions. Thus, the previous I-O framework </w:t>
      </w:r>
      <w:proofErr w:type="gramStart"/>
      <w:r>
        <w:rPr>
          <w:sz w:val="24"/>
        </w:rPr>
        <w:t>cannot</w:t>
      </w:r>
      <w:proofErr w:type="gramEnd"/>
      <w:r>
        <w:rPr>
          <w:sz w:val="24"/>
        </w:rPr>
        <w:t xml:space="preserve"> correctly predict or evaluate the energy requirements of the production </w:t>
      </w:r>
      <w:r>
        <w:rPr>
          <w:sz w:val="24"/>
        </w:rPr>
        <w:t>ramp-up</w:t>
      </w:r>
      <w:r>
        <w:rPr>
          <w:sz w:val="24"/>
        </w:rPr>
        <w:t xml:space="preserve">. </w:t>
      </w:r>
    </w:p>
    <w:p w:rsidR="00A00606" w:rsidRDefault="00A00606">
      <w:pPr>
        <w:pStyle w:val="normal0"/>
        <w:ind w:left="360" w:right="270"/>
        <w:jc w:val="both"/>
      </w:pPr>
      <w:bookmarkStart w:id="2" w:name="h.y1sym7m86sg0" w:colFirst="0" w:colLast="0"/>
      <w:bookmarkEnd w:id="2"/>
    </w:p>
    <w:p w:rsidR="00A00606" w:rsidRDefault="00B30971">
      <w:pPr>
        <w:pStyle w:val="normal0"/>
        <w:ind w:left="360" w:right="270"/>
        <w:jc w:val="both"/>
      </w:pPr>
      <w:r>
        <w:rPr>
          <w:sz w:val="24"/>
        </w:rPr>
        <w:t>The transient analysis method presented herein provides a better description of</w:t>
      </w:r>
      <w:r>
        <w:rPr>
          <w:sz w:val="24"/>
        </w:rPr>
        <w:t xml:space="preserve"> physical factors, particularly energy and material flows. It accounts for accumulation of capital stock in economic sectors, thereby providing a dynamic picture of energy and economic transitions. In short, this method provides new tools to help navigate </w:t>
      </w:r>
      <w:r>
        <w:rPr>
          <w:sz w:val="24"/>
        </w:rPr>
        <w:t>the significant changes underway in modern economies.</w:t>
      </w:r>
    </w:p>
    <w:p w:rsidR="00A00606" w:rsidRDefault="00A00606">
      <w:pPr>
        <w:pStyle w:val="normal0"/>
        <w:ind w:left="360" w:right="270"/>
        <w:jc w:val="both"/>
      </w:pPr>
      <w:bookmarkStart w:id="3" w:name="h.ephev527gxgt" w:colFirst="0" w:colLast="0"/>
      <w:bookmarkEnd w:id="3"/>
    </w:p>
    <w:p w:rsidR="00A00606" w:rsidRDefault="00B30971">
      <w:pPr>
        <w:pStyle w:val="normal0"/>
        <w:ind w:left="360" w:right="270"/>
        <w:jc w:val="both"/>
      </w:pPr>
      <w:bookmarkStart w:id="4" w:name="h.vhtten1sj5ej" w:colFirst="0" w:colLast="0"/>
      <w:bookmarkEnd w:id="4"/>
      <w:r>
        <w:rPr>
          <w:sz w:val="24"/>
        </w:rPr>
        <w:t>An illustrative example that runs through the book is the US auto industry, which is clearly important in any energy transition because transportation consumes a high proportion of liquid fuels</w:t>
      </w:r>
      <w:r>
        <w:rPr>
          <w:sz w:val="24"/>
        </w:rPr>
        <w:t xml:space="preserve"> and a</w:t>
      </w:r>
      <w:r>
        <w:rPr>
          <w:sz w:val="24"/>
        </w:rPr>
        <w:t>ut</w:t>
      </w:r>
      <w:r>
        <w:rPr>
          <w:sz w:val="24"/>
        </w:rPr>
        <w:t xml:space="preserve">omobile production is a </w:t>
      </w:r>
      <w:proofErr w:type="gramStart"/>
      <w:r>
        <w:rPr>
          <w:sz w:val="24"/>
        </w:rPr>
        <w:t>capital</w:t>
      </w:r>
      <w:r>
        <w:rPr>
          <w:sz w:val="24"/>
        </w:rPr>
        <w:t xml:space="preserve"> </w:t>
      </w:r>
      <w:r>
        <w:rPr>
          <w:sz w:val="24"/>
        </w:rPr>
        <w:t>intensive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endeavour</w:t>
      </w:r>
      <w:proofErr w:type="spellEnd"/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 xml:space="preserve">Thus, major capital investment will be required to support a technological transition </w:t>
      </w:r>
      <w:r>
        <w:rPr>
          <w:sz w:val="24"/>
        </w:rPr>
        <w:t>away from liquid fossil fuels to renewable energy</w:t>
      </w:r>
      <w:r>
        <w:rPr>
          <w:sz w:val="24"/>
        </w:rPr>
        <w:t xml:space="preserve">. </w:t>
      </w:r>
    </w:p>
    <w:p w:rsidR="00A00606" w:rsidRDefault="00A00606">
      <w:pPr>
        <w:pStyle w:val="normal0"/>
        <w:ind w:left="360" w:right="270"/>
        <w:jc w:val="both"/>
      </w:pPr>
      <w:bookmarkStart w:id="5" w:name="h.41nk5ny2zbfh" w:colFirst="0" w:colLast="0"/>
      <w:bookmarkEnd w:id="5"/>
    </w:p>
    <w:p w:rsidR="00A00606" w:rsidRDefault="00B30971">
      <w:pPr>
        <w:pStyle w:val="normal0"/>
        <w:ind w:left="360" w:right="270"/>
        <w:jc w:val="both"/>
      </w:pPr>
      <w:bookmarkStart w:id="6" w:name="h.gjdgxs" w:colFirst="0" w:colLast="0"/>
      <w:bookmarkEnd w:id="6"/>
      <w:r>
        <w:rPr>
          <w:sz w:val="24"/>
        </w:rPr>
        <w:t xml:space="preserve">____ </w:t>
      </w: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we change our metaphor from economy as “engine” to econo</w:t>
      </w:r>
      <w:r>
        <w:rPr>
          <w:sz w:val="24"/>
        </w:rPr>
        <w:t>my as “organism,” understanding how economies metabolize materials and energy is essential. ____</w:t>
      </w:r>
    </w:p>
    <w:p w:rsidR="00A00606" w:rsidRDefault="00A00606">
      <w:pPr>
        <w:pStyle w:val="normal0"/>
        <w:ind w:right="270"/>
        <w:jc w:val="both"/>
      </w:pPr>
    </w:p>
    <w:p w:rsidR="00A00606" w:rsidRDefault="00B30971">
      <w:pPr>
        <w:pStyle w:val="normal0"/>
        <w:ind w:left="360" w:right="270"/>
        <w:jc w:val="both"/>
      </w:pPr>
      <w:r>
        <w:rPr>
          <w:sz w:val="24"/>
        </w:rPr>
        <w:t xml:space="preserve">An improved understanding of </w:t>
      </w:r>
      <w:r>
        <w:rPr>
          <w:sz w:val="24"/>
        </w:rPr>
        <w:t>“</w:t>
      </w:r>
      <w:r>
        <w:rPr>
          <w:sz w:val="24"/>
        </w:rPr>
        <w:t>economic metabolism</w:t>
      </w:r>
      <w:r>
        <w:rPr>
          <w:sz w:val="24"/>
        </w:rPr>
        <w:t>”</w:t>
      </w:r>
      <w:r>
        <w:rPr>
          <w:sz w:val="24"/>
        </w:rPr>
        <w:t xml:space="preserve"> can promote better prescriptive formulations as we enter a </w:t>
      </w:r>
      <w:proofErr w:type="gramStart"/>
      <w:r>
        <w:rPr>
          <w:sz w:val="24"/>
        </w:rPr>
        <w:t>new  regime</w:t>
      </w:r>
      <w:proofErr w:type="gramEnd"/>
      <w:r>
        <w:rPr>
          <w:sz w:val="24"/>
        </w:rPr>
        <w:t xml:space="preserve"> of economic and social adjustments t</w:t>
      </w:r>
      <w:r>
        <w:rPr>
          <w:sz w:val="24"/>
        </w:rPr>
        <w:t xml:space="preserve">o a world of finite resources. </w:t>
      </w:r>
    </w:p>
    <w:p w:rsidR="00A00606" w:rsidRDefault="00A00606">
      <w:pPr>
        <w:pStyle w:val="normal0"/>
        <w:ind w:right="270"/>
        <w:jc w:val="both"/>
      </w:pPr>
    </w:p>
    <w:p w:rsidR="00A00606" w:rsidRDefault="00B30971">
      <w:pPr>
        <w:pStyle w:val="normal0"/>
        <w:numPr>
          <w:ilvl w:val="0"/>
          <w:numId w:val="1"/>
        </w:numPr>
        <w:tabs>
          <w:tab w:val="left" w:pos="720"/>
        </w:tabs>
        <w:ind w:hanging="359"/>
        <w:contextualSpacing/>
      </w:pPr>
      <w:r>
        <w:rPr>
          <w:rFonts w:ascii="Helvetica Neue" w:eastAsia="Helvetica Neue" w:hAnsi="Helvetica Neue" w:cs="Helvetica Neue"/>
        </w:rPr>
        <w:t>Presents an improved methodology for input-output modeling, which is the current basis of national accounting used by the U.S. Bureau of Economic Analysis (BEA).</w:t>
      </w:r>
    </w:p>
    <w:p w:rsidR="00A00606" w:rsidRDefault="00B30971">
      <w:pPr>
        <w:pStyle w:val="normal0"/>
        <w:numPr>
          <w:ilvl w:val="0"/>
          <w:numId w:val="1"/>
        </w:numPr>
        <w:tabs>
          <w:tab w:val="left" w:pos="720"/>
        </w:tabs>
        <w:ind w:hanging="359"/>
        <w:contextualSpacing/>
      </w:pPr>
      <w:r>
        <w:rPr>
          <w:rFonts w:ascii="Helvetica Neue" w:eastAsia="Helvetica Neue" w:hAnsi="Helvetica Neue" w:cs="Helvetica Neue"/>
        </w:rPr>
        <w:t>Provides a concrete linkage between energy input-output model</w:t>
      </w:r>
      <w:r>
        <w:rPr>
          <w:rFonts w:ascii="Helvetica Neue" w:eastAsia="Helvetica Neue" w:hAnsi="Helvetica Neue" w:cs="Helvetica Neue"/>
        </w:rPr>
        <w:t>ing and BEA national accounting.</w:t>
      </w:r>
    </w:p>
    <w:p w:rsidR="00A00606" w:rsidRDefault="00B30971">
      <w:pPr>
        <w:pStyle w:val="normal0"/>
        <w:numPr>
          <w:ilvl w:val="0"/>
          <w:numId w:val="1"/>
        </w:numPr>
        <w:tabs>
          <w:tab w:val="left" w:pos="720"/>
        </w:tabs>
        <w:ind w:hanging="359"/>
        <w:contextualSpacing/>
      </w:pPr>
      <w:r>
        <w:rPr>
          <w:rFonts w:ascii="Helvetica Neue" w:eastAsia="Helvetica Neue" w:hAnsi="Helvetica Neue" w:cs="Helvetica Neue"/>
        </w:rPr>
        <w:t>Develops an input-output methodology that is fully consistent with 1</w:t>
      </w:r>
      <w:r>
        <w:rPr>
          <w:rFonts w:ascii="Helvetica Neue" w:eastAsia="Helvetica Neue" w:hAnsi="Helvetica Neue" w:cs="Helvetica Neue"/>
          <w:vertAlign w:val="superscript"/>
        </w:rPr>
        <w:t>st</w:t>
      </w:r>
      <w:r>
        <w:rPr>
          <w:rFonts w:ascii="Helvetica Neue" w:eastAsia="Helvetica Neue" w:hAnsi="Helvetica Neue" w:cs="Helvetica Neue"/>
        </w:rPr>
        <w:t xml:space="preserve"> and 2</w:t>
      </w:r>
      <w:r>
        <w:rPr>
          <w:rFonts w:ascii="Helvetica Neue" w:eastAsia="Helvetica Neue" w:hAnsi="Helvetica Neue" w:cs="Helvetica Neue"/>
          <w:vertAlign w:val="superscript"/>
        </w:rPr>
        <w:t>nd</w:t>
      </w:r>
      <w:r>
        <w:rPr>
          <w:rFonts w:ascii="Helvetica Neue" w:eastAsia="Helvetica Neue" w:hAnsi="Helvetica Neue" w:cs="Helvetica Neue"/>
        </w:rPr>
        <w:t xml:space="preserve"> Laws of Thermodynamics.</w:t>
      </w:r>
    </w:p>
    <w:p w:rsidR="00A00606" w:rsidRDefault="00B30971">
      <w:pPr>
        <w:pStyle w:val="normal0"/>
        <w:numPr>
          <w:ilvl w:val="0"/>
          <w:numId w:val="1"/>
        </w:numPr>
        <w:tabs>
          <w:tab w:val="left" w:pos="720"/>
        </w:tabs>
        <w:ind w:hanging="359"/>
        <w:contextualSpacing/>
      </w:pPr>
      <w:r>
        <w:rPr>
          <w:rFonts w:ascii="Helvetica Neue" w:eastAsia="Helvetica Neue" w:hAnsi="Helvetica Neue" w:cs="Helvetica Neue"/>
        </w:rPr>
        <w:t xml:space="preserve">Uses input-output flows of material and energy and capital accumulation within the US automobile industry to illustrate </w:t>
      </w:r>
      <w:r>
        <w:rPr>
          <w:rFonts w:ascii="Helvetica Neue" w:eastAsia="Helvetica Neue" w:hAnsi="Helvetica Neue" w:cs="Helvetica Neue"/>
        </w:rPr>
        <w:t>the new methodology.</w:t>
      </w:r>
    </w:p>
    <w:p w:rsidR="00A00606" w:rsidRDefault="00A00606">
      <w:pPr>
        <w:pStyle w:val="normal0"/>
      </w:pPr>
    </w:p>
    <w:sectPr w:rsidR="00A006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229CB"/>
    <w:multiLevelType w:val="multilevel"/>
    <w:tmpl w:val="264C79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00606"/>
    <w:rsid w:val="00A00606"/>
    <w:rsid w:val="00B3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2850</Characters>
  <Application>Microsoft Macintosh Word</Application>
  <DocSecurity>0</DocSecurity>
  <Lines>23</Lines>
  <Paragraphs>6</Paragraphs>
  <ScaleCrop>false</ScaleCrop>
  <Company>Stanford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Dale, et al._descriptiondocx.docx</dc:title>
  <cp:lastModifiedBy>Michael Dale</cp:lastModifiedBy>
  <cp:revision>2</cp:revision>
  <dcterms:created xsi:type="dcterms:W3CDTF">2013-10-31T20:21:00Z</dcterms:created>
  <dcterms:modified xsi:type="dcterms:W3CDTF">2013-10-31T20:21:00Z</dcterms:modified>
</cp:coreProperties>
</file>