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4F8E3A13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>to</w:t>
      </w:r>
      <w:r w:rsidR="00EB022D">
        <w:rPr>
          <w:rFonts w:ascii="Georgia" w:hAnsi="Georgia"/>
          <w:lang w:val="en-GB"/>
        </w:rPr>
        <w:br/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  <w:r w:rsidR="00857581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6DDB3D77" w14:textId="6E7E393C" w:rsidR="00ED013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 xml:space="preserve">A comprehensive, </w:t>
      </w:r>
      <w:proofErr w:type="gramStart"/>
      <w:r w:rsidRPr="00ED0137">
        <w:rPr>
          <w:rFonts w:ascii="Georgia" w:hAnsi="Georgia"/>
          <w:b/>
          <w:lang w:val="en-GB"/>
        </w:rPr>
        <w:t>partial-equilibrium</w:t>
      </w:r>
      <w:proofErr w:type="gramEnd"/>
    </w:p>
    <w:p w14:paraId="6785873E" w14:textId="6C5E26D2" w:rsidR="008E225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>energy rebound analysis framework</w:t>
      </w:r>
    </w:p>
    <w:p w14:paraId="73044630" w14:textId="77777777" w:rsidR="00ED0137" w:rsidRPr="00F00EC2" w:rsidRDefault="00ED0137" w:rsidP="00ED013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06BE276" w14:textId="77777777" w:rsidR="000C24E1" w:rsidRDefault="000C24E1" w:rsidP="00BE6470">
      <w:pPr>
        <w:jc w:val="both"/>
        <w:rPr>
          <w:rFonts w:ascii="Georgia" w:hAnsi="Georgia"/>
          <w:lang w:val="en-GB"/>
        </w:rPr>
      </w:pPr>
    </w:p>
    <w:p w14:paraId="4FF4D219" w14:textId="10C3BE65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proofErr w:type="gramStart"/>
      <w:r>
        <w:rPr>
          <w:rFonts w:ascii="Georgia" w:hAnsi="Georgia"/>
          <w:vertAlign w:val="superscript"/>
          <w:lang w:val="en-GB"/>
        </w:rPr>
        <w:t>a</w:t>
      </w:r>
      <w:proofErr w:type="spellEnd"/>
      <w:proofErr w:type="gram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563FE873" w14:textId="77777777" w:rsidR="000C24E1" w:rsidRDefault="000C24E1" w:rsidP="00A6133A">
      <w:pPr>
        <w:jc w:val="both"/>
        <w:rPr>
          <w:rFonts w:ascii="Georgia" w:hAnsi="Georgia"/>
          <w:lang w:val="en-GB"/>
        </w:rPr>
      </w:pPr>
    </w:p>
    <w:p w14:paraId="76716E61" w14:textId="05DBA46F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6D9F05CC" w14:textId="77777777" w:rsidR="000C24E1" w:rsidRDefault="000C24E1" w:rsidP="00BF5DE1">
      <w:pPr>
        <w:jc w:val="both"/>
        <w:rPr>
          <w:rFonts w:ascii="Georgia" w:hAnsi="Georgia"/>
          <w:lang w:val="en-GB"/>
        </w:rPr>
      </w:pPr>
    </w:p>
    <w:p w14:paraId="4687CA6E" w14:textId="6CC5717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1988E908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r w:rsidR="004E3D17">
        <w:rPr>
          <w:rFonts w:ascii="Georgia" w:hAnsi="Georgia"/>
          <w:lang w:val="en-GB"/>
        </w:rPr>
        <w:t>although</w:t>
      </w:r>
      <w:r w:rsidR="00F048DA">
        <w:rPr>
          <w:rFonts w:ascii="Georgia" w:hAnsi="Georgia"/>
          <w:lang w:val="en-GB"/>
        </w:rPr>
        <w:t xml:space="preserve"> work on rebound is now routinely cast in terms of microeconomic categories, </w:t>
      </w:r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 xml:space="preserve">In response, we develop a comprehensive, </w:t>
      </w:r>
      <w:r w:rsidR="00090D36">
        <w:rPr>
          <w:rFonts w:ascii="Georgia" w:hAnsi="Georgia"/>
          <w:lang w:val="en-GB"/>
        </w:rPr>
        <w:t>partial equilibrium</w:t>
      </w:r>
      <w:r w:rsidRPr="00BF5DE1">
        <w:rPr>
          <w:rFonts w:ascii="Georgia" w:hAnsi="Georgia"/>
          <w:lang w:val="en-GB"/>
        </w:rPr>
        <w:t xml:space="preserve">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</w:t>
      </w:r>
      <w:proofErr w:type="gramStart"/>
      <w:r w:rsidR="00616738">
        <w:rPr>
          <w:rFonts w:ascii="Georgia" w:hAnsi="Georgia"/>
          <w:lang w:val="en-GB"/>
        </w:rPr>
        <w:t xml:space="preserve">two </w:t>
      </w:r>
      <w:r w:rsidR="00616738">
        <w:rPr>
          <w:rFonts w:ascii="Georgia" w:hAnsi="Georgia"/>
          <w:lang w:val="en-GB"/>
        </w:rPr>
        <w:lastRenderedPageBreak/>
        <w:t>empirical case studies,</w:t>
      </w:r>
      <w:proofErr w:type="gramEnd"/>
      <w:r w:rsidR="00616738">
        <w:rPr>
          <w:rFonts w:ascii="Georgia" w:hAnsi="Georgia"/>
          <w:lang w:val="en-GB"/>
        </w:rPr>
        <w:t xml:space="preserve">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 xml:space="preserve">electric lamp, and obtain estimates </w:t>
      </w:r>
      <w:r w:rsidR="00067D69">
        <w:rPr>
          <w:rFonts w:ascii="Georgia" w:hAnsi="Georgia"/>
          <w:lang w:val="en-GB"/>
        </w:rPr>
        <w:t xml:space="preserve">for </w:t>
      </w:r>
      <w:r w:rsidR="00616738">
        <w:rPr>
          <w:rFonts w:ascii="Georgia" w:hAnsi="Georgia"/>
          <w:lang w:val="en-GB"/>
        </w:rPr>
        <w:t xml:space="preserve">total rebound of </w:t>
      </w:r>
      <w:r w:rsidR="00067D69">
        <w:rPr>
          <w:rFonts w:ascii="Georgia" w:hAnsi="Georgia"/>
          <w:lang w:val="en-GB"/>
        </w:rPr>
        <w:t>48 and 80</w:t>
      </w:r>
      <w:r w:rsidR="00616738">
        <w:rPr>
          <w:rFonts w:ascii="Georgia" w:hAnsi="Georgia"/>
          <w:lang w:val="en-GB"/>
        </w:rPr>
        <w:t>%</w:t>
      </w:r>
      <w:r w:rsidR="00067D69">
        <w:rPr>
          <w:rFonts w:ascii="Georgia" w:hAnsi="Georgia"/>
          <w:lang w:val="en-GB"/>
        </w:rPr>
        <w:t>, respectively</w:t>
      </w:r>
      <w:r w:rsidR="00616738">
        <w:rPr>
          <w:rFonts w:ascii="Georgia" w:hAnsi="Georgia"/>
          <w:lang w:val="en-GB"/>
        </w:rPr>
        <w:t>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24913D18" w14:textId="6689EF9F" w:rsidR="00EE057D" w:rsidRDefault="00215F11" w:rsidP="00EE057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paper contains four </w:t>
      </w:r>
      <w:r w:rsidR="00616738">
        <w:rPr>
          <w:rFonts w:ascii="Georgia" w:hAnsi="Georgia"/>
          <w:lang w:val="en-GB"/>
        </w:rPr>
        <w:t xml:space="preserve">contributions. </w:t>
      </w:r>
      <w:r w:rsidR="00EE057D">
        <w:rPr>
          <w:rFonts w:ascii="Georgia" w:hAnsi="Georgia"/>
          <w:lang w:val="en-GB"/>
        </w:rPr>
        <w:t xml:space="preserve">First, we develop the first </w:t>
      </w:r>
      <w:r w:rsidR="00EE057D" w:rsidRPr="00EE057D">
        <w:rPr>
          <w:rFonts w:ascii="Georgia" w:hAnsi="Georgia"/>
          <w:lang w:val="en-GB"/>
        </w:rPr>
        <w:t>comprehensive rebound analysis framework that accommodates embodied energy effects, maintenance and disposal effects, non-marginal energy efficiency increases, and non-marginal energy service price decreases</w:t>
      </w:r>
      <w:r w:rsidR="00EE057D">
        <w:rPr>
          <w:rFonts w:ascii="Georgia" w:hAnsi="Georgia"/>
          <w:lang w:val="en-GB"/>
        </w:rPr>
        <w:t xml:space="preserve">. Second, we provide </w:t>
      </w:r>
      <w:r w:rsidR="00EE057D" w:rsidRPr="00EE057D">
        <w:rPr>
          <w:rFonts w:ascii="Georgia" w:hAnsi="Georgia"/>
          <w:lang w:val="en-GB"/>
        </w:rPr>
        <w:t>the first (to our knowledge) visualizations of rebound effects</w:t>
      </w:r>
      <w:r w:rsidR="00EE057D">
        <w:rPr>
          <w:rFonts w:ascii="Georgia" w:hAnsi="Georgia"/>
          <w:lang w:val="en-GB"/>
        </w:rPr>
        <w:t xml:space="preserve"> i</w:t>
      </w:r>
      <w:r w:rsidR="00EE057D" w:rsidRPr="00EE057D">
        <w:rPr>
          <w:rFonts w:ascii="Georgia" w:hAnsi="Georgia"/>
          <w:lang w:val="en-GB"/>
        </w:rPr>
        <w:t>n energy, expenditure, and consumption spaces</w:t>
      </w:r>
      <w:r w:rsidR="00EE057D">
        <w:rPr>
          <w:rFonts w:ascii="Georgia" w:hAnsi="Georgia"/>
          <w:lang w:val="en-GB"/>
        </w:rPr>
        <w:t xml:space="preserve">. Third, we create </w:t>
      </w:r>
      <w:r w:rsidR="00EE057D" w:rsidRPr="00EE057D">
        <w:rPr>
          <w:rFonts w:ascii="Georgia" w:hAnsi="Georgia"/>
          <w:lang w:val="en-GB"/>
        </w:rPr>
        <w:t>the first (to our knowledge) operationalized link between rebound effects on microeconomic and macroeconomic scales</w:t>
      </w:r>
      <w:r w:rsidR="00EE057D">
        <w:rPr>
          <w:rFonts w:ascii="Georgia" w:hAnsi="Georgia"/>
          <w:lang w:val="en-GB"/>
        </w:rPr>
        <w:t xml:space="preserve">. Fourth, we provide </w:t>
      </w:r>
      <w:r w:rsidR="00EE057D" w:rsidRPr="00EE057D">
        <w:rPr>
          <w:rFonts w:ascii="Georgia" w:hAnsi="Georgia"/>
          <w:lang w:val="en-GB"/>
        </w:rPr>
        <w:t>tools for other researchers to calculate rebound for other EEUs with our framework.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51D5015E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r w:rsidR="00F048DA">
        <w:rPr>
          <w:rFonts w:ascii="Georgia" w:hAnsi="Georgia"/>
          <w:lang w:val="en-GB"/>
        </w:rPr>
        <w:t xml:space="preserve">, including for the first time the full emplacement effect and </w:t>
      </w:r>
      <w:r w:rsidR="00BF194B">
        <w:rPr>
          <w:rFonts w:ascii="Georgia" w:hAnsi="Georgia"/>
          <w:lang w:val="en-GB"/>
        </w:rPr>
        <w:t xml:space="preserve">the </w:t>
      </w:r>
      <w:r w:rsidR="00F048DA">
        <w:rPr>
          <w:rFonts w:ascii="Georgia" w:hAnsi="Georgia"/>
          <w:lang w:val="en-GB"/>
        </w:rPr>
        <w:t>macro effect</w:t>
      </w:r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demand, and the macro factor (</w:t>
      </w:r>
      <w:r w:rsidRPr="00831520">
        <w:rPr>
          <w:rFonts w:ascii="Georgia" w:hAnsi="Georgia"/>
          <w:i/>
          <w:iCs/>
          <w:lang w:val="en-GB"/>
        </w:rPr>
        <w:t>k</w:t>
      </w:r>
      <w:r w:rsidRPr="00C709A0">
        <w:rPr>
          <w:rFonts w:ascii="Georgia" w:hAnsi="Georgia"/>
          <w:lang w:val="en-GB"/>
        </w:rPr>
        <w:t xml:space="preserve">) than either </w:t>
      </w:r>
      <w:r w:rsidR="00D9372B">
        <w:rPr>
          <w:rFonts w:ascii="Georgia" w:hAnsi="Georgia"/>
          <w:lang w:val="en-GB"/>
        </w:rPr>
        <w:t xml:space="preserve">the </w:t>
      </w:r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r w:rsidR="00D9372B">
        <w:rPr>
          <w:rFonts w:ascii="Georgia" w:hAnsi="Georgia"/>
          <w:lang w:val="en-GB"/>
        </w:rPr>
        <w:t xml:space="preserve">gain </w:t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="00D9372B">
        <w:rPr>
          <w:rFonts w:ascii="Georgia" w:hAnsi="Georgia"/>
          <w:lang w:val="en-GB"/>
        </w:rPr>
        <w:t xml:space="preserve"> of the energy efficiency upgrade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08AE5108" w:rsid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2267655E" w14:textId="77777777" w:rsidR="000C24E1" w:rsidRPr="00BF2889" w:rsidRDefault="000C24E1" w:rsidP="00BF2889">
      <w:pPr>
        <w:jc w:val="both"/>
        <w:rPr>
          <w:rFonts w:ascii="Georgia" w:hAnsi="Georgia"/>
          <w:i/>
          <w:lang w:val="en-GB"/>
        </w:rPr>
      </w:pP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Severin </w:t>
      </w:r>
      <w:proofErr w:type="spellStart"/>
      <w:r w:rsidRPr="005A60A3">
        <w:rPr>
          <w:rFonts w:ascii="Georgia" w:hAnsi="Georgia"/>
          <w:b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</w:t>
      </w:r>
      <w:proofErr w:type="spellStart"/>
      <w:r w:rsidRPr="0054522C">
        <w:rPr>
          <w:rFonts w:ascii="Georgia" w:hAnsi="Georgia"/>
          <w:lang w:val="en-GB"/>
        </w:rPr>
        <w:t>Grether</w:t>
      </w:r>
      <w:proofErr w:type="spellEnd"/>
      <w:r w:rsidRPr="0054522C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9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</w:t>
      </w:r>
      <w:proofErr w:type="gramStart"/>
      <w:r w:rsidRPr="005A60A3">
        <w:rPr>
          <w:rFonts w:ascii="Georgia" w:hAnsi="Georgia"/>
          <w:lang w:val="en-GB"/>
        </w:rPr>
        <w:t>A</w:t>
      </w:r>
      <w:proofErr w:type="gramEnd"/>
      <w:r w:rsidRPr="005A60A3">
        <w:rPr>
          <w:rFonts w:ascii="Georgia" w:hAnsi="Georgia"/>
          <w:lang w:val="en-GB"/>
        </w:rPr>
        <w:t xml:space="preserve">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0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831520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</w:t>
      </w:r>
      <w:r w:rsidR="00F048DA">
        <w:rPr>
          <w:rFonts w:ascii="Georgia" w:hAnsi="Georgia"/>
          <w:lang w:val="en-GB"/>
        </w:rPr>
        <w:t xml:space="preserve"> </w:t>
      </w:r>
      <w:r w:rsidR="00F048DA" w:rsidRPr="00F048DA">
        <w:rPr>
          <w:rFonts w:ascii="Georgia" w:hAnsi="Georgia"/>
        </w:rPr>
        <w:t>International Risk Governance Counci</w:t>
      </w:r>
      <w:r w:rsidR="00F048DA">
        <w:rPr>
          <w:rFonts w:ascii="Georgia" w:hAnsi="Georgia"/>
        </w:rPr>
        <w:t>l.</w:t>
      </w:r>
      <w:r w:rsidR="00F048DA" w:rsidRPr="00F048DA">
        <w:rPr>
          <w:rFonts w:ascii="Georgia" w:hAnsi="Georgia"/>
        </w:rPr>
        <w:t xml:space="preserve"> </w:t>
      </w:r>
      <w:r w:rsidRPr="00831520">
        <w:rPr>
          <w:rFonts w:ascii="Georgia" w:hAnsi="Georgia"/>
          <w:lang w:val="en-GB"/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proofErr w:type="spellStart"/>
      <w:r w:rsidR="0054522C" w:rsidRPr="005A60A3">
        <w:rPr>
          <w:rFonts w:ascii="Georgia" w:hAnsi="Georgia"/>
          <w:b/>
          <w:lang w:val="en-GB"/>
        </w:rPr>
        <w:t>Madlener</w:t>
      </w:r>
      <w:proofErr w:type="spellEnd"/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1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 xml:space="preserve">nergy economics, energy management, energy </w:t>
      </w:r>
      <w:proofErr w:type="gramStart"/>
      <w:r w:rsidRPr="005A60A3">
        <w:rPr>
          <w:rFonts w:ascii="Georgia" w:hAnsi="Georgia"/>
          <w:lang w:val="en-GB"/>
        </w:rPr>
        <w:t>policy-making</w:t>
      </w:r>
      <w:proofErr w:type="gramEnd"/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0D02F468" w:rsidR="002B5868" w:rsidRDefault="00BE4227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Carey King</w:t>
      </w:r>
      <w:r w:rsidR="002B5868" w:rsidRPr="005A60A3">
        <w:rPr>
          <w:rFonts w:ascii="Georgia" w:hAnsi="Georgia"/>
          <w:lang w:val="en-GB"/>
        </w:rPr>
        <w:t xml:space="preserve">, </w:t>
      </w:r>
      <w:r w:rsidR="00FD76B9">
        <w:rPr>
          <w:rFonts w:ascii="Georgia" w:hAnsi="Georgia"/>
          <w:lang w:val="en-GB"/>
        </w:rPr>
        <w:t>Assistant Director and Research Scientist at the Energy Institute at The University of Texas at Austin, United States.</w:t>
      </w:r>
      <w:r w:rsidR="002B5868">
        <w:rPr>
          <w:rFonts w:ascii="Georgia" w:hAnsi="Georgia"/>
          <w:lang w:val="en-GB"/>
        </w:rPr>
        <w:t xml:space="preserve"> </w:t>
      </w:r>
    </w:p>
    <w:p w14:paraId="378DAA44" w14:textId="2D98669E" w:rsidR="002B5868" w:rsidRPr="00831520" w:rsidRDefault="002B5868" w:rsidP="00FD76B9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2" w:history="1">
        <w:r w:rsidR="00FD76B9">
          <w:rPr>
            <w:rStyle w:val="Hyperlink"/>
            <w:rFonts w:ascii="Georgia" w:hAnsi="Georgia"/>
            <w:lang w:val="en-GB"/>
          </w:rPr>
          <w:t>careyking@energy.utexas.edu</w:t>
        </w:r>
      </w:hyperlink>
      <w:r>
        <w:rPr>
          <w:rFonts w:ascii="Georgia" w:hAnsi="Georgia"/>
          <w:lang w:val="en-GB"/>
        </w:rPr>
        <w:t xml:space="preserve">. </w:t>
      </w:r>
      <w:proofErr w:type="spellStart"/>
      <w:r w:rsidR="00FD76B9">
        <w:rPr>
          <w:rFonts w:ascii="Georgia" w:hAnsi="Georgia"/>
          <w:lang w:val="en-GB"/>
        </w:rPr>
        <w:t>Dr.</w:t>
      </w:r>
      <w:proofErr w:type="spellEnd"/>
      <w:r w:rsidR="00FD76B9">
        <w:rPr>
          <w:rFonts w:ascii="Georgia" w:hAnsi="Georgia"/>
          <w:lang w:val="en-GB"/>
        </w:rPr>
        <w:t xml:space="preserve"> King has wide experience in energy and energy policy</w:t>
      </w:r>
      <w:r w:rsidR="0045558A">
        <w:rPr>
          <w:rFonts w:ascii="Georgia" w:hAnsi="Georgia"/>
          <w:lang w:val="en-GB"/>
        </w:rPr>
        <w:t>, spanning both engineering and economics</w:t>
      </w:r>
      <w:r w:rsidR="005525CC">
        <w:rPr>
          <w:rFonts w:ascii="Georgia" w:hAnsi="Georgia"/>
          <w:lang w:val="en-GB"/>
        </w:rPr>
        <w:t>, making him a good reviewer for this paper</w:t>
      </w:r>
      <w:r w:rsidR="00FD76B9">
        <w:rPr>
          <w:rFonts w:ascii="Georgia" w:hAnsi="Georgia"/>
          <w:lang w:val="en-GB"/>
        </w:rPr>
        <w:t>.</w:t>
      </w:r>
    </w:p>
    <w:p w14:paraId="510665FA" w14:textId="7E2C464B" w:rsidR="002B5868" w:rsidRDefault="00FD76B9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831520">
        <w:rPr>
          <w:rFonts w:ascii="Georgia" w:hAnsi="Georgia"/>
          <w:i/>
          <w:iCs/>
          <w:lang w:val="en-GB"/>
        </w:rPr>
        <w:t>The Economic Superorganism: Beyond the competing narratives on energy, growth, and policy</w:t>
      </w:r>
      <w:r>
        <w:rPr>
          <w:rFonts w:ascii="Georgia" w:hAnsi="Georgia"/>
          <w:lang w:val="en-GB"/>
        </w:rPr>
        <w:t>.</w:t>
      </w:r>
      <w:r w:rsidR="00387FD7">
        <w:rPr>
          <w:rFonts w:ascii="Georgia" w:hAnsi="Georgia"/>
          <w:lang w:val="en-GB"/>
        </w:rPr>
        <w:t xml:space="preserve"> </w:t>
      </w:r>
      <w:r w:rsidR="00387FD7">
        <w:rPr>
          <w:rFonts w:ascii="Georgia" w:hAnsi="Georgia"/>
          <w:lang w:val="en-GB"/>
        </w:rPr>
        <w:t>Springer, 2021</w:t>
      </w:r>
      <w:r w:rsidR="00387FD7">
        <w:rPr>
          <w:rFonts w:ascii="Georgia" w:hAnsi="Georgia"/>
          <w:lang w:val="en-GB"/>
        </w:rPr>
        <w:t>.</w:t>
      </w:r>
    </w:p>
    <w:p w14:paraId="22DE2191" w14:textId="4103D934" w:rsidR="00AC20DB" w:rsidRDefault="003B234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B2343">
        <w:rPr>
          <w:rFonts w:ascii="Georgia" w:hAnsi="Georgia"/>
          <w:lang w:val="en-GB"/>
        </w:rPr>
        <w:t xml:space="preserve">C. W. King. An integrated biophysical and economic </w:t>
      </w:r>
      <w:proofErr w:type="spellStart"/>
      <w:r w:rsidRPr="003B2343">
        <w:rPr>
          <w:rFonts w:ascii="Georgia" w:hAnsi="Georgia"/>
          <w:lang w:val="en-GB"/>
        </w:rPr>
        <w:t>modeling</w:t>
      </w:r>
      <w:proofErr w:type="spellEnd"/>
      <w:r w:rsidRPr="003B2343">
        <w:rPr>
          <w:rFonts w:ascii="Georgia" w:hAnsi="Georgia"/>
          <w:lang w:val="en-GB"/>
        </w:rPr>
        <w:t xml:space="preserve"> framework for long-term sustainability analysis: the HARMONEY model. </w:t>
      </w:r>
      <w:r w:rsidRPr="00831520">
        <w:rPr>
          <w:rFonts w:ascii="Georgia" w:hAnsi="Georgia"/>
          <w:i/>
          <w:iCs/>
          <w:lang w:val="en-GB"/>
        </w:rPr>
        <w:t>Ecological Economics</w:t>
      </w:r>
      <w:r w:rsidRPr="003B2343">
        <w:rPr>
          <w:rFonts w:ascii="Georgia" w:hAnsi="Georgia"/>
          <w:lang w:val="en-GB"/>
        </w:rPr>
        <w:t>, 169</w:t>
      </w:r>
      <w:proofErr w:type="gramStart"/>
      <w:r w:rsidRPr="003B2343">
        <w:rPr>
          <w:rFonts w:ascii="Georgia" w:hAnsi="Georgia"/>
          <w:lang w:val="en-GB"/>
        </w:rPr>
        <w:t>C(</w:t>
      </w:r>
      <w:proofErr w:type="gramEnd"/>
      <w:r w:rsidRPr="003B2343">
        <w:rPr>
          <w:rFonts w:ascii="Georgia" w:hAnsi="Georgia"/>
          <w:lang w:val="en-GB"/>
        </w:rPr>
        <w:t>106464):1–21, 2020.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73A8893B" w:rsidR="00BF2889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23A5A495" w14:textId="77777777" w:rsidR="000C24E1" w:rsidRPr="00141C70" w:rsidRDefault="000C24E1" w:rsidP="00BF2889">
      <w:pPr>
        <w:jc w:val="both"/>
        <w:rPr>
          <w:rFonts w:ascii="Georgia" w:hAnsi="Georgia"/>
          <w:i/>
          <w:iCs/>
          <w:lang w:val="en-GB"/>
        </w:rPr>
      </w:pP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24A79D41" w:rsidR="001C2246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4D489823" w14:textId="77777777" w:rsidR="000C24E1" w:rsidRPr="00141C70" w:rsidRDefault="000C24E1" w:rsidP="001C2246">
      <w:pPr>
        <w:jc w:val="both"/>
        <w:rPr>
          <w:rFonts w:ascii="Georgia" w:hAnsi="Georgia"/>
          <w:i/>
          <w:iCs/>
          <w:lang w:val="en-GB"/>
        </w:rPr>
      </w:pPr>
    </w:p>
    <w:p w14:paraId="1115793D" w14:textId="766A7935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example sheets in a University of Leeds data repository, which has a permanent </w:t>
      </w:r>
      <w:r w:rsidR="00BE04BE">
        <w:rPr>
          <w:rFonts w:ascii="Georgia" w:hAnsi="Georgia"/>
          <w:lang w:val="en-GB"/>
        </w:rPr>
        <w:t xml:space="preserve">DOI </w:t>
      </w:r>
      <w:r>
        <w:rPr>
          <w:rFonts w:ascii="Georgia" w:hAnsi="Georgia"/>
          <w:lang w:val="en-GB"/>
        </w:rPr>
        <w:t>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>. If this submission moves to publication</w:t>
      </w:r>
      <w:r w:rsidR="00B30A33">
        <w:rPr>
          <w:rFonts w:ascii="Georgia" w:hAnsi="Georgia"/>
          <w:lang w:val="en-GB"/>
        </w:rPr>
        <w:t>,</w:t>
      </w:r>
      <w:r w:rsidR="00885E1A">
        <w:rPr>
          <w:rFonts w:ascii="Georgia" w:hAnsi="Georgia"/>
          <w:lang w:val="en-GB"/>
        </w:rPr>
        <w:t xml:space="preserve">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BAAFE6E" w14:textId="7501422A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4C544217" w14:textId="77777777" w:rsidR="000C24E1" w:rsidRDefault="000C24E1" w:rsidP="001C2246">
      <w:pPr>
        <w:jc w:val="both"/>
        <w:rPr>
          <w:rFonts w:ascii="Georgia" w:hAnsi="Georgia"/>
          <w:lang w:val="en-GB"/>
        </w:rPr>
      </w:pPr>
    </w:p>
    <w:p w14:paraId="4D965B4D" w14:textId="729F6E76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  <w:r w:rsidR="00FF3DC9">
        <w:rPr>
          <w:rFonts w:ascii="Georgia" w:hAnsi="Georgia"/>
          <w:lang w:val="en-GB"/>
        </w:rPr>
        <w:t>We thank you for your consideration of our work.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29EF9B6D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682A79CA" w14:textId="408F2861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4F0CDD97" w14:textId="3B9DC737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2EF06F42" w14:textId="58E90E7E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7FDDD79A" w14:textId="7CA53B5C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6CB59C0B" w14:textId="77777777" w:rsidR="00912502" w:rsidRPr="00173790" w:rsidRDefault="00912502" w:rsidP="00A6133A">
      <w:pPr>
        <w:jc w:val="both"/>
        <w:rPr>
          <w:rFonts w:ascii="Georgia" w:hAnsi="Georgia"/>
          <w:lang w:val="en-GB"/>
        </w:rPr>
      </w:pP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3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B7012" w14:textId="77777777" w:rsidR="00D646AE" w:rsidRDefault="00D646AE" w:rsidP="001A5086">
      <w:r>
        <w:separator/>
      </w:r>
    </w:p>
  </w:endnote>
  <w:endnote w:type="continuationSeparator" w:id="0">
    <w:p w14:paraId="65007E1E" w14:textId="77777777" w:rsidR="00D646AE" w:rsidRDefault="00D646AE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73121" w14:textId="77777777" w:rsidR="00D646AE" w:rsidRDefault="00D646AE" w:rsidP="001A5086">
      <w:r>
        <w:separator/>
      </w:r>
    </w:p>
  </w:footnote>
  <w:footnote w:type="continuationSeparator" w:id="0">
    <w:p w14:paraId="41E0BF2B" w14:textId="77777777" w:rsidR="00D646AE" w:rsidRDefault="00D646AE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67D69"/>
    <w:rsid w:val="000751D1"/>
    <w:rsid w:val="00090D36"/>
    <w:rsid w:val="000976B8"/>
    <w:rsid w:val="000C24E1"/>
    <w:rsid w:val="000D7E48"/>
    <w:rsid w:val="00141C70"/>
    <w:rsid w:val="00164A58"/>
    <w:rsid w:val="001A2F20"/>
    <w:rsid w:val="001A5086"/>
    <w:rsid w:val="001C2246"/>
    <w:rsid w:val="00215F11"/>
    <w:rsid w:val="00240883"/>
    <w:rsid w:val="002B5868"/>
    <w:rsid w:val="002C2D90"/>
    <w:rsid w:val="002D1A13"/>
    <w:rsid w:val="00304FAE"/>
    <w:rsid w:val="003114BA"/>
    <w:rsid w:val="00316B2B"/>
    <w:rsid w:val="0033676B"/>
    <w:rsid w:val="00384DD2"/>
    <w:rsid w:val="00387FD7"/>
    <w:rsid w:val="003A157B"/>
    <w:rsid w:val="003A5269"/>
    <w:rsid w:val="003B2343"/>
    <w:rsid w:val="003C7CB1"/>
    <w:rsid w:val="003E37A3"/>
    <w:rsid w:val="003F59AF"/>
    <w:rsid w:val="0040327B"/>
    <w:rsid w:val="00420A7A"/>
    <w:rsid w:val="0042380F"/>
    <w:rsid w:val="00437A0E"/>
    <w:rsid w:val="00445862"/>
    <w:rsid w:val="0045558A"/>
    <w:rsid w:val="0047147F"/>
    <w:rsid w:val="00476371"/>
    <w:rsid w:val="004B2C3F"/>
    <w:rsid w:val="004B2F50"/>
    <w:rsid w:val="004E3D17"/>
    <w:rsid w:val="004E52A4"/>
    <w:rsid w:val="005420CE"/>
    <w:rsid w:val="0054522C"/>
    <w:rsid w:val="005525CC"/>
    <w:rsid w:val="00555804"/>
    <w:rsid w:val="00555887"/>
    <w:rsid w:val="00561697"/>
    <w:rsid w:val="00570EC8"/>
    <w:rsid w:val="00573647"/>
    <w:rsid w:val="005861ED"/>
    <w:rsid w:val="005A60A3"/>
    <w:rsid w:val="005D0C8A"/>
    <w:rsid w:val="005E3A5D"/>
    <w:rsid w:val="006067F3"/>
    <w:rsid w:val="00616738"/>
    <w:rsid w:val="006176FC"/>
    <w:rsid w:val="0063067D"/>
    <w:rsid w:val="0063139C"/>
    <w:rsid w:val="006A2BB9"/>
    <w:rsid w:val="006B6E71"/>
    <w:rsid w:val="006D48D6"/>
    <w:rsid w:val="006E2CDF"/>
    <w:rsid w:val="0070284A"/>
    <w:rsid w:val="00710331"/>
    <w:rsid w:val="007362D4"/>
    <w:rsid w:val="007858B4"/>
    <w:rsid w:val="007A2802"/>
    <w:rsid w:val="007B5B01"/>
    <w:rsid w:val="007C1998"/>
    <w:rsid w:val="007D435E"/>
    <w:rsid w:val="00831520"/>
    <w:rsid w:val="00854A6E"/>
    <w:rsid w:val="00857581"/>
    <w:rsid w:val="0087000C"/>
    <w:rsid w:val="00871655"/>
    <w:rsid w:val="00885E1A"/>
    <w:rsid w:val="008A6BD0"/>
    <w:rsid w:val="008B55DD"/>
    <w:rsid w:val="008D203F"/>
    <w:rsid w:val="008E2257"/>
    <w:rsid w:val="00902A2F"/>
    <w:rsid w:val="00912502"/>
    <w:rsid w:val="00914688"/>
    <w:rsid w:val="00930949"/>
    <w:rsid w:val="0093403B"/>
    <w:rsid w:val="00947DFA"/>
    <w:rsid w:val="0098081F"/>
    <w:rsid w:val="009B0C7B"/>
    <w:rsid w:val="00A0402E"/>
    <w:rsid w:val="00A44D22"/>
    <w:rsid w:val="00A6133A"/>
    <w:rsid w:val="00A74956"/>
    <w:rsid w:val="00A76BC0"/>
    <w:rsid w:val="00AA46D5"/>
    <w:rsid w:val="00AC20DB"/>
    <w:rsid w:val="00AD06C2"/>
    <w:rsid w:val="00B30A33"/>
    <w:rsid w:val="00B57693"/>
    <w:rsid w:val="00B57A2D"/>
    <w:rsid w:val="00B608CB"/>
    <w:rsid w:val="00B616AB"/>
    <w:rsid w:val="00B72CD3"/>
    <w:rsid w:val="00B74055"/>
    <w:rsid w:val="00B815E4"/>
    <w:rsid w:val="00BE04BE"/>
    <w:rsid w:val="00BE2C08"/>
    <w:rsid w:val="00BE4227"/>
    <w:rsid w:val="00BE6470"/>
    <w:rsid w:val="00BF194B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646AE"/>
    <w:rsid w:val="00D87015"/>
    <w:rsid w:val="00D93397"/>
    <w:rsid w:val="00D9372B"/>
    <w:rsid w:val="00D9404A"/>
    <w:rsid w:val="00DA0C25"/>
    <w:rsid w:val="00DE24F2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B022D"/>
    <w:rsid w:val="00ED0137"/>
    <w:rsid w:val="00ED7EE4"/>
    <w:rsid w:val="00EE057D"/>
    <w:rsid w:val="00F048DA"/>
    <w:rsid w:val="00F35DF1"/>
    <w:rsid w:val="00F367F6"/>
    <w:rsid w:val="00F41363"/>
    <w:rsid w:val="00F718F0"/>
    <w:rsid w:val="00F72DE5"/>
    <w:rsid w:val="00F73FFE"/>
    <w:rsid w:val="00F83CF6"/>
    <w:rsid w:val="00FD76B9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blackburn8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Madlener@eonerc.rwth-aachen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azevedo@stanfo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verinborenstein@berkeley.ed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62</cp:revision>
  <dcterms:created xsi:type="dcterms:W3CDTF">2021-06-13T20:20:00Z</dcterms:created>
  <dcterms:modified xsi:type="dcterms:W3CDTF">2021-06-20T17:38:00Z</dcterms:modified>
</cp:coreProperties>
</file>