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3095D" w14:textId="77777777" w:rsidR="00755459" w:rsidRPr="000C0580" w:rsidRDefault="00791643" w:rsidP="00755459">
      <w:pPr>
        <w:rPr>
          <w:rFonts w:ascii="Arial Narrow" w:hAnsi="Arial Narrow"/>
          <w:b/>
          <w:sz w:val="22"/>
          <w:szCs w:val="22"/>
        </w:rPr>
      </w:pPr>
      <w:r w:rsidRPr="000C0580">
        <w:rPr>
          <w:rFonts w:ascii="Arial Narrow" w:hAnsi="Arial Narrow"/>
          <w:b/>
          <w:sz w:val="22"/>
          <w:szCs w:val="22"/>
        </w:rPr>
        <w:t xml:space="preserve">Table of </w:t>
      </w:r>
      <w:r w:rsidR="000F749C" w:rsidRPr="000C0580">
        <w:rPr>
          <w:rFonts w:ascii="Arial Narrow" w:hAnsi="Arial Narrow"/>
          <w:b/>
          <w:sz w:val="22"/>
          <w:szCs w:val="22"/>
        </w:rPr>
        <w:t>R</w:t>
      </w:r>
      <w:r w:rsidRPr="000C0580">
        <w:rPr>
          <w:rFonts w:ascii="Arial Narrow" w:hAnsi="Arial Narrow"/>
          <w:b/>
          <w:sz w:val="22"/>
          <w:szCs w:val="22"/>
        </w:rPr>
        <w:t xml:space="preserve">ebound </w:t>
      </w:r>
      <w:r w:rsidR="000F749C" w:rsidRPr="000C0580">
        <w:rPr>
          <w:rFonts w:ascii="Arial Narrow" w:hAnsi="Arial Narrow"/>
          <w:b/>
          <w:sz w:val="22"/>
          <w:szCs w:val="22"/>
        </w:rPr>
        <w:t>effects for use in the Rebound Framework Paper</w:t>
      </w:r>
    </w:p>
    <w:p w14:paraId="0F2B0928" w14:textId="77777777" w:rsidR="000F749C" w:rsidRPr="000F749C" w:rsidRDefault="000F749C" w:rsidP="00755459">
      <w:pPr>
        <w:rPr>
          <w:rFonts w:ascii="Arial Narrow" w:hAnsi="Arial Narrow"/>
          <w:b/>
        </w:rPr>
      </w:pPr>
    </w:p>
    <w:tbl>
      <w:tblPr>
        <w:tblStyle w:val="TableGrid1"/>
        <w:tblW w:w="9640" w:type="dxa"/>
        <w:jc w:val="center"/>
        <w:tblLook w:val="04A0" w:firstRow="1" w:lastRow="0" w:firstColumn="1" w:lastColumn="0" w:noHBand="0" w:noVBand="1"/>
      </w:tblPr>
      <w:tblGrid>
        <w:gridCol w:w="2122"/>
        <w:gridCol w:w="4110"/>
        <w:gridCol w:w="3408"/>
      </w:tblGrid>
      <w:tr w:rsidR="004150D5" w:rsidRPr="000F749C" w14:paraId="628EA5EC" w14:textId="77777777" w:rsidTr="008A64F9">
        <w:trPr>
          <w:cantSplit/>
          <w:tblHeader/>
          <w:jc w:val="center"/>
        </w:trPr>
        <w:tc>
          <w:tcPr>
            <w:tcW w:w="2122" w:type="dxa"/>
            <w:vMerge w:val="restart"/>
          </w:tcPr>
          <w:p w14:paraId="010B0B3E" w14:textId="77777777" w:rsidR="004150D5" w:rsidRPr="000F749C" w:rsidRDefault="004150D5" w:rsidP="004150D5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Component of economy-wide energy rebound</w:t>
            </w:r>
          </w:p>
        </w:tc>
        <w:tc>
          <w:tcPr>
            <w:tcW w:w="7518" w:type="dxa"/>
            <w:gridSpan w:val="2"/>
            <w:vAlign w:val="center"/>
          </w:tcPr>
          <w:p w14:paraId="1FBAF67C" w14:textId="77777777" w:rsidR="004150D5" w:rsidRPr="000F749C" w:rsidRDefault="004150D5" w:rsidP="008A64F9">
            <w:pPr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Origin/Mechanism</w:t>
            </w:r>
          </w:p>
        </w:tc>
      </w:tr>
      <w:tr w:rsidR="004150D5" w:rsidRPr="000F749C" w14:paraId="7A4D4696" w14:textId="77777777" w:rsidTr="00580376">
        <w:trPr>
          <w:cantSplit/>
          <w:jc w:val="center"/>
        </w:trPr>
        <w:tc>
          <w:tcPr>
            <w:tcW w:w="2122" w:type="dxa"/>
            <w:vMerge/>
          </w:tcPr>
          <w:p w14:paraId="158040E4" w14:textId="77777777" w:rsidR="004150D5" w:rsidRPr="000F749C" w:rsidRDefault="004150D5" w:rsidP="008A64F9">
            <w:pPr>
              <w:rPr>
                <w:rFonts w:ascii="Arial Narrow" w:hAnsi="Arial Narrow" w:cstheme="minorHAnsi"/>
                <w:sz w:val="20"/>
                <w:szCs w:val="20"/>
                <w:u w:val="single"/>
              </w:rPr>
            </w:pPr>
          </w:p>
        </w:tc>
        <w:tc>
          <w:tcPr>
            <w:tcW w:w="4110" w:type="dxa"/>
          </w:tcPr>
          <w:p w14:paraId="3BA1F66F" w14:textId="77777777" w:rsidR="004F7F44" w:rsidRDefault="004F7F44" w:rsidP="008A64F9">
            <w:pPr>
              <w:contextualSpacing/>
              <w:jc w:val="center"/>
              <w:rPr>
                <w:rFonts w:ascii="Arial Narrow" w:hAnsi="Arial Narrow" w:cstheme="minorHAnsi"/>
                <w:sz w:val="20"/>
                <w:szCs w:val="20"/>
                <w:u w:val="single"/>
              </w:rPr>
            </w:pPr>
            <w:r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Existing typologies </w:t>
            </w:r>
          </w:p>
          <w:p w14:paraId="74462711" w14:textId="12AD0108" w:rsidR="004150D5" w:rsidRPr="000F749C" w:rsidRDefault="004F7F44" w:rsidP="008A64F9">
            <w:pPr>
              <w:contextualSpacing/>
              <w:jc w:val="center"/>
              <w:rPr>
                <w:rFonts w:ascii="Arial Narrow" w:hAnsi="Arial Narrow" w:cstheme="minorHAnsi"/>
                <w:sz w:val="20"/>
                <w:szCs w:val="20"/>
                <w:u w:val="single"/>
              </w:rPr>
            </w:pPr>
            <w:r>
              <w:rPr>
                <w:rFonts w:ascii="Arial Narrow" w:hAnsi="Arial Narrow" w:cstheme="minorHAnsi"/>
                <w:sz w:val="20"/>
                <w:szCs w:val="20"/>
                <w:u w:val="single"/>
              </w:rPr>
              <w:t>(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Sorrell (2009) / 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Jenkins </w:t>
            </w:r>
            <w:r w:rsidR="008D4B34"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et al. </w:t>
            </w:r>
            <w:r w:rsidR="004150D5"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(2011) </w:t>
            </w:r>
          </w:p>
          <w:p w14:paraId="4255B8E0" w14:textId="37E4DDB5" w:rsidR="004150D5" w:rsidRPr="000F749C" w:rsidRDefault="004150D5" w:rsidP="008A64F9">
            <w:pPr>
              <w:contextualSpacing/>
              <w:jc w:val="center"/>
              <w:rPr>
                <w:rFonts w:ascii="Arial Narrow" w:hAnsi="Arial Narrow" w:cstheme="minorHAnsi"/>
                <w:sz w:val="20"/>
                <w:szCs w:val="20"/>
                <w:u w:val="single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/ Thomas &amp; Azevedo (2013)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 / </w:t>
            </w:r>
            <w:proofErr w:type="spellStart"/>
            <w:r w:rsidR="005E0B38"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Walnum</w:t>
            </w:r>
            <w:proofErr w:type="spellEnd"/>
            <w:r w:rsidR="008D4B34"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 et al.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 xml:space="preserve"> (2014)</w:t>
            </w:r>
            <w:r w:rsidR="004F7F44">
              <w:rPr>
                <w:rFonts w:ascii="Arial Narrow" w:hAnsi="Arial Narrow" w:cstheme="minorHAnsi"/>
                <w:sz w:val="20"/>
                <w:szCs w:val="20"/>
                <w:u w:val="single"/>
              </w:rPr>
              <w:t>)</w:t>
            </w:r>
          </w:p>
        </w:tc>
        <w:tc>
          <w:tcPr>
            <w:tcW w:w="3408" w:type="dxa"/>
            <w:shd w:val="clear" w:color="auto" w:fill="FFF2CC" w:themeFill="accent4" w:themeFillTint="33"/>
          </w:tcPr>
          <w:p w14:paraId="7F46D89E" w14:textId="173BF911" w:rsidR="00580376" w:rsidRPr="004F7F44" w:rsidRDefault="004F7F44" w:rsidP="00DC7D5E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sz w:val="20"/>
                <w:szCs w:val="20"/>
              </w:rPr>
              <w:t>Rebound mechanisms</w:t>
            </w:r>
            <w:r w:rsidR="004150D5" w:rsidRPr="004F7F44">
              <w:rPr>
                <w:rFonts w:ascii="Arial Narrow" w:hAnsi="Arial Narrow" w:cstheme="minorHAnsi"/>
                <w:sz w:val="20"/>
                <w:szCs w:val="20"/>
              </w:rPr>
              <w:t xml:space="preserve"> paper </w:t>
            </w:r>
          </w:p>
          <w:p w14:paraId="6DA25365" w14:textId="5428FB73" w:rsidR="00DC7D5E" w:rsidRPr="004F7F44" w:rsidRDefault="004150D5" w:rsidP="00DC7D5E">
            <w:pPr>
              <w:jc w:val="center"/>
              <w:rPr>
                <w:rFonts w:ascii="Arial Narrow" w:hAnsi="Arial Narrow" w:cstheme="minorHAnsi"/>
                <w:i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="005E0B38" w:rsidRPr="004F7F44">
              <w:rPr>
                <w:rFonts w:ascii="Arial Narrow" w:hAnsi="Arial Narrow" w:cstheme="minorHAnsi"/>
                <w:i/>
                <w:sz w:val="20"/>
                <w:szCs w:val="20"/>
              </w:rPr>
              <w:t>comp</w:t>
            </w:r>
            <w:r w:rsidRPr="004F7F44">
              <w:rPr>
                <w:rFonts w:ascii="Arial Narrow" w:hAnsi="Arial Narrow" w:cstheme="minorHAnsi"/>
                <w:i/>
                <w:sz w:val="20"/>
                <w:szCs w:val="20"/>
              </w:rPr>
              <w:t>arison</w:t>
            </w:r>
            <w:r w:rsidR="00DC7D5E" w:rsidRPr="004F7F44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in </w:t>
            </w:r>
            <w:r w:rsidR="004F7F44" w:rsidRPr="004F7F44">
              <w:rPr>
                <w:rFonts w:ascii="Arial Narrow" w:hAnsi="Arial Narrow" w:cstheme="minorHAnsi"/>
                <w:i/>
                <w:sz w:val="20"/>
                <w:szCs w:val="20"/>
              </w:rPr>
              <w:t>italics</w:t>
            </w:r>
            <w:r w:rsidRPr="004F7F44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to </w:t>
            </w:r>
            <w:r w:rsidR="005E0B38" w:rsidRPr="004F7F44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Sorrell/Jenkins/ </w:t>
            </w:r>
          </w:p>
          <w:p w14:paraId="07664AB9" w14:textId="77777777" w:rsidR="004150D5" w:rsidRPr="004F7F44" w:rsidRDefault="005E0B38" w:rsidP="000F749C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i/>
                <w:sz w:val="20"/>
                <w:szCs w:val="20"/>
              </w:rPr>
              <w:t>Thomas &amp; Azevedo</w:t>
            </w:r>
            <w:r w:rsidR="000F749C" w:rsidRPr="004F7F44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/ </w:t>
            </w:r>
            <w:proofErr w:type="spellStart"/>
            <w:r w:rsidR="000F749C" w:rsidRPr="004F7F44">
              <w:rPr>
                <w:rFonts w:ascii="Arial Narrow" w:hAnsi="Arial Narrow" w:cstheme="minorHAnsi"/>
                <w:i/>
                <w:sz w:val="20"/>
                <w:szCs w:val="20"/>
              </w:rPr>
              <w:t>Walnum</w:t>
            </w:r>
            <w:proofErr w:type="spellEnd"/>
            <w:r w:rsidRPr="004F7F44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</w:tc>
      </w:tr>
      <w:tr w:rsidR="00755459" w:rsidRPr="000F749C" w14:paraId="0C58FBDF" w14:textId="77777777" w:rsidTr="00580376">
        <w:trPr>
          <w:cantSplit/>
          <w:jc w:val="center"/>
        </w:trPr>
        <w:tc>
          <w:tcPr>
            <w:tcW w:w="2122" w:type="dxa"/>
            <w:vMerge w:val="restart"/>
          </w:tcPr>
          <w:p w14:paraId="0199EF38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Microeconomic rebound: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these rebound mechanisms occur at the single device level, within the static economy, based on responses to the reduction in implicit price of an energy service.</w:t>
            </w:r>
          </w:p>
          <w:p w14:paraId="097ADB3D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93966DD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4110" w:type="dxa"/>
          </w:tcPr>
          <w:p w14:paraId="3A2BF800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Direct rebound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describes the direct response to the single energy efficiency improvement. Jenkins et al.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2011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and </w:t>
            </w:r>
            <w:proofErr w:type="spellStart"/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>Walnum</w:t>
            </w:r>
            <w:proofErr w:type="spellEnd"/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 (2014)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split into two sub-classes: </w:t>
            </w:r>
          </w:p>
          <w:p w14:paraId="43D5F3B6" w14:textId="77777777" w:rsidR="00DC7D5E" w:rsidRPr="000F749C" w:rsidRDefault="005E0B38" w:rsidP="00DC7D5E">
            <w:pPr>
              <w:pStyle w:val="ListParagraph"/>
              <w:numPr>
                <w:ilvl w:val="0"/>
                <w:numId w:val="14"/>
              </w:numPr>
              <w:ind w:left="459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Substitution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this captures the substitution of that energy service for the other goods or services (consumers) or inputs to production (producers). </w:t>
            </w:r>
          </w:p>
          <w:p w14:paraId="01F3738C" w14:textId="77777777" w:rsidR="00DC7D5E" w:rsidRPr="000F749C" w:rsidRDefault="00755459" w:rsidP="00DC7D5E">
            <w:pPr>
              <w:pStyle w:val="ListParagraph"/>
              <w:numPr>
                <w:ilvl w:val="0"/>
                <w:numId w:val="14"/>
              </w:numPr>
              <w:ind w:left="459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Income/output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This is the increasing demand for that energy service by producers to expand their output ('an output effect') or consumers (an 'income effect'). </w:t>
            </w:r>
          </w:p>
          <w:p w14:paraId="73A480F2" w14:textId="77777777" w:rsidR="00755459" w:rsidRPr="000F749C" w:rsidRDefault="00DC7D5E" w:rsidP="00DC7D5E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Other notes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: commonly substitution + income effects are assessed via combined efficiency elasticities</w:t>
            </w:r>
          </w:p>
        </w:tc>
        <w:tc>
          <w:tcPr>
            <w:tcW w:w="3408" w:type="dxa"/>
            <w:shd w:val="clear" w:color="auto" w:fill="FFF2CC" w:themeFill="accent4" w:themeFillTint="33"/>
          </w:tcPr>
          <w:p w14:paraId="08F3C1E0" w14:textId="28BDFBDC" w:rsidR="005E0B38" w:rsidRPr="004F7F44" w:rsidRDefault="005E0B38" w:rsidP="00DC7D5E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1. Emplacement effect</w:t>
            </w:r>
            <w:r w:rsidR="00DC7D5E" w:rsidRPr="004F7F44">
              <w:rPr>
                <w:rFonts w:ascii="Arial Narrow" w:hAnsi="Arial Narrow" w:cstheme="minorHAnsi"/>
                <w:b/>
                <w:sz w:val="20"/>
                <w:szCs w:val="20"/>
              </w:rPr>
              <w:t>: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>The emplacement effect accounts for performance of the Energy Efficiency Upgrade (EEU) only. No behavior changes occur. The direct energy effect of emplacement of the EEU is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 expected</w:t>
            </w:r>
            <w:r w:rsidR="00DC7D5E" w:rsidRPr="004F7F44">
              <w:rPr>
                <w:rFonts w:ascii="Arial Narrow" w:hAnsi="Arial Narrow" w:cstheme="minorHAnsi"/>
                <w:sz w:val="20"/>
                <w:szCs w:val="20"/>
              </w:rPr>
              <w:t xml:space="preserve"> device-level energy savings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>.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 By definition, there is no rebound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3C32A5" w:rsidRPr="004F7F44">
              <w:rPr>
                <w:rFonts w:ascii="Arial Narrow" w:hAnsi="Arial Narrow" w:cstheme="minorHAnsi"/>
                <w:sz w:val="20"/>
                <w:szCs w:val="20"/>
              </w:rPr>
              <w:t xml:space="preserve">from direct emplacement effects. </w:t>
            </w:r>
            <w:r w:rsidR="006757AA" w:rsidRPr="004F7F44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="006757AA" w:rsidRPr="004F7F44">
              <w:rPr>
                <w:rFonts w:ascii="Arial Narrow" w:hAnsi="Arial Narrow" w:cstheme="minorHAnsi"/>
                <w:i/>
                <w:sz w:val="20"/>
                <w:szCs w:val="20"/>
              </w:rPr>
              <w:t>This effect is implicitly included by other authors, as expected energy savings</w:t>
            </w:r>
            <w:r w:rsidR="006757AA" w:rsidRPr="004F7F44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  <w:p w14:paraId="0A615F75" w14:textId="77777777" w:rsidR="00755459" w:rsidRPr="004F7F44" w:rsidRDefault="005E0B38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2. Substitution effect</w:t>
            </w:r>
            <w:r w:rsidR="00755459"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Pr="004F7F44">
              <w:rPr>
                <w:rFonts w:ascii="Arial Narrow" w:hAnsi="Arial Narrow" w:cstheme="minorHAnsi"/>
                <w:i/>
                <w:sz w:val="20"/>
                <w:szCs w:val="20"/>
              </w:rPr>
              <w:t>as other authors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  <w:p w14:paraId="5497BE01" w14:textId="77777777" w:rsidR="005E0B38" w:rsidRPr="004F7F44" w:rsidRDefault="005E0B38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b/>
                <w:sz w:val="20"/>
                <w:szCs w:val="20"/>
              </w:rPr>
              <w:t>3</w:t>
            </w:r>
            <w:r w:rsidR="00755459" w:rsidRPr="004F7F44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. </w:t>
            </w:r>
            <w:proofErr w:type="gramStart"/>
            <w:r w:rsidR="00755459" w:rsidRPr="004F7F44">
              <w:rPr>
                <w:rFonts w:ascii="Arial Narrow" w:hAnsi="Arial Narrow" w:cstheme="minorHAnsi"/>
                <w:b/>
                <w:sz w:val="20"/>
                <w:szCs w:val="20"/>
              </w:rPr>
              <w:t>Income  effect</w:t>
            </w:r>
            <w:proofErr w:type="gramEnd"/>
            <w:r w:rsidR="00755459" w:rsidRPr="004F7F44">
              <w:rPr>
                <w:rFonts w:ascii="Arial Narrow" w:hAnsi="Arial Narrow" w:cstheme="minorHAnsi"/>
                <w:b/>
                <w:sz w:val="20"/>
                <w:szCs w:val="20"/>
              </w:rPr>
              <w:t>.</w:t>
            </w:r>
            <w:r w:rsidR="00755459" w:rsidRPr="004F7F44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Pr="004F7F44">
              <w:rPr>
                <w:rFonts w:ascii="Arial Narrow" w:hAnsi="Arial Narrow" w:cstheme="minorHAnsi"/>
                <w:i/>
                <w:sz w:val="20"/>
                <w:szCs w:val="20"/>
              </w:rPr>
              <w:t>as other authors</w:t>
            </w:r>
            <w:r w:rsidRPr="004F7F44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  <w:p w14:paraId="5C611689" w14:textId="77777777" w:rsidR="00DC7D5E" w:rsidRPr="004F7F44" w:rsidRDefault="00DC7D5E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3AA6E5F" w14:textId="77777777" w:rsidR="00755459" w:rsidRPr="004F7F44" w:rsidRDefault="00755459" w:rsidP="00DC7D5E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755459" w:rsidRPr="000F749C" w14:paraId="2F3C3295" w14:textId="77777777" w:rsidTr="00580376">
        <w:trPr>
          <w:cantSplit/>
          <w:jc w:val="center"/>
        </w:trPr>
        <w:tc>
          <w:tcPr>
            <w:tcW w:w="2122" w:type="dxa"/>
            <w:vMerge/>
          </w:tcPr>
          <w:p w14:paraId="4CC346D2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4110" w:type="dxa"/>
          </w:tcPr>
          <w:p w14:paraId="7A80B197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Indirect rebound: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describes the indirect response to the single energy efficiency improvement. </w:t>
            </w:r>
            <w:r w:rsidR="005E0B38" w:rsidRPr="000F749C">
              <w:rPr>
                <w:rFonts w:ascii="Arial Narrow" w:hAnsi="Arial Narrow" w:cstheme="minorHAnsi"/>
                <w:sz w:val="20"/>
                <w:szCs w:val="20"/>
              </w:rPr>
              <w:t xml:space="preserve">Sorrell (2009) and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Jenkins et al. 2011 split into two sub-classes: </w:t>
            </w:r>
          </w:p>
          <w:p w14:paraId="3629DCC0" w14:textId="77777777" w:rsidR="00755459" w:rsidRPr="000F749C" w:rsidRDefault="00755459" w:rsidP="00755459">
            <w:pPr>
              <w:pStyle w:val="ListParagraph"/>
              <w:numPr>
                <w:ilvl w:val="0"/>
                <w:numId w:val="15"/>
              </w:numPr>
              <w:ind w:left="463" w:hanging="283"/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Re-spending and re-investment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If consumers and firms see net cost savings from energy efficiency improvements, this may increase consumer expenditures or investments in production - increasing demand for goods, services, and factors of production, which in turn require energy to produce and support. </w:t>
            </w:r>
          </w:p>
          <w:p w14:paraId="7F0684FE" w14:textId="77777777" w:rsidR="00755459" w:rsidRPr="000F749C" w:rsidRDefault="00755459" w:rsidP="005E0B38">
            <w:pPr>
              <w:pStyle w:val="ListParagraph"/>
              <w:numPr>
                <w:ilvl w:val="0"/>
                <w:numId w:val="15"/>
              </w:numPr>
              <w:ind w:left="463" w:hanging="283"/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Embodied energy effects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The energy ‘embodied’ in the efficiency improvements themselves will offset some portion of the energy savings achieved. </w:t>
            </w:r>
          </w:p>
          <w:p w14:paraId="3828FCE9" w14:textId="77777777" w:rsidR="00DC7D5E" w:rsidRPr="000F749C" w:rsidRDefault="00DC7D5E" w:rsidP="00DC7D5E">
            <w:p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Other notes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: Commonly </w:t>
            </w:r>
            <w:proofErr w:type="spellStart"/>
            <w:r w:rsidRPr="000F749C">
              <w:rPr>
                <w:rFonts w:ascii="Arial Narrow" w:hAnsi="Arial Narrow" w:cstheme="minorHAnsi"/>
                <w:sz w:val="20"/>
                <w:szCs w:val="20"/>
              </w:rPr>
              <w:t>respending</w:t>
            </w:r>
            <w:proofErr w:type="spellEnd"/>
            <w:r w:rsidRPr="000F749C">
              <w:rPr>
                <w:rFonts w:ascii="Arial Narrow" w:hAnsi="Arial Narrow" w:cstheme="minorHAnsi"/>
                <w:sz w:val="20"/>
                <w:szCs w:val="20"/>
              </w:rPr>
              <w:t>/reinvestment effects are assessed via combined cross-price / cross-sector efficiency elasticities</w:t>
            </w:r>
          </w:p>
        </w:tc>
        <w:tc>
          <w:tcPr>
            <w:tcW w:w="3408" w:type="dxa"/>
            <w:shd w:val="clear" w:color="auto" w:fill="FFF2CC" w:themeFill="accent4" w:themeFillTint="33"/>
          </w:tcPr>
          <w:p w14:paraId="2546D110" w14:textId="57E8570B" w:rsidR="004F7F44" w:rsidRPr="00C41AEB" w:rsidRDefault="004F7F44" w:rsidP="004F7F44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4</w:t>
            </w: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. Emplacement effect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=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Differential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lifecycle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energy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effects </w:t>
            </w:r>
            <w:r w:rsidR="001A3A66" w:rsidRPr="001A3A66">
              <w:rPr>
                <w:rFonts w:ascii="Arial Narrow" w:hAnsi="Arial Narrow" w:cstheme="minorHAnsi"/>
                <w:sz w:val="20"/>
                <w:szCs w:val="20"/>
              </w:rPr>
              <w:t>(versus counterfactual)</w:t>
            </w:r>
            <w:r w:rsidR="001A3A66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of the EEU, i.e. embodied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 xml:space="preserve"> energy (</w:t>
            </w:r>
            <w:proofErr w:type="spellStart"/>
            <w:r w:rsidR="000B4AE8">
              <w:rPr>
                <w:rFonts w:ascii="Arial Narrow" w:hAnsi="Arial Narrow" w:cstheme="minorHAnsi"/>
                <w:sz w:val="20"/>
                <w:szCs w:val="20"/>
              </w:rPr>
              <w:t>emb</w:t>
            </w:r>
            <w:proofErr w:type="spellEnd"/>
            <w:r w:rsidR="000B4AE8">
              <w:rPr>
                <w:rFonts w:ascii="Arial Narrow" w:hAnsi="Arial Narrow" w:cstheme="minorHAnsi"/>
                <w:sz w:val="20"/>
                <w:szCs w:val="20"/>
              </w:rPr>
              <w:t>)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, and </w:t>
            </w:r>
            <w:r w:rsidR="000B4AE8">
              <w:rPr>
                <w:rFonts w:ascii="Arial Narrow" w:hAnsi="Arial Narrow" w:cstheme="minorHAnsi"/>
                <w:sz w:val="20"/>
                <w:szCs w:val="20"/>
              </w:rPr>
              <w:t>implied energy demand from m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aintenance </w:t>
            </w:r>
            <w:r w:rsidRPr="00C41AEB">
              <w:rPr>
                <w:rFonts w:ascii="Arial Narrow" w:hAnsi="Arial Narrow" w:cstheme="minorHAnsi"/>
                <w:sz w:val="20"/>
                <w:szCs w:val="20"/>
              </w:rPr>
              <w:t>and disposal (</w:t>
            </w:r>
            <w:proofErr w:type="spellStart"/>
            <w:r w:rsidRPr="00C41AEB">
              <w:rPr>
                <w:rFonts w:ascii="Arial Narrow" w:hAnsi="Arial Narrow" w:cstheme="minorHAnsi"/>
                <w:sz w:val="20"/>
                <w:szCs w:val="20"/>
              </w:rPr>
              <w:t>Md</w:t>
            </w:r>
            <w:proofErr w:type="spellEnd"/>
            <w:r w:rsidRPr="00C41AEB">
              <w:rPr>
                <w:rFonts w:ascii="Arial Narrow" w:hAnsi="Arial Narrow" w:cstheme="minorHAnsi"/>
                <w:sz w:val="20"/>
                <w:szCs w:val="20"/>
              </w:rPr>
              <w:t>). (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>Other authors include embodied effects</w:t>
            </w:r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(</w:t>
            </w:r>
            <w:proofErr w:type="spellStart"/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>emb</w:t>
            </w:r>
            <w:proofErr w:type="spellEnd"/>
            <w:r w:rsidR="000B4AE8">
              <w:rPr>
                <w:rFonts w:ascii="Arial Narrow" w:hAnsi="Arial Narrow" w:cstheme="minorHAnsi"/>
                <w:i/>
                <w:sz w:val="20"/>
                <w:szCs w:val="20"/>
              </w:rPr>
              <w:t>)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>, but not energy/effects associated with</w:t>
            </w:r>
            <w:r w:rsidRPr="00C41AEB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proofErr w:type="spellStart"/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>Md</w:t>
            </w:r>
            <w:proofErr w:type="spellEnd"/>
            <w:r w:rsidRPr="00C41AEB">
              <w:rPr>
                <w:rFonts w:ascii="Arial Narrow" w:hAnsi="Arial Narrow" w:cstheme="minorHAnsi"/>
                <w:sz w:val="20"/>
                <w:szCs w:val="20"/>
              </w:rPr>
              <w:t>)</w:t>
            </w:r>
          </w:p>
          <w:p w14:paraId="177B3B35" w14:textId="511922F2" w:rsidR="005E0B38" w:rsidRPr="00C41AEB" w:rsidRDefault="004F7F44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C41AEB">
              <w:rPr>
                <w:rFonts w:ascii="Arial Narrow" w:hAnsi="Arial Narrow" w:cstheme="minorHAnsi"/>
                <w:b/>
                <w:sz w:val="20"/>
                <w:szCs w:val="20"/>
              </w:rPr>
              <w:t>5</w:t>
            </w:r>
            <w:r w:rsidR="005E0B38" w:rsidRPr="00C41AEB">
              <w:rPr>
                <w:rFonts w:ascii="Arial Narrow" w:hAnsi="Arial Narrow" w:cstheme="minorHAnsi"/>
                <w:b/>
                <w:sz w:val="20"/>
                <w:szCs w:val="20"/>
              </w:rPr>
              <w:t>. Substitution effect</w:t>
            </w:r>
            <w:r w:rsidR="008D4B34" w:rsidRPr="00C41AEB">
              <w:rPr>
                <w:rFonts w:ascii="Arial Narrow" w:hAnsi="Arial Narrow" w:cstheme="minorHAnsi"/>
                <w:b/>
                <w:sz w:val="20"/>
                <w:szCs w:val="20"/>
              </w:rPr>
              <w:t>:</w:t>
            </w:r>
            <w:r w:rsidR="005E0B38" w:rsidRPr="00C41AEB">
              <w:rPr>
                <w:rFonts w:ascii="Arial Narrow" w:hAnsi="Arial Narrow" w:cstheme="minorHAnsi"/>
                <w:sz w:val="20"/>
                <w:szCs w:val="20"/>
              </w:rPr>
              <w:t xml:space="preserve"> (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Other authors </w:t>
            </w:r>
            <w:r w:rsid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typically 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include within </w:t>
            </w:r>
            <w:r w:rsidR="005E0B38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the 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re-spending and re-investment effects)</w:t>
            </w:r>
            <w:r w:rsidR="008D4B34" w:rsidRPr="00C41AEB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</w:p>
          <w:p w14:paraId="6D9B1B72" w14:textId="64D3D3E4" w:rsidR="00755459" w:rsidRPr="00C41AEB" w:rsidRDefault="004F7F44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C41AEB">
              <w:rPr>
                <w:rFonts w:ascii="Arial Narrow" w:hAnsi="Arial Narrow" w:cstheme="minorHAnsi"/>
                <w:b/>
                <w:sz w:val="20"/>
                <w:szCs w:val="20"/>
              </w:rPr>
              <w:t>6</w:t>
            </w:r>
            <w:r w:rsidR="00755459" w:rsidRPr="00C41AEB">
              <w:rPr>
                <w:rFonts w:ascii="Arial Narrow" w:hAnsi="Arial Narrow" w:cstheme="minorHAnsi"/>
                <w:b/>
                <w:sz w:val="20"/>
                <w:szCs w:val="20"/>
              </w:rPr>
              <w:t>. Income effect:</w:t>
            </w:r>
            <w:r w:rsidR="00755459" w:rsidRPr="00C41AEB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8D4B34" w:rsidRPr="00C41AEB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Other authors </w:t>
            </w:r>
            <w:r w:rsid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typically </w:t>
            </w:r>
            <w:r w:rsidR="008D4B3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include within the re-spending and re-investment effects)</w:t>
            </w:r>
          </w:p>
          <w:p w14:paraId="2001B483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6BF9821" w14:textId="014567DD" w:rsidR="00DC7D5E" w:rsidRPr="000F749C" w:rsidRDefault="00DC7D5E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755459" w:rsidRPr="000F749C" w:rsidDel="00883346" w14:paraId="4973A7D0" w14:textId="77777777" w:rsidTr="00580376">
        <w:trPr>
          <w:cantSplit/>
          <w:jc w:val="center"/>
        </w:trPr>
        <w:tc>
          <w:tcPr>
            <w:tcW w:w="2122" w:type="dxa"/>
          </w:tcPr>
          <w:p w14:paraId="336D5D10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u w:val="single"/>
              </w:rPr>
              <w:t>Macroeconomic rebound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:</w:t>
            </w:r>
          </w:p>
          <w:p w14:paraId="05980DFA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>These mechanisms originate from the dynamic response of the economy to reach a stable equilibrium (between supply and demand for goods and energy services). They combine various short and long run effects.</w:t>
            </w:r>
          </w:p>
        </w:tc>
        <w:tc>
          <w:tcPr>
            <w:tcW w:w="4110" w:type="dxa"/>
          </w:tcPr>
          <w:p w14:paraId="355CD729" w14:textId="77777777" w:rsidR="00755459" w:rsidRPr="000F749C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>Thomas and Azevedo (2013) split into 5 components:</w:t>
            </w:r>
          </w:p>
          <w:p w14:paraId="45B7013B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a lower market price for energy, </w:t>
            </w:r>
          </w:p>
          <w:p w14:paraId="18B71D43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changes in economic structure, </w:t>
            </w:r>
          </w:p>
          <w:p w14:paraId="43EA4B3D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economic-competiveness </w:t>
            </w:r>
          </w:p>
          <w:p w14:paraId="0E5529F9" w14:textId="77777777" w:rsidR="00755459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investment and disinvestment, </w:t>
            </w:r>
          </w:p>
          <w:p w14:paraId="7437DB85" w14:textId="77777777" w:rsidR="004150D5" w:rsidRPr="000F749C" w:rsidRDefault="00755459" w:rsidP="00755459">
            <w:pPr>
              <w:pStyle w:val="ListParagraph"/>
              <w:numPr>
                <w:ilvl w:val="0"/>
                <w:numId w:val="17"/>
              </w:numPr>
              <w:contextualSpacing/>
              <w:rPr>
                <w:rFonts w:ascii="Arial Narrow" w:hAnsi="Arial Narrow" w:cstheme="minorHAnsi"/>
                <w:i/>
                <w:color w:val="1F4E79" w:themeColor="accent1" w:themeShade="80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labor market changes</w:t>
            </w:r>
          </w:p>
          <w:p w14:paraId="1DED61A6" w14:textId="77777777" w:rsidR="000F749C" w:rsidRPr="000F749C" w:rsidRDefault="000F749C" w:rsidP="004150D5">
            <w:p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</w:p>
          <w:p w14:paraId="36C7D92C" w14:textId="77777777" w:rsidR="004150D5" w:rsidRPr="000F749C" w:rsidRDefault="008D4B34" w:rsidP="004150D5">
            <w:p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Sorrell 2009, Jenkins et al 2011, and </w:t>
            </w:r>
            <w:proofErr w:type="spellStart"/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Walnum</w:t>
            </w:r>
            <w:proofErr w:type="spellEnd"/>
            <w:r w:rsidR="004150D5"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et al 2014 split into three effects</w:t>
            </w: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:</w:t>
            </w:r>
          </w:p>
          <w:p w14:paraId="2BE34BD8" w14:textId="77777777" w:rsidR="004150D5" w:rsidRPr="000F749C" w:rsidRDefault="004150D5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Market price effect</w:t>
            </w:r>
          </w:p>
          <w:p w14:paraId="49E175A9" w14:textId="77777777" w:rsidR="004150D5" w:rsidRPr="000F749C" w:rsidRDefault="004150D5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Composition effect</w:t>
            </w:r>
          </w:p>
          <w:p w14:paraId="696BA637" w14:textId="77777777" w:rsidR="004150D5" w:rsidRPr="000F749C" w:rsidRDefault="004150D5" w:rsidP="004150D5">
            <w:pPr>
              <w:pStyle w:val="ListParagraph"/>
              <w:numPr>
                <w:ilvl w:val="0"/>
                <w:numId w:val="18"/>
              </w:numPr>
              <w:contextualSpacing/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>Economic growth effect</w:t>
            </w:r>
          </w:p>
          <w:p w14:paraId="61D4734E" w14:textId="77777777" w:rsidR="00755459" w:rsidRPr="000F749C" w:rsidRDefault="004150D5" w:rsidP="004150D5">
            <w:pPr>
              <w:contextualSpacing/>
              <w:rPr>
                <w:rFonts w:ascii="Arial Narrow" w:hAnsi="Arial Narrow" w:cstheme="minorHAnsi"/>
                <w:i/>
                <w:color w:val="1F4E79" w:themeColor="accent1" w:themeShade="80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  <w:lang w:eastAsia="zh-CN"/>
              </w:rPr>
              <w:t xml:space="preserve"> </w:t>
            </w:r>
            <w:r w:rsidR="00755459" w:rsidRPr="000F749C">
              <w:rPr>
                <w:rFonts w:ascii="Arial Narrow" w:hAnsi="Arial Narrow" w:cstheme="minorHAnsi"/>
                <w:i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408" w:type="dxa"/>
            <w:shd w:val="clear" w:color="auto" w:fill="FFF2CC" w:themeFill="accent4" w:themeFillTint="33"/>
          </w:tcPr>
          <w:p w14:paraId="2E5863AF" w14:textId="5A66DBD3" w:rsidR="00755459" w:rsidRDefault="00755459" w:rsidP="008A64F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7. </w:t>
            </w:r>
            <w:commentRangeStart w:id="0"/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Macroeconomic rebound effect</w:t>
            </w:r>
            <w:commentRangeEnd w:id="0"/>
            <w:r w:rsidR="003036D1">
              <w:rPr>
                <w:rStyle w:val="CommentReference"/>
                <w:rFonts w:ascii="Arial" w:eastAsiaTheme="minorHAnsi" w:hAnsi="Arial" w:cs="Arial"/>
                <w:lang w:val="en-GB" w:eastAsia="en-US"/>
              </w:rPr>
              <w:commentReference w:id="0"/>
            </w:r>
            <w:r w:rsidRPr="000F749C">
              <w:rPr>
                <w:rFonts w:ascii="Arial Narrow" w:hAnsi="Arial Narrow" w:cstheme="minorHAnsi"/>
                <w:b/>
                <w:sz w:val="20"/>
                <w:szCs w:val="20"/>
              </w:rPr>
              <w:t>: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 xml:space="preserve"> made up of </w:t>
            </w:r>
            <w:r w:rsidR="00C41AEB">
              <w:rPr>
                <w:rFonts w:ascii="Arial Narrow" w:hAnsi="Arial Narrow" w:cstheme="minorHAnsi"/>
                <w:sz w:val="20"/>
                <w:szCs w:val="20"/>
              </w:rPr>
              <w:t xml:space="preserve">numerous </w:t>
            </w:r>
            <w:r w:rsidRPr="000F749C">
              <w:rPr>
                <w:rFonts w:ascii="Arial Narrow" w:hAnsi="Arial Narrow" w:cstheme="minorHAnsi"/>
                <w:sz w:val="20"/>
                <w:szCs w:val="20"/>
              </w:rPr>
              <w:t>components including:</w:t>
            </w:r>
          </w:p>
          <w:p w14:paraId="278DA231" w14:textId="77777777" w:rsidR="004F7F44" w:rsidRPr="004F7F44" w:rsidRDefault="004F7F44" w:rsidP="004F7F44">
            <w:pPr>
              <w:rPr>
                <w:rFonts w:ascii="Arial Narrow" w:hAnsi="Arial Narrow" w:cstheme="minorHAnsi"/>
                <w:sz w:val="20"/>
                <w:szCs w:val="20"/>
              </w:rPr>
            </w:pPr>
            <w:commentRangeStart w:id="1"/>
            <w:r w:rsidRPr="004F7F44">
              <w:rPr>
                <w:rFonts w:ascii="Arial Narrow" w:hAnsi="Arial Narrow" w:cstheme="minorHAnsi"/>
                <w:sz w:val="20"/>
                <w:szCs w:val="20"/>
              </w:rPr>
              <w:t>7a: Energy market effect</w:t>
            </w:r>
          </w:p>
          <w:p w14:paraId="7F93F515" w14:textId="77777777" w:rsidR="004F7F44" w:rsidRPr="004F7F44" w:rsidRDefault="004F7F44" w:rsidP="004F7F44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sz w:val="20"/>
                <w:szCs w:val="20"/>
              </w:rPr>
              <w:t>7b: Composition effect</w:t>
            </w:r>
          </w:p>
          <w:p w14:paraId="6A2E2B2D" w14:textId="77777777" w:rsidR="004F7F44" w:rsidRPr="004F7F44" w:rsidRDefault="004F7F44" w:rsidP="004F7F44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sz w:val="20"/>
                <w:szCs w:val="20"/>
              </w:rPr>
              <w:t>7c: Productivity effect comprising</w:t>
            </w:r>
          </w:p>
          <w:p w14:paraId="09633A6D" w14:textId="77777777" w:rsidR="004F7F44" w:rsidRDefault="004F7F44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Growth effect </w:t>
            </w:r>
          </w:p>
          <w:p w14:paraId="64E9EC59" w14:textId="77777777" w:rsidR="004F7F44" w:rsidRDefault="004F7F44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sz w:val="20"/>
                <w:szCs w:val="20"/>
              </w:rPr>
              <w:t xml:space="preserve">Scale effect </w:t>
            </w:r>
          </w:p>
          <w:p w14:paraId="03BA98C2" w14:textId="77777777" w:rsidR="004F7F44" w:rsidRDefault="004F7F44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sz w:val="20"/>
                <w:szCs w:val="20"/>
              </w:rPr>
              <w:t>Labor supply effect</w:t>
            </w:r>
          </w:p>
          <w:p w14:paraId="3DD3AB88" w14:textId="347521CC" w:rsidR="00755459" w:rsidRPr="004F7F44" w:rsidRDefault="004F7F44" w:rsidP="004F7F44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4F7F44">
              <w:rPr>
                <w:rFonts w:ascii="Arial Narrow" w:hAnsi="Arial Narrow" w:cstheme="minorHAnsi"/>
                <w:sz w:val="20"/>
                <w:szCs w:val="20"/>
              </w:rPr>
              <w:t>Disinvestment effect</w:t>
            </w:r>
            <w:commentRangeEnd w:id="1"/>
            <w:r w:rsidR="003036D1">
              <w:rPr>
                <w:rStyle w:val="CommentReference"/>
                <w:rFonts w:ascii="Arial" w:eastAsiaTheme="minorHAnsi" w:hAnsi="Arial" w:cs="Arial"/>
                <w:lang w:val="en-GB" w:eastAsia="en-US"/>
              </w:rPr>
              <w:commentReference w:id="1"/>
            </w:r>
          </w:p>
          <w:p w14:paraId="4BF32232" w14:textId="77777777" w:rsidR="00755459" w:rsidRPr="000F749C" w:rsidRDefault="008D4B34" w:rsidP="00EB5D54">
            <w:pPr>
              <w:rPr>
                <w:rFonts w:ascii="Arial Narrow" w:hAnsi="Arial Narrow" w:cstheme="minorHAnsi"/>
                <w:sz w:val="20"/>
                <w:szCs w:val="20"/>
                <w:lang w:eastAsia="zh-CN"/>
              </w:rPr>
            </w:pPr>
            <w:r w:rsidRPr="000F749C">
              <w:rPr>
                <w:rFonts w:ascii="Arial Narrow" w:hAnsi="Arial Narrow" w:cstheme="minorHAnsi"/>
                <w:sz w:val="20"/>
                <w:szCs w:val="20"/>
              </w:rPr>
              <w:t>(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Close </w:t>
            </w:r>
            <w:r w:rsidR="00755459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alignment to</w:t>
            </w:r>
            <w:r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</w:t>
            </w:r>
            <w:r w:rsidR="00EB5D5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Thomas and Azevedo 2013</w:t>
            </w:r>
            <w:r w:rsidR="00755459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. </w:t>
            </w:r>
            <w:r w:rsidR="00EB5D5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Sorrell 2009, Jenkins et al 2011, and </w:t>
            </w:r>
            <w:proofErr w:type="spellStart"/>
            <w:r w:rsidR="00EB5D5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Walnum</w:t>
            </w:r>
            <w:proofErr w:type="spellEnd"/>
            <w:r w:rsidR="00EB5D5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et al 2014 fold </w:t>
            </w:r>
            <w:r w:rsidR="000F749C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the </w:t>
            </w:r>
            <w:r w:rsidR="00EB5D5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scale and dis/investment </w:t>
            </w:r>
            <w:r w:rsidR="000F749C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effects </w:t>
            </w:r>
            <w:r w:rsidR="00EB5D5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into economic growth effect, and include </w:t>
            </w:r>
            <w:proofErr w:type="spellStart"/>
            <w:r w:rsidR="00EB5D5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>labour</w:t>
            </w:r>
            <w:proofErr w:type="spellEnd"/>
            <w:r w:rsidR="00EB5D54" w:rsidRPr="00C41AEB">
              <w:rPr>
                <w:rFonts w:ascii="Arial Narrow" w:hAnsi="Arial Narrow" w:cstheme="minorHAnsi"/>
                <w:i/>
                <w:sz w:val="20"/>
                <w:szCs w:val="20"/>
              </w:rPr>
              <w:t xml:space="preserve"> market effects within the indirect factors of production response).</w:t>
            </w:r>
          </w:p>
        </w:tc>
      </w:tr>
    </w:tbl>
    <w:p w14:paraId="74F9B39F" w14:textId="77777777" w:rsidR="00755459" w:rsidRPr="000F749C" w:rsidRDefault="00755459" w:rsidP="00755459">
      <w:pPr>
        <w:rPr>
          <w:rFonts w:ascii="Arial Narrow" w:hAnsi="Arial Narrow" w:cstheme="minorHAnsi"/>
          <w:color w:val="1F4E79" w:themeColor="accent1" w:themeShade="80"/>
          <w:sz w:val="22"/>
          <w:szCs w:val="22"/>
        </w:rPr>
      </w:pPr>
    </w:p>
    <w:p w14:paraId="2A6CCB88" w14:textId="126295B5" w:rsidR="000F749C" w:rsidRDefault="000F749C" w:rsidP="00D93DCF">
      <w:pPr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b/>
          <w:sz w:val="22"/>
          <w:szCs w:val="22"/>
        </w:rPr>
        <w:t>Microeconomic rebound: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</w:t>
      </w:r>
      <w:r w:rsidR="008A1745">
        <w:rPr>
          <w:rFonts w:ascii="Arial Narrow" w:hAnsi="Arial Narrow" w:cstheme="minorHAnsi"/>
          <w:sz w:val="22"/>
          <w:szCs w:val="22"/>
        </w:rPr>
        <w:t>W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e apply the term </w:t>
      </w:r>
      <w:r>
        <w:rPr>
          <w:rFonts w:ascii="Arial Narrow" w:hAnsi="Arial Narrow" w:cstheme="minorHAnsi"/>
          <w:sz w:val="22"/>
          <w:szCs w:val="22"/>
        </w:rPr>
        <w:t>‘m</w:t>
      </w:r>
      <w:r w:rsidR="00D93DCF" w:rsidRPr="000F749C">
        <w:rPr>
          <w:rFonts w:ascii="Arial Narrow" w:hAnsi="Arial Narrow" w:cstheme="minorHAnsi"/>
          <w:sz w:val="22"/>
          <w:szCs w:val="22"/>
        </w:rPr>
        <w:t>icroeconomic rebound</w:t>
      </w:r>
      <w:r>
        <w:rPr>
          <w:rFonts w:ascii="Arial Narrow" w:hAnsi="Arial Narrow" w:cstheme="minorHAnsi"/>
          <w:sz w:val="22"/>
          <w:szCs w:val="22"/>
        </w:rPr>
        <w:t>’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to be at the single device-level (i.e. for a single consumer/producer), and to assume there is no change in prices. It is a </w:t>
      </w:r>
      <w:r w:rsidRPr="000F749C">
        <w:rPr>
          <w:rFonts w:ascii="Arial Narrow" w:hAnsi="Arial Narrow" w:cstheme="minorHAnsi"/>
          <w:sz w:val="22"/>
          <w:szCs w:val="22"/>
        </w:rPr>
        <w:t>partial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equilibrium response. </w:t>
      </w:r>
    </w:p>
    <w:p w14:paraId="2AC8E21F" w14:textId="188ABD4B" w:rsidR="00D93DCF" w:rsidRPr="000F749C" w:rsidRDefault="000F749C" w:rsidP="00D93DCF">
      <w:pPr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b/>
          <w:sz w:val="22"/>
          <w:szCs w:val="22"/>
        </w:rPr>
        <w:t>M</w:t>
      </w:r>
      <w:r w:rsidR="000C0580">
        <w:rPr>
          <w:rFonts w:ascii="Arial Narrow" w:hAnsi="Arial Narrow" w:cstheme="minorHAnsi"/>
          <w:b/>
          <w:sz w:val="22"/>
          <w:szCs w:val="22"/>
        </w:rPr>
        <w:t>a</w:t>
      </w:r>
      <w:r>
        <w:rPr>
          <w:rFonts w:ascii="Arial Narrow" w:hAnsi="Arial Narrow" w:cstheme="minorHAnsi"/>
          <w:b/>
          <w:sz w:val="22"/>
          <w:szCs w:val="22"/>
        </w:rPr>
        <w:t>croeconomic rebound: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 </w:t>
      </w:r>
      <w:r w:rsidR="008A1745">
        <w:rPr>
          <w:rFonts w:ascii="Arial Narrow" w:hAnsi="Arial Narrow" w:cstheme="minorHAnsi"/>
          <w:sz w:val="22"/>
          <w:szCs w:val="22"/>
        </w:rPr>
        <w:t>We apply the term ‘m</w:t>
      </w:r>
      <w:r w:rsidR="00D93DCF" w:rsidRPr="000F749C">
        <w:rPr>
          <w:rFonts w:ascii="Arial Narrow" w:hAnsi="Arial Narrow" w:cstheme="minorHAnsi"/>
          <w:sz w:val="22"/>
          <w:szCs w:val="22"/>
        </w:rPr>
        <w:t>acroeconomic rebound</w:t>
      </w:r>
      <w:r w:rsidR="008A1745">
        <w:rPr>
          <w:rFonts w:ascii="Arial Narrow" w:hAnsi="Arial Narrow" w:cstheme="minorHAnsi"/>
          <w:sz w:val="22"/>
          <w:szCs w:val="22"/>
        </w:rPr>
        <w:t xml:space="preserve">’ to comprise </w:t>
      </w:r>
      <w:r w:rsidR="00D93DCF" w:rsidRPr="000F749C">
        <w:rPr>
          <w:rFonts w:ascii="Arial Narrow" w:hAnsi="Arial Narrow" w:cstheme="minorHAnsi"/>
          <w:sz w:val="22"/>
          <w:szCs w:val="22"/>
        </w:rPr>
        <w:t xml:space="preserve">aspects </w:t>
      </w:r>
      <w:r w:rsidR="008A1745">
        <w:rPr>
          <w:rFonts w:ascii="Arial Narrow" w:hAnsi="Arial Narrow" w:cstheme="minorHAnsi"/>
          <w:sz w:val="22"/>
          <w:szCs w:val="22"/>
        </w:rPr>
        <w:t xml:space="preserve">which feature </w:t>
      </w:r>
      <w:r w:rsidR="004F7F44" w:rsidRPr="000F749C">
        <w:rPr>
          <w:rFonts w:ascii="Arial Narrow" w:hAnsi="Arial Narrow" w:cstheme="minorHAnsi"/>
          <w:sz w:val="22"/>
          <w:szCs w:val="22"/>
        </w:rPr>
        <w:t>at a whole economy level</w:t>
      </w:r>
      <w:r w:rsidR="004F7F44">
        <w:rPr>
          <w:rFonts w:ascii="Arial Narrow" w:hAnsi="Arial Narrow" w:cstheme="minorHAnsi"/>
          <w:sz w:val="22"/>
          <w:szCs w:val="22"/>
        </w:rPr>
        <w:t xml:space="preserve">, including market/price effects, </w:t>
      </w:r>
      <w:r w:rsidR="008A1745">
        <w:rPr>
          <w:rFonts w:ascii="Arial Narrow" w:hAnsi="Arial Narrow" w:cstheme="minorHAnsi"/>
          <w:sz w:val="22"/>
          <w:szCs w:val="22"/>
        </w:rPr>
        <w:t>composition effects, and p</w:t>
      </w:r>
      <w:r w:rsidR="004F7F44">
        <w:rPr>
          <w:rFonts w:ascii="Arial Narrow" w:hAnsi="Arial Narrow" w:cstheme="minorHAnsi"/>
          <w:sz w:val="22"/>
          <w:szCs w:val="22"/>
        </w:rPr>
        <w:t xml:space="preserve">roductivity </w:t>
      </w:r>
      <w:r w:rsidR="008A1745">
        <w:rPr>
          <w:rFonts w:ascii="Arial Narrow" w:hAnsi="Arial Narrow" w:cstheme="minorHAnsi"/>
          <w:sz w:val="22"/>
          <w:szCs w:val="22"/>
        </w:rPr>
        <w:t xml:space="preserve">effects </w:t>
      </w:r>
      <w:r w:rsidR="00D93DCF" w:rsidRPr="000F749C">
        <w:rPr>
          <w:rFonts w:ascii="Arial Narrow" w:hAnsi="Arial Narrow" w:cstheme="minorHAnsi"/>
          <w:sz w:val="22"/>
          <w:szCs w:val="22"/>
        </w:rPr>
        <w:t>(</w:t>
      </w:r>
      <w:r w:rsidR="004F7F44" w:rsidRPr="004F7F44">
        <w:rPr>
          <w:rFonts w:ascii="Arial Narrow" w:hAnsi="Arial Narrow" w:cstheme="minorHAnsi"/>
          <w:sz w:val="22"/>
          <w:szCs w:val="22"/>
        </w:rPr>
        <w:t>growth, scale, labour supply, and disinvestment effects</w:t>
      </w:r>
      <w:r w:rsidR="00D93DCF" w:rsidRPr="000F749C">
        <w:rPr>
          <w:rFonts w:ascii="Arial Narrow" w:hAnsi="Arial Narrow" w:cstheme="minorHAnsi"/>
          <w:sz w:val="22"/>
          <w:szCs w:val="22"/>
        </w:rPr>
        <w:t>)</w:t>
      </w:r>
      <w:r>
        <w:rPr>
          <w:rFonts w:ascii="Arial Narrow" w:hAnsi="Arial Narrow" w:cstheme="minorHAnsi"/>
          <w:sz w:val="22"/>
          <w:szCs w:val="22"/>
        </w:rPr>
        <w:t>.</w:t>
      </w:r>
      <w:r w:rsidR="004F7F44" w:rsidRPr="004F7F44">
        <w:t xml:space="preserve"> </w:t>
      </w:r>
    </w:p>
    <w:sectPr w:rsidR="00D93DCF" w:rsidRPr="000F749C" w:rsidSect="00755459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ul Brockway" w:date="2021-04-28T14:33:00Z" w:initials="PB">
    <w:p w14:paraId="6A08E378" w14:textId="1A4EB916" w:rsidR="003036D1" w:rsidRDefault="003036D1">
      <w:pPr>
        <w:pStyle w:val="CommentText"/>
      </w:pPr>
      <w:r>
        <w:rPr>
          <w:rStyle w:val="CommentReference"/>
        </w:rPr>
        <w:annotationRef/>
      </w:r>
      <w:r>
        <w:t>In the RSER paper, we list 6 effects under here:</w:t>
      </w:r>
    </w:p>
    <w:p w14:paraId="59FD1D17" w14:textId="77777777" w:rsidR="003036D1" w:rsidRPr="003036D1" w:rsidRDefault="003036D1" w:rsidP="003036D1">
      <w:pPr>
        <w:pStyle w:val="ListParagraph"/>
        <w:numPr>
          <w:ilvl w:val="0"/>
          <w:numId w:val="27"/>
        </w:numPr>
        <w:spacing w:after="160" w:line="259" w:lineRule="auto"/>
        <w:rPr>
          <w:rFonts w:ascii="Arial Narrow" w:hAnsi="Arial Narrow"/>
          <w:sz w:val="28"/>
          <w:szCs w:val="28"/>
        </w:rPr>
      </w:pPr>
      <w:r w:rsidRPr="003036D1">
        <w:rPr>
          <w:rFonts w:ascii="Arial Narrow" w:hAnsi="Arial Narrow"/>
          <w:sz w:val="28"/>
          <w:szCs w:val="28"/>
        </w:rPr>
        <w:t xml:space="preserve">Energy market effect: Changes in energy consumption following changes in energy prices ( leftward shift of the demand curve for energy) </w:t>
      </w:r>
    </w:p>
    <w:p w14:paraId="5E51D1D2" w14:textId="77777777" w:rsidR="003036D1" w:rsidRPr="003036D1" w:rsidRDefault="003036D1" w:rsidP="003036D1">
      <w:pPr>
        <w:pStyle w:val="ListParagraph"/>
        <w:numPr>
          <w:ilvl w:val="0"/>
          <w:numId w:val="27"/>
        </w:numPr>
        <w:spacing w:after="160" w:line="259" w:lineRule="auto"/>
        <w:rPr>
          <w:rFonts w:ascii="Arial Narrow" w:hAnsi="Arial Narrow"/>
          <w:sz w:val="28"/>
          <w:szCs w:val="28"/>
        </w:rPr>
      </w:pPr>
      <w:r w:rsidRPr="003036D1">
        <w:rPr>
          <w:rFonts w:ascii="Arial Narrow" w:hAnsi="Arial Narrow"/>
          <w:sz w:val="28"/>
          <w:szCs w:val="28"/>
        </w:rPr>
        <w:t xml:space="preserve">Composition effect: Changes in energy consumption following structural change in the economy - with energy-intensive sectors and goods benefiting more </w:t>
      </w:r>
    </w:p>
    <w:p w14:paraId="03EB56A9" w14:textId="77777777" w:rsidR="003036D1" w:rsidRPr="003036D1" w:rsidRDefault="003036D1" w:rsidP="003036D1">
      <w:pPr>
        <w:pStyle w:val="ListParagraph"/>
        <w:numPr>
          <w:ilvl w:val="0"/>
          <w:numId w:val="27"/>
        </w:numPr>
        <w:spacing w:after="160" w:line="259" w:lineRule="auto"/>
        <w:rPr>
          <w:rFonts w:ascii="Arial Narrow" w:hAnsi="Arial Narrow"/>
          <w:sz w:val="28"/>
          <w:szCs w:val="28"/>
        </w:rPr>
      </w:pPr>
      <w:r w:rsidRPr="003036D1">
        <w:rPr>
          <w:rFonts w:ascii="Arial Narrow" w:hAnsi="Arial Narrow"/>
          <w:sz w:val="28"/>
          <w:szCs w:val="28"/>
        </w:rPr>
        <w:t>Growth effect: Changes in energy consumption following investment and increased output stimulated by the energy efficiency improvement</w:t>
      </w:r>
    </w:p>
    <w:p w14:paraId="76683E0C" w14:textId="77777777" w:rsidR="003036D1" w:rsidRPr="003036D1" w:rsidRDefault="003036D1" w:rsidP="003036D1">
      <w:pPr>
        <w:pStyle w:val="ListParagraph"/>
        <w:numPr>
          <w:ilvl w:val="0"/>
          <w:numId w:val="27"/>
        </w:numPr>
        <w:spacing w:after="160" w:line="259" w:lineRule="auto"/>
        <w:rPr>
          <w:rFonts w:ascii="Arial Narrow" w:hAnsi="Arial Narrow"/>
          <w:sz w:val="28"/>
          <w:szCs w:val="28"/>
        </w:rPr>
      </w:pPr>
      <w:r w:rsidRPr="003036D1">
        <w:rPr>
          <w:rFonts w:ascii="Arial Narrow" w:hAnsi="Arial Narrow"/>
          <w:sz w:val="28"/>
          <w:szCs w:val="28"/>
        </w:rPr>
        <w:t>Scale effect: Changes in energy consumption following reductions in the price of goods and services stimulated by increased output of those goods and services</w:t>
      </w:r>
    </w:p>
    <w:p w14:paraId="18215C74" w14:textId="77777777" w:rsidR="003036D1" w:rsidRPr="003036D1" w:rsidRDefault="003036D1" w:rsidP="003036D1">
      <w:pPr>
        <w:pStyle w:val="ListParagraph"/>
        <w:numPr>
          <w:ilvl w:val="0"/>
          <w:numId w:val="27"/>
        </w:numPr>
        <w:spacing w:after="160" w:line="259" w:lineRule="auto"/>
        <w:rPr>
          <w:rFonts w:ascii="Arial Narrow" w:hAnsi="Arial Narrow"/>
          <w:sz w:val="28"/>
          <w:szCs w:val="28"/>
        </w:rPr>
      </w:pPr>
      <w:r w:rsidRPr="003036D1">
        <w:rPr>
          <w:rFonts w:ascii="Arial Narrow" w:hAnsi="Arial Narrow"/>
          <w:sz w:val="28"/>
          <w:szCs w:val="28"/>
        </w:rPr>
        <w:t>Labour supply effect: Changes in energy consumption following increases in real wages stimulated by the energy efficiency improvement</w:t>
      </w:r>
    </w:p>
    <w:p w14:paraId="52E49EFD" w14:textId="77777777" w:rsidR="003036D1" w:rsidRPr="003036D1" w:rsidRDefault="003036D1" w:rsidP="003036D1">
      <w:pPr>
        <w:pStyle w:val="ListParagraph"/>
        <w:numPr>
          <w:ilvl w:val="0"/>
          <w:numId w:val="27"/>
        </w:numPr>
        <w:spacing w:after="160" w:line="259" w:lineRule="auto"/>
        <w:rPr>
          <w:rFonts w:ascii="Arial Narrow" w:hAnsi="Arial Narrow"/>
          <w:sz w:val="22"/>
          <w:szCs w:val="22"/>
        </w:rPr>
      </w:pPr>
      <w:r w:rsidRPr="003036D1">
        <w:rPr>
          <w:rFonts w:ascii="Arial Narrow" w:hAnsi="Arial Narrow"/>
          <w:sz w:val="28"/>
          <w:szCs w:val="28"/>
        </w:rPr>
        <w:t>Disinvestment effect: Changes in energy consumption following disinvestment in the energy supply sectors in response to lower energy prices</w:t>
      </w:r>
    </w:p>
    <w:p w14:paraId="2241D50F" w14:textId="77777777" w:rsidR="003036D1" w:rsidRDefault="003036D1">
      <w:pPr>
        <w:pStyle w:val="CommentText"/>
      </w:pPr>
    </w:p>
  </w:comment>
  <w:comment w:id="1" w:author="Paul Brockway" w:date="2021-04-28T14:35:00Z" w:initials="PB">
    <w:p w14:paraId="5D75200A" w14:textId="06879671" w:rsidR="003036D1" w:rsidRDefault="003036D1">
      <w:pPr>
        <w:pStyle w:val="CommentText"/>
      </w:pPr>
      <w:r>
        <w:rPr>
          <w:rStyle w:val="CommentReference"/>
        </w:rPr>
        <w:annotationRef/>
      </w:r>
      <w:r>
        <w:t xml:space="preserve">The last variant we had of </w:t>
      </w:r>
      <w:r w:rsidR="00FE48B0">
        <w:t>this current Word T</w:t>
      </w:r>
      <w:r>
        <w:t xml:space="preserve">able </w:t>
      </w:r>
      <w:r w:rsidR="00FE48B0">
        <w:t xml:space="preserve">(Aug 2020) </w:t>
      </w:r>
      <w:r>
        <w:t xml:space="preserve">had 3 effects, </w:t>
      </w:r>
      <w:r w:rsidR="00FE48B0">
        <w:t>with</w:t>
      </w:r>
      <w:r>
        <w:t xml:space="preserve"> 4 listed under the third, making the 6 in total that were listed in the RSER paper. </w:t>
      </w:r>
    </w:p>
    <w:p w14:paraId="5C0EB4CB" w14:textId="4BA9A704" w:rsidR="003036D1" w:rsidRDefault="003036D1">
      <w:pPr>
        <w:pStyle w:val="CommentText"/>
      </w:pPr>
      <w:r>
        <w:t xml:space="preserve">Maybe </w:t>
      </w:r>
      <w:proofErr w:type="spellStart"/>
      <w:r>
        <w:t>its</w:t>
      </w:r>
      <w:proofErr w:type="spellEnd"/>
      <w:r>
        <w:t xml:space="preserve"> easier for us just to put all 6 under the macro effect heading. Rather than try and be clever and sub-group them?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41D50F" w15:done="0"/>
  <w15:commentEx w15:paraId="5C0EB4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60395" w16cex:dateUtc="2020-07-13T01:48:00Z"/>
  <w16cex:commentExtensible w16cex:durableId="22B6043C" w16cex:dateUtc="2020-07-13T01:50:00Z"/>
  <w16cex:commentExtensible w16cex:durableId="22B604E4" w16cex:dateUtc="2020-07-13T01:53:00Z"/>
  <w16cex:commentExtensible w16cex:durableId="22B60546" w16cex:dateUtc="2020-07-13T01:55:00Z"/>
  <w16cex:commentExtensible w16cex:durableId="22B60556" w16cex:dateUtc="2020-07-13T01:55:00Z"/>
  <w16cex:commentExtensible w16cex:durableId="22B60579" w16cex:dateUtc="2020-07-13T0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D9C749" w16cid:durableId="22B60395"/>
  <w16cid:commentId w16cid:paraId="7828D92B" w16cid:durableId="22B6043C"/>
  <w16cid:commentId w16cid:paraId="3573D0A5" w16cid:durableId="22B6036D"/>
  <w16cid:commentId w16cid:paraId="69BCD427" w16cid:durableId="22B6036E"/>
  <w16cid:commentId w16cid:paraId="2EB8EDE4" w16cid:durableId="22B604E4"/>
  <w16cid:commentId w16cid:paraId="0C23C2E6" w16cid:durableId="22B6036F"/>
  <w16cid:commentId w16cid:paraId="24F4DACD" w16cid:durableId="22B60546"/>
  <w16cid:commentId w16cid:paraId="52F8A627" w16cid:durableId="22B60370"/>
  <w16cid:commentId w16cid:paraId="49A1A405" w16cid:durableId="22B60556"/>
  <w16cid:commentId w16cid:paraId="382C8902" w16cid:durableId="22B60371"/>
  <w16cid:commentId w16cid:paraId="1F90E859" w16cid:durableId="22B60372"/>
  <w16cid:commentId w16cid:paraId="3E438DBA" w16cid:durableId="22B60579"/>
  <w16cid:commentId w16cid:paraId="152E50E9" w16cid:durableId="22B603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916B7" w14:textId="77777777" w:rsidR="007103B7" w:rsidRDefault="007103B7" w:rsidP="00755459">
      <w:r>
        <w:separator/>
      </w:r>
    </w:p>
  </w:endnote>
  <w:endnote w:type="continuationSeparator" w:id="0">
    <w:p w14:paraId="6D395008" w14:textId="77777777" w:rsidR="007103B7" w:rsidRDefault="007103B7" w:rsidP="0075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030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D0989" w14:textId="5F7B1BFA" w:rsidR="00755459" w:rsidRDefault="007554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8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F3AD5B" w14:textId="77777777" w:rsidR="00755459" w:rsidRDefault="0075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852A3" w14:textId="77777777" w:rsidR="007103B7" w:rsidRDefault="007103B7" w:rsidP="00755459">
      <w:r>
        <w:separator/>
      </w:r>
    </w:p>
  </w:footnote>
  <w:footnote w:type="continuationSeparator" w:id="0">
    <w:p w14:paraId="6E834870" w14:textId="77777777" w:rsidR="007103B7" w:rsidRDefault="007103B7" w:rsidP="00755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985"/>
    <w:multiLevelType w:val="hybridMultilevel"/>
    <w:tmpl w:val="3822C722"/>
    <w:lvl w:ilvl="0" w:tplc="DB90D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A42"/>
    <w:multiLevelType w:val="hybridMultilevel"/>
    <w:tmpl w:val="18803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9C6"/>
    <w:multiLevelType w:val="hybridMultilevel"/>
    <w:tmpl w:val="0194E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61FF6"/>
    <w:multiLevelType w:val="hybridMultilevel"/>
    <w:tmpl w:val="E86C1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564C9"/>
    <w:multiLevelType w:val="hybridMultilevel"/>
    <w:tmpl w:val="72D27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A1D9B"/>
    <w:multiLevelType w:val="hybridMultilevel"/>
    <w:tmpl w:val="F01E6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54F20"/>
    <w:multiLevelType w:val="hybridMultilevel"/>
    <w:tmpl w:val="70909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A37DF"/>
    <w:multiLevelType w:val="hybridMultilevel"/>
    <w:tmpl w:val="5E3C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32A42"/>
    <w:multiLevelType w:val="hybridMultilevel"/>
    <w:tmpl w:val="A3DA7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25"/>
    <w:multiLevelType w:val="hybridMultilevel"/>
    <w:tmpl w:val="74A0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F615B"/>
    <w:multiLevelType w:val="hybridMultilevel"/>
    <w:tmpl w:val="34806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023F9"/>
    <w:multiLevelType w:val="hybridMultilevel"/>
    <w:tmpl w:val="AA787114"/>
    <w:lvl w:ilvl="0" w:tplc="8D30098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94443"/>
    <w:multiLevelType w:val="hybridMultilevel"/>
    <w:tmpl w:val="22BE5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75AD0"/>
    <w:multiLevelType w:val="hybridMultilevel"/>
    <w:tmpl w:val="25E2B494"/>
    <w:lvl w:ilvl="0" w:tplc="A6DE10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86F44"/>
    <w:multiLevelType w:val="hybridMultilevel"/>
    <w:tmpl w:val="34587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D4FAA"/>
    <w:multiLevelType w:val="hybridMultilevel"/>
    <w:tmpl w:val="F506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A435C"/>
    <w:multiLevelType w:val="hybridMultilevel"/>
    <w:tmpl w:val="DDBE5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D1D9D"/>
    <w:multiLevelType w:val="hybridMultilevel"/>
    <w:tmpl w:val="7EC01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6CE8"/>
    <w:multiLevelType w:val="hybridMultilevel"/>
    <w:tmpl w:val="F7D65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4EB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0B76"/>
    <w:multiLevelType w:val="hybridMultilevel"/>
    <w:tmpl w:val="AE30F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82DC3"/>
    <w:multiLevelType w:val="hybridMultilevel"/>
    <w:tmpl w:val="9E9AE73A"/>
    <w:lvl w:ilvl="0" w:tplc="63E270FA">
      <w:start w:val="6"/>
      <w:numFmt w:val="bullet"/>
      <w:lvlText w:val=""/>
      <w:lvlJc w:val="left"/>
      <w:pPr>
        <w:ind w:left="6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1" w15:restartNumberingAfterBreak="0">
    <w:nsid w:val="50760215"/>
    <w:multiLevelType w:val="hybridMultilevel"/>
    <w:tmpl w:val="F9D05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E2C7E"/>
    <w:multiLevelType w:val="hybridMultilevel"/>
    <w:tmpl w:val="35F43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30DB1"/>
    <w:multiLevelType w:val="hybridMultilevel"/>
    <w:tmpl w:val="F3103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12B40"/>
    <w:multiLevelType w:val="hybridMultilevel"/>
    <w:tmpl w:val="FBF47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B6009"/>
    <w:multiLevelType w:val="hybridMultilevel"/>
    <w:tmpl w:val="26A4E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5"/>
  </w:num>
  <w:num w:numId="5">
    <w:abstractNumId w:val="5"/>
  </w:num>
  <w:num w:numId="6">
    <w:abstractNumId w:val="6"/>
  </w:num>
  <w:num w:numId="7">
    <w:abstractNumId w:val="22"/>
  </w:num>
  <w:num w:numId="8">
    <w:abstractNumId w:val="23"/>
  </w:num>
  <w:num w:numId="9">
    <w:abstractNumId w:val="7"/>
  </w:num>
  <w:num w:numId="10">
    <w:abstractNumId w:val="8"/>
  </w:num>
  <w:num w:numId="11">
    <w:abstractNumId w:val="12"/>
  </w:num>
  <w:num w:numId="12">
    <w:abstractNumId w:val="10"/>
  </w:num>
  <w:num w:numId="13">
    <w:abstractNumId w:val="19"/>
  </w:num>
  <w:num w:numId="14">
    <w:abstractNumId w:val="14"/>
  </w:num>
  <w:num w:numId="15">
    <w:abstractNumId w:val="21"/>
  </w:num>
  <w:num w:numId="16">
    <w:abstractNumId w:val="3"/>
  </w:num>
  <w:num w:numId="17">
    <w:abstractNumId w:val="0"/>
  </w:num>
  <w:num w:numId="18">
    <w:abstractNumId w:val="24"/>
  </w:num>
  <w:num w:numId="19">
    <w:abstractNumId w:val="16"/>
  </w:num>
  <w:num w:numId="20">
    <w:abstractNumId w:val="11"/>
  </w:num>
  <w:num w:numId="21">
    <w:abstractNumId w:val="4"/>
  </w:num>
  <w:num w:numId="22">
    <w:abstractNumId w:val="13"/>
  </w:num>
  <w:num w:numId="23">
    <w:abstractNumId w:val="20"/>
  </w:num>
  <w:num w:numId="24">
    <w:abstractNumId w:val="25"/>
  </w:num>
  <w:num w:numId="25">
    <w:abstractNumId w:val="2"/>
  </w:num>
  <w:num w:numId="26">
    <w:abstractNumId w:val="1"/>
  </w:num>
  <w:num w:numId="27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l Brockway">
    <w15:presenceInfo w15:providerId="AD" w15:userId="S-1-5-21-1390067357-1993962763-725345543-5535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6C"/>
    <w:rsid w:val="000055F8"/>
    <w:rsid w:val="000415ED"/>
    <w:rsid w:val="0006658E"/>
    <w:rsid w:val="000B4AE8"/>
    <w:rsid w:val="000B4C66"/>
    <w:rsid w:val="000B71AA"/>
    <w:rsid w:val="000C0580"/>
    <w:rsid w:val="000F749C"/>
    <w:rsid w:val="0010486B"/>
    <w:rsid w:val="001A3A66"/>
    <w:rsid w:val="001C34B1"/>
    <w:rsid w:val="002E1E19"/>
    <w:rsid w:val="003036D1"/>
    <w:rsid w:val="00326D8B"/>
    <w:rsid w:val="003C32A5"/>
    <w:rsid w:val="003E161E"/>
    <w:rsid w:val="003F50E2"/>
    <w:rsid w:val="00402F5A"/>
    <w:rsid w:val="004150D5"/>
    <w:rsid w:val="004C7E5C"/>
    <w:rsid w:val="004E2AE0"/>
    <w:rsid w:val="004F7F44"/>
    <w:rsid w:val="00553D6F"/>
    <w:rsid w:val="00554B55"/>
    <w:rsid w:val="00580376"/>
    <w:rsid w:val="005831F7"/>
    <w:rsid w:val="005A7348"/>
    <w:rsid w:val="005D676C"/>
    <w:rsid w:val="005E0B38"/>
    <w:rsid w:val="00613967"/>
    <w:rsid w:val="006757AA"/>
    <w:rsid w:val="006C594A"/>
    <w:rsid w:val="006D3035"/>
    <w:rsid w:val="007103B7"/>
    <w:rsid w:val="007121ED"/>
    <w:rsid w:val="007225E4"/>
    <w:rsid w:val="00755459"/>
    <w:rsid w:val="00780FB4"/>
    <w:rsid w:val="00787675"/>
    <w:rsid w:val="00791643"/>
    <w:rsid w:val="007D3E85"/>
    <w:rsid w:val="008A1745"/>
    <w:rsid w:val="008A281E"/>
    <w:rsid w:val="008D4B34"/>
    <w:rsid w:val="00975BB2"/>
    <w:rsid w:val="00981D00"/>
    <w:rsid w:val="009973F3"/>
    <w:rsid w:val="009A0F9E"/>
    <w:rsid w:val="009D2C66"/>
    <w:rsid w:val="00A825A7"/>
    <w:rsid w:val="00AE1126"/>
    <w:rsid w:val="00B02FAD"/>
    <w:rsid w:val="00BA133F"/>
    <w:rsid w:val="00BF4AF2"/>
    <w:rsid w:val="00C41AEB"/>
    <w:rsid w:val="00C9014B"/>
    <w:rsid w:val="00CC0B5B"/>
    <w:rsid w:val="00CD4CAB"/>
    <w:rsid w:val="00CF6A84"/>
    <w:rsid w:val="00D447E7"/>
    <w:rsid w:val="00D93DCF"/>
    <w:rsid w:val="00DC7D5E"/>
    <w:rsid w:val="00E20D29"/>
    <w:rsid w:val="00E43D2B"/>
    <w:rsid w:val="00EA4F2F"/>
    <w:rsid w:val="00EB5D54"/>
    <w:rsid w:val="00ED6BF6"/>
    <w:rsid w:val="00ED71A5"/>
    <w:rsid w:val="00FE48B0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3CF44"/>
  <w15:chartTrackingRefBased/>
  <w15:docId w15:val="{3B401D43-6282-4F3C-B461-A46C73F8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76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0C0580"/>
    <w:pPr>
      <w:keepNext/>
      <w:spacing w:before="360" w:after="120" w:line="252" w:lineRule="auto"/>
      <w:jc w:val="both"/>
      <w:outlineLvl w:val="0"/>
    </w:pPr>
    <w:rPr>
      <w:rFonts w:ascii="Arial Narrow" w:eastAsia="Times New Roman" w:hAnsi="Arial Narrow" w:cs="Arial"/>
      <w:b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6C"/>
    <w:pPr>
      <w:ind w:left="720"/>
    </w:pPr>
  </w:style>
  <w:style w:type="paragraph" w:styleId="Caption">
    <w:name w:val="caption"/>
    <w:basedOn w:val="Normal"/>
    <w:next w:val="Normal"/>
    <w:unhideWhenUsed/>
    <w:qFormat/>
    <w:rsid w:val="00755459"/>
    <w:pPr>
      <w:keepLines/>
      <w:spacing w:before="240" w:after="120" w:line="240" w:lineRule="atLeast"/>
      <w:ind w:left="547" w:hanging="547"/>
      <w:jc w:val="both"/>
    </w:pPr>
    <w:rPr>
      <w:rFonts w:ascii="Arial" w:eastAsia="Times New Roman" w:hAnsi="Arial" w:cs="Arial"/>
      <w:b/>
      <w:bCs/>
      <w:sz w:val="18"/>
    </w:rPr>
  </w:style>
  <w:style w:type="table" w:customStyle="1" w:styleId="TableGrid1">
    <w:name w:val="Table Grid1"/>
    <w:basedOn w:val="TableNormal"/>
    <w:next w:val="TableGrid"/>
    <w:uiPriority w:val="59"/>
    <w:rsid w:val="007554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5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459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5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59"/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0C0580"/>
    <w:rPr>
      <w:rFonts w:ascii="Arial Narrow" w:eastAsia="Times New Roman" w:hAnsi="Arial Narrow" w:cs="Arial"/>
      <w:b/>
      <w:sz w:val="24"/>
      <w:szCs w:val="24"/>
      <w:lang w:eastAsia="en-GB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791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643"/>
    <w:pPr>
      <w:spacing w:after="120" w:line="252" w:lineRule="auto"/>
      <w:jc w:val="both"/>
    </w:pPr>
    <w:rPr>
      <w:rFonts w:ascii="Arial" w:hAnsi="Arial"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643"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43"/>
    <w:rPr>
      <w:rFonts w:ascii="Segoe UI" w:hAnsi="Segoe UI" w:cs="Segoe UI"/>
      <w:sz w:val="18"/>
      <w:szCs w:val="1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580"/>
    <w:pPr>
      <w:spacing w:after="0" w:line="240" w:lineRule="auto"/>
      <w:jc w:val="left"/>
    </w:pPr>
    <w:rPr>
      <w:rFonts w:ascii="Times New Roman" w:hAnsi="Times New Roman" w:cs="Times New Roman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580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3036D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0D84-4640-4E5F-BA37-16213E9C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Paul Brockway</cp:lastModifiedBy>
  <cp:revision>4</cp:revision>
  <dcterms:created xsi:type="dcterms:W3CDTF">2021-04-28T13:27:00Z</dcterms:created>
  <dcterms:modified xsi:type="dcterms:W3CDTF">2021-04-28T13:37:00Z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df86ae5e-7c2f-3363-bd42-8265691dad65</vt:lpwstr>
  </property>
  <property fmtid="{D5CDD505-2E9C-101B-9397-08002B2CF9AE}" pid="24" name="Mendeley Citation Style_1">
    <vt:lpwstr>http://www.zotero.org/styles/nature</vt:lpwstr>
  </property>
</Properties>
</file>