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095D" w14:textId="77777777" w:rsidR="00755459" w:rsidRPr="000C0580" w:rsidRDefault="00791643" w:rsidP="00755459">
      <w:pPr>
        <w:rPr>
          <w:rFonts w:ascii="Arial Narrow" w:hAnsi="Arial Narrow"/>
          <w:b/>
          <w:sz w:val="22"/>
          <w:szCs w:val="22"/>
        </w:rPr>
      </w:pPr>
      <w:r w:rsidRPr="000C0580">
        <w:rPr>
          <w:rFonts w:ascii="Arial Narrow" w:hAnsi="Arial Narrow"/>
          <w:b/>
          <w:sz w:val="22"/>
          <w:szCs w:val="22"/>
        </w:rPr>
        <w:t xml:space="preserve">Table of </w:t>
      </w:r>
      <w:r w:rsidR="000F749C" w:rsidRPr="000C0580">
        <w:rPr>
          <w:rFonts w:ascii="Arial Narrow" w:hAnsi="Arial Narrow"/>
          <w:b/>
          <w:sz w:val="22"/>
          <w:szCs w:val="22"/>
        </w:rPr>
        <w:t>R</w:t>
      </w:r>
      <w:r w:rsidRPr="000C0580">
        <w:rPr>
          <w:rFonts w:ascii="Arial Narrow" w:hAnsi="Arial Narrow"/>
          <w:b/>
          <w:sz w:val="22"/>
          <w:szCs w:val="22"/>
        </w:rPr>
        <w:t xml:space="preserve">ebound </w:t>
      </w:r>
      <w:r w:rsidR="000F749C" w:rsidRPr="000C0580">
        <w:rPr>
          <w:rFonts w:ascii="Arial Narrow" w:hAnsi="Arial Narrow"/>
          <w:b/>
          <w:sz w:val="22"/>
          <w:szCs w:val="22"/>
        </w:rPr>
        <w:t>effects for use in the Rebound Framework Paper</w:t>
      </w:r>
    </w:p>
    <w:p w14:paraId="0F2B0928" w14:textId="77777777" w:rsidR="000F749C" w:rsidRPr="000F749C" w:rsidRDefault="000F749C" w:rsidP="00755459">
      <w:pPr>
        <w:rPr>
          <w:rFonts w:ascii="Arial Narrow" w:hAnsi="Arial Narrow"/>
          <w:b/>
        </w:rPr>
      </w:pPr>
    </w:p>
    <w:tbl>
      <w:tblPr>
        <w:tblStyle w:val="TableGrid1"/>
        <w:tblW w:w="9805" w:type="dxa"/>
        <w:jc w:val="center"/>
        <w:tblLook w:val="04A0" w:firstRow="1" w:lastRow="0" w:firstColumn="1" w:lastColumn="0" w:noHBand="0" w:noVBand="1"/>
      </w:tblPr>
      <w:tblGrid>
        <w:gridCol w:w="2122"/>
        <w:gridCol w:w="4173"/>
        <w:gridCol w:w="3510"/>
      </w:tblGrid>
      <w:tr w:rsidR="0066298A" w:rsidRPr="000F749C" w14:paraId="628EA5EC" w14:textId="77777777" w:rsidTr="0040558E">
        <w:trPr>
          <w:cantSplit/>
          <w:tblHeader/>
          <w:jc w:val="center"/>
        </w:trPr>
        <w:tc>
          <w:tcPr>
            <w:tcW w:w="2122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010B0B3E" w14:textId="77777777" w:rsidR="004150D5" w:rsidRPr="000F749C" w:rsidRDefault="004150D5" w:rsidP="004150D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Component of economy-wide energy rebound</w:t>
            </w:r>
          </w:p>
        </w:tc>
        <w:tc>
          <w:tcPr>
            <w:tcW w:w="768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BAF67C" w14:textId="77777777" w:rsidR="004150D5" w:rsidRPr="000F749C" w:rsidRDefault="004150D5" w:rsidP="00297261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Origin/Mechanism</w:t>
            </w:r>
          </w:p>
        </w:tc>
      </w:tr>
      <w:tr w:rsidR="004150D5" w:rsidRPr="000F749C" w14:paraId="7A4D4696" w14:textId="77777777" w:rsidTr="0066298A">
        <w:trPr>
          <w:cantSplit/>
          <w:jc w:val="center"/>
        </w:trPr>
        <w:tc>
          <w:tcPr>
            <w:tcW w:w="2122" w:type="dxa"/>
            <w:vMerge/>
            <w:tcBorders>
              <w:left w:val="nil"/>
              <w:right w:val="nil"/>
            </w:tcBorders>
          </w:tcPr>
          <w:p w14:paraId="158040E4" w14:textId="77777777" w:rsidR="004150D5" w:rsidRPr="000F749C" w:rsidRDefault="004150D5" w:rsidP="008A64F9">
            <w:pPr>
              <w:rPr>
                <w:rFonts w:ascii="Arial Narrow" w:hAnsi="Arial Narrow" w:cstheme="minorHAnsi"/>
                <w:sz w:val="20"/>
                <w:szCs w:val="20"/>
                <w:u w:val="single"/>
              </w:rPr>
            </w:pPr>
          </w:p>
        </w:tc>
        <w:tc>
          <w:tcPr>
            <w:tcW w:w="4173" w:type="dxa"/>
            <w:tcBorders>
              <w:left w:val="nil"/>
              <w:right w:val="nil"/>
            </w:tcBorders>
          </w:tcPr>
          <w:p w14:paraId="3BA1F66F" w14:textId="77777777" w:rsidR="004F7F44" w:rsidRPr="005B32B6" w:rsidRDefault="004F7F44" w:rsidP="008A64F9">
            <w:pPr>
              <w:contextualSpacing/>
              <w:jc w:val="center"/>
              <w:rPr>
                <w:rFonts w:ascii="Arial Narrow" w:hAnsi="Arial Narrow" w:cstheme="minorHAnsi"/>
                <w:sz w:val="20"/>
                <w:szCs w:val="20"/>
                <w:u w:val="single"/>
              </w:rPr>
            </w:pPr>
            <w:r w:rsidRPr="005B32B6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Existing typologies </w:t>
            </w:r>
          </w:p>
          <w:p w14:paraId="74462711" w14:textId="7767BC53" w:rsidR="004150D5" w:rsidRPr="00BB5CE6" w:rsidRDefault="0066298A" w:rsidP="0066298A">
            <w:pPr>
              <w:tabs>
                <w:tab w:val="center" w:pos="1978"/>
                <w:tab w:val="right" w:pos="3957"/>
              </w:tabs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ab/>
            </w:r>
            <w:r w:rsidR="00896F5B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="005E0B38" w:rsidRPr="00BB5CE6">
              <w:rPr>
                <w:rFonts w:ascii="Arial Narrow" w:hAnsi="Arial Narrow" w:cstheme="minorHAnsi"/>
                <w:sz w:val="20"/>
                <w:szCs w:val="20"/>
              </w:rPr>
              <w:t>Sorrell (2009)</w:t>
            </w:r>
            <w:r w:rsidR="0044392C" w:rsidRPr="00BB5CE6">
              <w:rPr>
                <w:rFonts w:ascii="Arial Narrow" w:hAnsi="Arial Narrow" w:cstheme="minorHAnsi"/>
                <w:sz w:val="20"/>
                <w:szCs w:val="20"/>
              </w:rPr>
              <w:t>,</w:t>
            </w:r>
            <w:r w:rsidR="005E0B38" w:rsidRPr="00BB5CE6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4150D5" w:rsidRPr="00BB5CE6">
              <w:rPr>
                <w:rFonts w:ascii="Arial Narrow" w:hAnsi="Arial Narrow" w:cstheme="minorHAnsi"/>
                <w:sz w:val="20"/>
                <w:szCs w:val="20"/>
              </w:rPr>
              <w:t xml:space="preserve">Jenkins </w:t>
            </w:r>
            <w:r w:rsidR="008D4B34" w:rsidRPr="00BB5CE6">
              <w:rPr>
                <w:rFonts w:ascii="Arial Narrow" w:hAnsi="Arial Narrow" w:cstheme="minorHAnsi"/>
                <w:sz w:val="20"/>
                <w:szCs w:val="20"/>
              </w:rPr>
              <w:t xml:space="preserve">et al. </w:t>
            </w:r>
            <w:r w:rsidR="004150D5" w:rsidRPr="00BB5CE6">
              <w:rPr>
                <w:rFonts w:ascii="Arial Narrow" w:hAnsi="Arial Narrow" w:cstheme="minorHAnsi"/>
                <w:sz w:val="20"/>
                <w:szCs w:val="20"/>
              </w:rPr>
              <w:t>(2011)</w:t>
            </w:r>
            <w:r w:rsidR="0044392C" w:rsidRPr="00BB5CE6">
              <w:rPr>
                <w:rFonts w:ascii="Arial Narrow" w:hAnsi="Arial Narrow" w:cstheme="minorHAnsi"/>
                <w:sz w:val="20"/>
                <w:szCs w:val="20"/>
              </w:rPr>
              <w:t>,</w:t>
            </w:r>
            <w:r>
              <w:rPr>
                <w:rFonts w:ascii="Arial Narrow" w:hAnsi="Arial Narrow" w:cstheme="minorHAnsi"/>
                <w:sz w:val="20"/>
                <w:szCs w:val="20"/>
              </w:rPr>
              <w:tab/>
            </w:r>
          </w:p>
          <w:p w14:paraId="4255B8E0" w14:textId="28A161EB" w:rsidR="004150D5" w:rsidRPr="00BB5CE6" w:rsidRDefault="004150D5" w:rsidP="008A64F9">
            <w:pPr>
              <w:contextualSpacing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BB5CE6">
              <w:rPr>
                <w:rFonts w:ascii="Arial Narrow" w:hAnsi="Arial Narrow" w:cstheme="minorHAnsi"/>
                <w:sz w:val="20"/>
                <w:szCs w:val="20"/>
              </w:rPr>
              <w:t>Thomas &amp; Azevedo (2013)</w:t>
            </w:r>
            <w:r w:rsidR="0044392C" w:rsidRPr="00BB5CE6">
              <w:rPr>
                <w:rFonts w:ascii="Arial Narrow" w:hAnsi="Arial Narrow" w:cstheme="minorHAnsi"/>
                <w:sz w:val="20"/>
                <w:szCs w:val="20"/>
              </w:rPr>
              <w:t xml:space="preserve">, </w:t>
            </w:r>
            <w:r w:rsidR="00297261">
              <w:rPr>
                <w:rFonts w:ascii="Arial Narrow" w:hAnsi="Arial Narrow" w:cstheme="minorHAnsi"/>
                <w:sz w:val="20"/>
                <w:szCs w:val="20"/>
              </w:rPr>
              <w:t>and</w:t>
            </w:r>
            <w:r w:rsidR="00896F5B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="005E0B38" w:rsidRPr="00BB5CE6">
              <w:rPr>
                <w:rFonts w:ascii="Arial Narrow" w:hAnsi="Arial Narrow" w:cstheme="minorHAnsi"/>
                <w:sz w:val="20"/>
                <w:szCs w:val="20"/>
              </w:rPr>
              <w:t>Walnum</w:t>
            </w:r>
            <w:proofErr w:type="spellEnd"/>
            <w:r w:rsidR="008D4B34" w:rsidRPr="00BB5CE6">
              <w:rPr>
                <w:rFonts w:ascii="Arial Narrow" w:hAnsi="Arial Narrow" w:cstheme="minorHAnsi"/>
                <w:sz w:val="20"/>
                <w:szCs w:val="20"/>
              </w:rPr>
              <w:t xml:space="preserve"> et al.</w:t>
            </w:r>
            <w:r w:rsidR="005E0B38" w:rsidRPr="00BB5CE6">
              <w:rPr>
                <w:rFonts w:ascii="Arial Narrow" w:hAnsi="Arial Narrow" w:cstheme="minorHAnsi"/>
                <w:sz w:val="20"/>
                <w:szCs w:val="20"/>
              </w:rPr>
              <w:t xml:space="preserve"> (2014)</w:t>
            </w:r>
            <w:r w:rsidR="00896F5B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7F46D89E" w14:textId="3378B131" w:rsidR="00580376" w:rsidRPr="005B32B6" w:rsidRDefault="006A427E" w:rsidP="00DC7D5E">
            <w:pPr>
              <w:jc w:val="center"/>
              <w:rPr>
                <w:rFonts w:ascii="Arial Narrow" w:hAnsi="Arial Narrow" w:cstheme="minorHAnsi"/>
                <w:iCs/>
                <w:sz w:val="20"/>
                <w:szCs w:val="20"/>
                <w:u w:val="single"/>
              </w:rPr>
            </w:pPr>
            <w:r w:rsidRPr="005B32B6">
              <w:rPr>
                <w:rFonts w:ascii="Arial Narrow" w:hAnsi="Arial Narrow" w:cstheme="minorHAnsi"/>
                <w:iCs/>
                <w:sz w:val="20"/>
                <w:szCs w:val="20"/>
                <w:u w:val="single"/>
              </w:rPr>
              <w:t xml:space="preserve">This </w:t>
            </w:r>
            <w:r w:rsidR="004150D5" w:rsidRPr="005B32B6">
              <w:rPr>
                <w:rFonts w:ascii="Arial Narrow" w:hAnsi="Arial Narrow" w:cstheme="minorHAnsi"/>
                <w:iCs/>
                <w:sz w:val="20"/>
                <w:szCs w:val="20"/>
                <w:u w:val="single"/>
              </w:rPr>
              <w:t xml:space="preserve">paper </w:t>
            </w:r>
          </w:p>
          <w:p w14:paraId="07664AB9" w14:textId="3EEF9551" w:rsidR="004150D5" w:rsidRPr="00DB3F2E" w:rsidRDefault="00896F5B" w:rsidP="00743D8E">
            <w:pPr>
              <w:jc w:val="center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>
              <w:rPr>
                <w:rFonts w:ascii="Arial Narrow" w:hAnsi="Arial Narrow" w:cstheme="minorHAnsi"/>
                <w:iCs/>
                <w:sz w:val="20"/>
                <w:szCs w:val="20"/>
              </w:rPr>
              <w:t>(</w:t>
            </w:r>
            <w:r w:rsidR="00DB3F2E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with </w:t>
            </w:r>
            <w:r w:rsidR="005E0B38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comp</w:t>
            </w:r>
            <w:r w:rsidR="004150D5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arison</w:t>
            </w:r>
            <w:r w:rsidR="00DC7D5E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r w:rsidR="00743D8E" w:rsidRPr="00743D8E">
              <w:rPr>
                <w:rFonts w:ascii="Arial Narrow" w:hAnsi="Arial Narrow" w:cstheme="minorHAnsi"/>
                <w:i/>
                <w:sz w:val="20"/>
                <w:szCs w:val="20"/>
              </w:rPr>
              <w:t>in italics</w:t>
            </w:r>
            <w:r w:rsidR="00743D8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r w:rsidR="004150D5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to </w:t>
            </w:r>
            <w:r w:rsidR="005E0B38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Sorrell</w:t>
            </w:r>
            <w:r w:rsidR="0044392C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  <w:r w:rsid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r w:rsidR="005E0B38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Jenkins</w:t>
            </w:r>
            <w:r w:rsidR="0044392C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  <w:r w:rsidR="00743D8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r w:rsidR="005E0B38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Thomas &amp; Azevedo</w:t>
            </w:r>
            <w:r w:rsidR="0044392C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, </w:t>
            </w:r>
            <w:r w:rsidR="00297261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and </w:t>
            </w:r>
            <w:proofErr w:type="spellStart"/>
            <w:r w:rsidR="000F749C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Walnum</w:t>
            </w:r>
            <w:proofErr w:type="spellEnd"/>
            <w:r>
              <w:rPr>
                <w:rFonts w:ascii="Arial Narrow" w:hAnsi="Arial Narrow" w:cstheme="minorHAnsi"/>
                <w:iCs/>
                <w:sz w:val="20"/>
                <w:szCs w:val="20"/>
              </w:rPr>
              <w:t>)</w:t>
            </w:r>
          </w:p>
        </w:tc>
      </w:tr>
      <w:tr w:rsidR="00755459" w:rsidRPr="000F749C" w14:paraId="0C58FBDF" w14:textId="77777777" w:rsidTr="0066298A">
        <w:trPr>
          <w:cantSplit/>
          <w:jc w:val="center"/>
        </w:trPr>
        <w:tc>
          <w:tcPr>
            <w:tcW w:w="2122" w:type="dxa"/>
            <w:vMerge w:val="restart"/>
            <w:tcBorders>
              <w:left w:val="nil"/>
              <w:right w:val="nil"/>
            </w:tcBorders>
          </w:tcPr>
          <w:p w14:paraId="0199EF38" w14:textId="65C12AC3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Microeconomic rebound: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these rebound mechanisms occur at the single device level, within </w:t>
            </w:r>
            <w:r w:rsidR="00FD041B">
              <w:rPr>
                <w:rFonts w:ascii="Arial Narrow" w:hAnsi="Arial Narrow" w:cstheme="minorHAnsi"/>
                <w:sz w:val="20"/>
                <w:szCs w:val="20"/>
              </w:rPr>
              <w:t>a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static economy, based on responses to the reduction in implicit price of an energy service.</w:t>
            </w:r>
          </w:p>
          <w:p w14:paraId="097ADB3D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93966DD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4173" w:type="dxa"/>
            <w:tcBorders>
              <w:left w:val="nil"/>
              <w:right w:val="nil"/>
            </w:tcBorders>
          </w:tcPr>
          <w:p w14:paraId="3A2BF800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Direct rebound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describes the direct response to the single energy efficiency improvement. Jenkins et al.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2011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and </w:t>
            </w:r>
            <w:proofErr w:type="spellStart"/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Walnum</w:t>
            </w:r>
            <w:proofErr w:type="spellEnd"/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 (2014)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split into two sub-classes: </w:t>
            </w:r>
          </w:p>
          <w:p w14:paraId="43D5F3B6" w14:textId="281A01B7" w:rsidR="00DC7D5E" w:rsidRPr="000F749C" w:rsidRDefault="005E0B38" w:rsidP="00DC7D5E">
            <w:pPr>
              <w:pStyle w:val="ListParagraph"/>
              <w:numPr>
                <w:ilvl w:val="0"/>
                <w:numId w:val="14"/>
              </w:numPr>
              <w:ind w:left="459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Substitution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captures the substitution of that energy service for other goods or services (consumers) or inputs to production (producers). </w:t>
            </w:r>
          </w:p>
          <w:p w14:paraId="01F3738C" w14:textId="2072CF7D" w:rsidR="00DC7D5E" w:rsidRPr="000F749C" w:rsidRDefault="00755459" w:rsidP="00DC7D5E">
            <w:pPr>
              <w:pStyle w:val="ListParagraph"/>
              <w:numPr>
                <w:ilvl w:val="0"/>
                <w:numId w:val="14"/>
              </w:numPr>
              <w:ind w:left="459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Income/output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</w:t>
            </w:r>
            <w:r w:rsidR="00FC79AD">
              <w:rPr>
                <w:rFonts w:ascii="Arial Narrow" w:hAnsi="Arial Narrow" w:cstheme="minorHAnsi"/>
                <w:sz w:val="20"/>
                <w:szCs w:val="20"/>
              </w:rPr>
              <w:t>t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he increasing demand for that energy service by 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 xml:space="preserve">consumers </w:t>
            </w:r>
            <w:r w:rsidR="00037EFA">
              <w:rPr>
                <w:rFonts w:ascii="Arial Narrow" w:hAnsi="Arial Narrow" w:cstheme="minorHAnsi"/>
                <w:sz w:val="20"/>
                <w:szCs w:val="20"/>
              </w:rPr>
              <w:t xml:space="preserve">who 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 xml:space="preserve">expand their spending </w:t>
            </w:r>
            <w:r w:rsidR="00D71B67" w:rsidRPr="000F749C">
              <w:rPr>
                <w:rFonts w:ascii="Arial Narrow" w:hAnsi="Arial Narrow" w:cstheme="minorHAnsi"/>
                <w:sz w:val="20"/>
                <w:szCs w:val="20"/>
              </w:rPr>
              <w:t xml:space="preserve">(an 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>“</w:t>
            </w:r>
            <w:r w:rsidR="00D71B67" w:rsidRPr="000F749C">
              <w:rPr>
                <w:rFonts w:ascii="Arial Narrow" w:hAnsi="Arial Narrow" w:cstheme="minorHAnsi"/>
                <w:sz w:val="20"/>
                <w:szCs w:val="20"/>
              </w:rPr>
              <w:t>income effect')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 xml:space="preserve"> or by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producers </w:t>
            </w:r>
            <w:r w:rsidR="00037EFA">
              <w:rPr>
                <w:rFonts w:ascii="Arial Narrow" w:hAnsi="Arial Narrow" w:cstheme="minorHAnsi"/>
                <w:sz w:val="20"/>
                <w:szCs w:val="20"/>
              </w:rPr>
              <w:t xml:space="preserve">who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expand their output (an </w:t>
            </w:r>
            <w:r w:rsidR="00FC79AD">
              <w:rPr>
                <w:rFonts w:ascii="Arial Narrow" w:hAnsi="Arial Narrow" w:cstheme="minorHAnsi"/>
                <w:sz w:val="20"/>
                <w:szCs w:val="20"/>
              </w:rPr>
              <w:t>“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output effect</w:t>
            </w:r>
            <w:r w:rsidR="00FC79AD">
              <w:rPr>
                <w:rFonts w:ascii="Arial Narrow" w:hAnsi="Arial Narrow" w:cstheme="minorHAnsi"/>
                <w:sz w:val="20"/>
                <w:szCs w:val="20"/>
              </w:rPr>
              <w:t>”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).</w:t>
            </w:r>
          </w:p>
          <w:p w14:paraId="73A480F2" w14:textId="53CBC272" w:rsidR="00755459" w:rsidRPr="000F749C" w:rsidRDefault="00950D76" w:rsidP="00DC7D5E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950D76">
              <w:rPr>
                <w:rFonts w:ascii="Arial Narrow" w:hAnsi="Arial Narrow" w:cstheme="minorHAnsi"/>
                <w:sz w:val="20"/>
                <w:szCs w:val="20"/>
              </w:rPr>
              <w:t>C</w:t>
            </w:r>
            <w:r w:rsidR="00DC7D5E" w:rsidRPr="000F749C">
              <w:rPr>
                <w:rFonts w:ascii="Arial Narrow" w:hAnsi="Arial Narrow" w:cstheme="minorHAnsi"/>
                <w:sz w:val="20"/>
                <w:szCs w:val="20"/>
              </w:rPr>
              <w:t>ommonly</w:t>
            </w:r>
            <w:r w:rsidR="00037EFA">
              <w:rPr>
                <w:rFonts w:ascii="Arial Narrow" w:hAnsi="Arial Narrow" w:cstheme="minorHAnsi"/>
                <w:sz w:val="20"/>
                <w:szCs w:val="20"/>
              </w:rPr>
              <w:t>,</w:t>
            </w:r>
            <w:r w:rsidR="00DC7D5E"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direct </w:t>
            </w:r>
            <w:r w:rsidR="00DC7D5E" w:rsidRPr="000F749C">
              <w:rPr>
                <w:rFonts w:ascii="Arial Narrow" w:hAnsi="Arial Narrow" w:cstheme="minorHAnsi"/>
                <w:sz w:val="20"/>
                <w:szCs w:val="20"/>
              </w:rPr>
              <w:t xml:space="preserve">substitution </w:t>
            </w:r>
            <w:r>
              <w:rPr>
                <w:rFonts w:ascii="Arial Narrow" w:hAnsi="Arial Narrow" w:cstheme="minorHAnsi"/>
                <w:sz w:val="20"/>
                <w:szCs w:val="20"/>
              </w:rPr>
              <w:t>and</w:t>
            </w:r>
            <w:r w:rsidR="00DC7D5E" w:rsidRPr="000F749C">
              <w:rPr>
                <w:rFonts w:ascii="Arial Narrow" w:hAnsi="Arial Narrow" w:cstheme="minorHAnsi"/>
                <w:sz w:val="20"/>
                <w:szCs w:val="20"/>
              </w:rPr>
              <w:t xml:space="preserve"> income effects are assessed via combined elasticities</w:t>
            </w:r>
            <w:r>
              <w:rPr>
                <w:rFonts w:ascii="Arial Narrow" w:hAnsi="Arial Narrow" w:cstheme="minorHAnsi"/>
                <w:sz w:val="20"/>
                <w:szCs w:val="20"/>
              </w:rPr>
              <w:t>.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08F3C1E0" w14:textId="64FA626F" w:rsidR="005E0B38" w:rsidRPr="00667398" w:rsidRDefault="005E0B38" w:rsidP="00DC7D5E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Emplacement effect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gramStart"/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>The</w:t>
            </w:r>
            <w:proofErr w:type="gramEnd"/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C72BCB">
              <w:rPr>
                <w:rFonts w:ascii="Arial Narrow" w:hAnsi="Arial Narrow" w:cstheme="minorHAnsi"/>
                <w:sz w:val="20"/>
                <w:szCs w:val="20"/>
              </w:rPr>
              <w:t xml:space="preserve">direct </w:t>
            </w:r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>emplacement effect accounts for performance of the Energy Efficiency Upgrade (EEU) only. No behavior changes occur. The direct energy effect of emplacement of the EEU is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 expected</w:t>
            </w:r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 xml:space="preserve"> device-level energy savings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>.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 By definition, there is no rebound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from direct emplacement effects. </w:t>
            </w:r>
            <w:r w:rsidR="00541562">
              <w:rPr>
                <w:rFonts w:ascii="Arial Narrow" w:hAnsi="Arial Narrow" w:cstheme="minorHAnsi"/>
                <w:iCs/>
                <w:sz w:val="20"/>
                <w:szCs w:val="20"/>
              </w:rPr>
              <w:t>The direct emplacement</w:t>
            </w:r>
            <w:r w:rsidR="006757AA" w:rsidRPr="00D60C73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effect is </w:t>
            </w:r>
            <w:r w:rsidR="00541562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also known as </w:t>
            </w:r>
            <w:r w:rsidR="006757AA" w:rsidRPr="00D60C73">
              <w:rPr>
                <w:rFonts w:ascii="Arial Narrow" w:hAnsi="Arial Narrow" w:cstheme="minorHAnsi"/>
                <w:iCs/>
                <w:sz w:val="20"/>
                <w:szCs w:val="20"/>
              </w:rPr>
              <w:t>expected energy savings</w:t>
            </w:r>
            <w:r w:rsidR="00D60C73" w:rsidRPr="00D60C73">
              <w:rPr>
                <w:rFonts w:ascii="Arial Narrow" w:hAnsi="Arial Narrow" w:cstheme="minorHAnsi"/>
                <w:iCs/>
                <w:sz w:val="20"/>
                <w:szCs w:val="20"/>
              </w:rPr>
              <w:t>.</w:t>
            </w:r>
          </w:p>
          <w:p w14:paraId="0A615F75" w14:textId="4D7275F1" w:rsidR="00755459" w:rsidRPr="00D60C73" w:rsidRDefault="005E0B38" w:rsidP="008A64F9">
            <w:p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Substitution effect</w:t>
            </w:r>
            <w:r w:rsidR="00755459"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C72BCB">
              <w:rPr>
                <w:rFonts w:ascii="Arial Narrow" w:hAnsi="Arial Narrow" w:cstheme="minorHAnsi"/>
                <w:sz w:val="20"/>
                <w:szCs w:val="20"/>
              </w:rPr>
              <w:t xml:space="preserve">Spending of freed cash on </w:t>
            </w:r>
            <w:r w:rsidR="00C72BC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more of </w:t>
            </w:r>
            <w:r w:rsidR="00D60C73" w:rsidRPr="00D60C73">
              <w:rPr>
                <w:rFonts w:ascii="Arial Narrow" w:hAnsi="Arial Narrow" w:cstheme="minorHAnsi"/>
                <w:iCs/>
                <w:sz w:val="20"/>
                <w:szCs w:val="20"/>
              </w:rPr>
              <w:t>the energy service</w:t>
            </w:r>
            <w:r w:rsidR="007340C1">
              <w:rPr>
                <w:rFonts w:ascii="Arial Narrow" w:hAnsi="Arial Narrow" w:cstheme="minorHAnsi"/>
                <w:iCs/>
                <w:sz w:val="20"/>
                <w:szCs w:val="20"/>
              </w:rPr>
              <w:t>.</w:t>
            </w:r>
            <w:r w:rsidR="00743D8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bookmarkStart w:id="0" w:name="OLE_LINK1"/>
            <w:bookmarkStart w:id="1" w:name="OLE_LINK2"/>
            <w:r w:rsidR="00743D8E" w:rsidRPr="00743D8E">
              <w:rPr>
                <w:rFonts w:ascii="Arial Narrow" w:hAnsi="Arial Narrow" w:cstheme="minorHAnsi"/>
                <w:i/>
                <w:sz w:val="20"/>
                <w:szCs w:val="20"/>
              </w:rPr>
              <w:t>(Same as other authors.</w:t>
            </w:r>
            <w:bookmarkEnd w:id="0"/>
            <w:bookmarkEnd w:id="1"/>
            <w:r w:rsidR="00743D8E" w:rsidRPr="00743D8E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</w:p>
          <w:p w14:paraId="13AA6E5F" w14:textId="1BD7D5ED" w:rsidR="00755459" w:rsidRPr="004F7F44" w:rsidRDefault="00755459" w:rsidP="00D60C7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Income effect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C72BCB">
              <w:rPr>
                <w:rFonts w:ascii="Arial Narrow" w:hAnsi="Arial Narrow" w:cstheme="minorHAnsi"/>
                <w:sz w:val="20"/>
                <w:szCs w:val="20"/>
              </w:rPr>
              <w:t>S</w:t>
            </w:r>
            <w:r w:rsidR="00D60C73">
              <w:rPr>
                <w:rFonts w:ascii="Arial Narrow" w:hAnsi="Arial Narrow" w:cstheme="minorHAnsi"/>
                <w:sz w:val="20"/>
                <w:szCs w:val="20"/>
              </w:rPr>
              <w:t>pending of freed cash on more of the energy service</w:t>
            </w:r>
            <w:r w:rsidR="007340C1">
              <w:rPr>
                <w:rFonts w:ascii="Arial Narrow" w:hAnsi="Arial Narrow" w:cstheme="minorHAnsi"/>
                <w:sz w:val="20"/>
                <w:szCs w:val="20"/>
              </w:rPr>
              <w:t>.</w:t>
            </w:r>
            <w:r w:rsidR="00743D8E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743D8E" w:rsidRPr="00743D8E">
              <w:rPr>
                <w:rFonts w:ascii="Arial Narrow" w:hAnsi="Arial Narrow" w:cstheme="minorHAnsi"/>
                <w:i/>
                <w:sz w:val="20"/>
                <w:szCs w:val="20"/>
              </w:rPr>
              <w:t>(Same as other authors.</w:t>
            </w:r>
            <w:r w:rsidR="00743D8E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</w:p>
        </w:tc>
      </w:tr>
      <w:tr w:rsidR="00755459" w:rsidRPr="000F749C" w14:paraId="2F3C3295" w14:textId="77777777" w:rsidTr="0040558E">
        <w:trPr>
          <w:cantSplit/>
          <w:jc w:val="center"/>
        </w:trPr>
        <w:tc>
          <w:tcPr>
            <w:tcW w:w="212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CC346D2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4173" w:type="dxa"/>
            <w:tcBorders>
              <w:left w:val="nil"/>
              <w:bottom w:val="single" w:sz="4" w:space="0" w:color="auto"/>
              <w:right w:val="nil"/>
            </w:tcBorders>
          </w:tcPr>
          <w:p w14:paraId="7A80B197" w14:textId="25B594E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Indirect rebound: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describes the indirect response to the single energy efficiency improvement.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Sorrell (2009) and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Jenkins et al. </w:t>
            </w:r>
            <w:r w:rsidR="001562A3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2011</w:t>
            </w:r>
            <w:r w:rsidR="001562A3">
              <w:rPr>
                <w:rFonts w:ascii="Arial Narrow" w:hAnsi="Arial Narrow" w:cstheme="minorHAnsi"/>
                <w:sz w:val="20"/>
                <w:szCs w:val="20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split into two sub-classes: </w:t>
            </w:r>
          </w:p>
          <w:p w14:paraId="27E34838" w14:textId="77777777" w:rsidR="00C27AA8" w:rsidRDefault="00C27AA8" w:rsidP="00755459">
            <w:pPr>
              <w:pStyle w:val="ListParagraph"/>
              <w:numPr>
                <w:ilvl w:val="0"/>
                <w:numId w:val="15"/>
              </w:numPr>
              <w:ind w:left="463" w:hanging="283"/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Embodied energy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The energy </w:t>
            </w:r>
            <w:r>
              <w:rPr>
                <w:rFonts w:ascii="Arial Narrow" w:hAnsi="Arial Narrow" w:cstheme="minorHAnsi"/>
                <w:sz w:val="20"/>
                <w:szCs w:val="20"/>
              </w:rPr>
              <w:t>“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embodied</w:t>
            </w:r>
            <w:r>
              <w:rPr>
                <w:rFonts w:ascii="Arial Narrow" w:hAnsi="Arial Narrow" w:cstheme="minorHAnsi"/>
                <w:sz w:val="20"/>
                <w:szCs w:val="20"/>
              </w:rPr>
              <w:t>”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in the efficiency improvements themselves will offset some portion of the energy savings achieved. </w:t>
            </w:r>
          </w:p>
          <w:p w14:paraId="7F0684FE" w14:textId="6E50AA56" w:rsidR="00755459" w:rsidRPr="00C27AA8" w:rsidRDefault="00755459" w:rsidP="00C27AA8">
            <w:pPr>
              <w:pStyle w:val="ListParagraph"/>
              <w:numPr>
                <w:ilvl w:val="0"/>
                <w:numId w:val="15"/>
              </w:numPr>
              <w:ind w:left="463" w:hanging="283"/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Re-spending and re-investment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If consumers and firms see net cost savings from energy efficiency improvements, </w:t>
            </w:r>
            <w:r w:rsidR="00904478">
              <w:rPr>
                <w:rFonts w:ascii="Arial Narrow" w:hAnsi="Arial Narrow" w:cstheme="minorHAnsi"/>
                <w:sz w:val="20"/>
                <w:szCs w:val="20"/>
              </w:rPr>
              <w:t xml:space="preserve">they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increase expenditures or investments in production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 xml:space="preserve">,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increasing demand for goods, services, and factors of production, which in turn require energy to produce and </w:t>
            </w:r>
            <w:r w:rsidR="00904478">
              <w:rPr>
                <w:rFonts w:ascii="Arial Narrow" w:hAnsi="Arial Narrow" w:cstheme="minorHAnsi"/>
                <w:sz w:val="20"/>
                <w:szCs w:val="20"/>
              </w:rPr>
              <w:t>use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. </w:t>
            </w:r>
          </w:p>
          <w:p w14:paraId="3828FCE9" w14:textId="13258225" w:rsidR="00DC7D5E" w:rsidRPr="000F749C" w:rsidRDefault="00DC7D5E" w:rsidP="00DC7D5E">
            <w:p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>Commonly</w:t>
            </w:r>
            <w:r w:rsidR="00C27AA8">
              <w:rPr>
                <w:rFonts w:ascii="Arial Narrow" w:hAnsi="Arial Narrow" w:cstheme="minorHAnsi"/>
                <w:sz w:val="20"/>
                <w:szCs w:val="20"/>
              </w:rPr>
              <w:t>,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Pr="000F749C">
              <w:rPr>
                <w:rFonts w:ascii="Arial Narrow" w:hAnsi="Arial Narrow" w:cstheme="minorHAnsi"/>
                <w:sz w:val="20"/>
                <w:szCs w:val="20"/>
              </w:rPr>
              <w:t>respending</w:t>
            </w:r>
            <w:proofErr w:type="spellEnd"/>
            <w:r w:rsidR="004A6D03">
              <w:rPr>
                <w:rFonts w:ascii="Arial Narrow" w:hAnsi="Arial Narrow" w:cstheme="minorHAnsi"/>
                <w:sz w:val="20"/>
                <w:szCs w:val="20"/>
              </w:rPr>
              <w:t xml:space="preserve"> or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reinvestment effects are assessed via combined cross-price </w:t>
            </w:r>
            <w:r w:rsidR="004A6D03">
              <w:rPr>
                <w:rFonts w:ascii="Arial Narrow" w:hAnsi="Arial Narrow" w:cstheme="minorHAnsi"/>
                <w:sz w:val="20"/>
                <w:szCs w:val="20"/>
              </w:rPr>
              <w:t>or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cross-sector elasticities</w:t>
            </w:r>
            <w:r w:rsidR="00494653">
              <w:rPr>
                <w:rFonts w:ascii="Arial Narrow" w:hAnsi="Arial Narrow" w:cstheme="minorHAnsi"/>
                <w:sz w:val="20"/>
                <w:szCs w:val="20"/>
              </w:rPr>
              <w:t>.</w:t>
            </w:r>
          </w:p>
        </w:tc>
        <w:tc>
          <w:tcPr>
            <w:tcW w:w="351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2546D110" w14:textId="4D7BFCBD" w:rsidR="004F7F44" w:rsidRPr="00C41AEB" w:rsidRDefault="004F7F44" w:rsidP="004F7F44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Emplacement effect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Differential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lifecycle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energy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effects </w:t>
            </w:r>
            <w:r w:rsidR="001A3A66" w:rsidRPr="001A3A66">
              <w:rPr>
                <w:rFonts w:ascii="Arial Narrow" w:hAnsi="Arial Narrow" w:cstheme="minorHAnsi"/>
                <w:sz w:val="20"/>
                <w:szCs w:val="20"/>
              </w:rPr>
              <w:t>(versus counterfactual)</w:t>
            </w:r>
            <w:r w:rsidR="001A3A66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of the EEU, </w:t>
            </w:r>
            <w:r w:rsidR="0039683D" w:rsidRPr="000F749C">
              <w:rPr>
                <w:rFonts w:ascii="Arial Narrow" w:hAnsi="Arial Narrow" w:cstheme="minorHAnsi"/>
                <w:sz w:val="20"/>
                <w:szCs w:val="20"/>
              </w:rPr>
              <w:t>i.e.,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embodied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 energy (</w:t>
            </w:r>
            <w:proofErr w:type="spellStart"/>
            <w:r w:rsidR="000B4AE8">
              <w:rPr>
                <w:rFonts w:ascii="Arial Narrow" w:hAnsi="Arial Narrow" w:cstheme="minorHAnsi"/>
                <w:sz w:val="20"/>
                <w:szCs w:val="20"/>
              </w:rPr>
              <w:t>emb</w:t>
            </w:r>
            <w:proofErr w:type="spellEnd"/>
            <w:r w:rsidR="000B4AE8">
              <w:rPr>
                <w:rFonts w:ascii="Arial Narrow" w:hAnsi="Arial Narrow" w:cstheme="minorHAnsi"/>
                <w:sz w:val="20"/>
                <w:szCs w:val="20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, and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>implied energy demand from m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aintenance 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>and disposal (</w:t>
            </w:r>
            <w:r w:rsidR="00420FAF">
              <w:rPr>
                <w:rFonts w:ascii="Arial Narrow" w:hAnsi="Arial Narrow" w:cstheme="minorHAnsi"/>
                <w:sz w:val="20"/>
                <w:szCs w:val="20"/>
              </w:rPr>
              <w:t>m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>d). (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>Other authors include embodied effects</w:t>
            </w:r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(</w:t>
            </w:r>
            <w:proofErr w:type="spellStart"/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>emb</w:t>
            </w:r>
            <w:proofErr w:type="spellEnd"/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but not effects associated with</w:t>
            </w:r>
            <w:r w:rsidRPr="00C41AEB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proofErr w:type="spellStart"/>
            <w:r w:rsidR="00213127">
              <w:rPr>
                <w:rFonts w:ascii="Arial Narrow" w:hAnsi="Arial Narrow" w:cstheme="minorHAnsi"/>
                <w:i/>
                <w:sz w:val="20"/>
                <w:szCs w:val="20"/>
              </w:rPr>
              <w:t>m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>d</w:t>
            </w:r>
            <w:r w:rsidR="00213127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proofErr w:type="spellEnd"/>
            <w:r w:rsidRPr="00C41AEB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  <w:p w14:paraId="177B3B35" w14:textId="5B2925DC" w:rsidR="005E0B38" w:rsidRPr="00C41AEB" w:rsidRDefault="005E0B38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C41AEB">
              <w:rPr>
                <w:rFonts w:ascii="Arial Narrow" w:hAnsi="Arial Narrow" w:cstheme="minorHAnsi"/>
                <w:b/>
                <w:sz w:val="20"/>
                <w:szCs w:val="20"/>
              </w:rPr>
              <w:t>Substitution effect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667398">
              <w:rPr>
                <w:rFonts w:ascii="Arial Narrow" w:hAnsi="Arial Narrow" w:cstheme="minorHAnsi"/>
                <w:sz w:val="20"/>
                <w:szCs w:val="20"/>
              </w:rPr>
              <w:t>D</w:t>
            </w:r>
            <w:r w:rsidR="00D60C73">
              <w:rPr>
                <w:rFonts w:ascii="Arial Narrow" w:hAnsi="Arial Narrow" w:cstheme="minorHAnsi"/>
                <w:sz w:val="20"/>
                <w:szCs w:val="20"/>
              </w:rPr>
              <w:t xml:space="preserve">ecreased spending on other goods and services. 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Other authors </w:t>
            </w:r>
            <w:r w:rsid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typically 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include</w:t>
            </w:r>
            <w:r w:rsidR="00AA1BF9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indirect substitution effects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within re-spending and re-investment effects</w:t>
            </w:r>
            <w:r w:rsidR="00546BE4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8D4B34" w:rsidRPr="00C41AEB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</w:p>
          <w:p w14:paraId="6D9B1B72" w14:textId="0D266483" w:rsidR="00755459" w:rsidRPr="00352FDE" w:rsidRDefault="00755459" w:rsidP="008A64F9">
            <w:pPr>
              <w:rPr>
                <w:rFonts w:ascii="Arial Narrow" w:hAnsi="Arial Narrow" w:cstheme="minorHAnsi"/>
                <w:i/>
                <w:iCs/>
                <w:sz w:val="20"/>
                <w:szCs w:val="20"/>
              </w:rPr>
            </w:pPr>
            <w:r w:rsidRPr="00C41AEB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Income </w:t>
            </w:r>
            <w:r w:rsidRPr="00AA1BF9">
              <w:rPr>
                <w:rFonts w:ascii="Arial Narrow" w:hAnsi="Arial Narrow" w:cstheme="minorHAnsi"/>
                <w:b/>
                <w:sz w:val="20"/>
                <w:szCs w:val="20"/>
              </w:rPr>
              <w:t>effec</w:t>
            </w:r>
            <w:r w:rsidR="00AA1BF9" w:rsidRPr="00AA1BF9"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  <w:r w:rsidR="00AA1BF9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Increased spending o</w:t>
            </w:r>
            <w:r w:rsidR="00AA1BF9" w:rsidRPr="00F3709E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n other goods and services. </w:t>
            </w:r>
            <w:r w:rsidR="00AA1BF9" w:rsidRPr="00352FDE">
              <w:rPr>
                <w:rFonts w:ascii="Arial Narrow" w:hAnsi="Arial Narrow" w:cstheme="minorHAnsi"/>
                <w:bCs/>
                <w:sz w:val="20"/>
                <w:szCs w:val="20"/>
              </w:rPr>
              <w:t>(</w:t>
            </w:r>
            <w:r w:rsidR="008D4B34" w:rsidRPr="00352FDE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</w:rPr>
              <w:t>Other</w:t>
            </w:r>
            <w:r w:rsidR="008D4B34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 authors </w:t>
            </w:r>
            <w:r w:rsidR="00C41AEB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typically </w:t>
            </w:r>
            <w:r w:rsidR="008D4B34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include </w:t>
            </w:r>
            <w:r w:rsidR="00AA1BF9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indirect income effects </w:t>
            </w:r>
            <w:r w:rsidR="008D4B34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>within re-spending and re-investment effects</w:t>
            </w:r>
            <w:r w:rsidR="00AA1BF9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>.</w:t>
            </w:r>
            <w:r w:rsidR="008D4B34" w:rsidRPr="00352FDE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  <w:p w14:paraId="2001B483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6BF9821" w14:textId="014567DD" w:rsidR="00DC7D5E" w:rsidRPr="000F749C" w:rsidRDefault="00DC7D5E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755459" w:rsidRPr="000F749C" w:rsidDel="00883346" w14:paraId="4973A7D0" w14:textId="77777777" w:rsidTr="0040558E">
        <w:trPr>
          <w:cantSplit/>
          <w:jc w:val="center"/>
        </w:trPr>
        <w:tc>
          <w:tcPr>
            <w:tcW w:w="2122" w:type="dxa"/>
            <w:tcBorders>
              <w:left w:val="nil"/>
              <w:bottom w:val="single" w:sz="12" w:space="0" w:color="auto"/>
              <w:right w:val="nil"/>
            </w:tcBorders>
          </w:tcPr>
          <w:p w14:paraId="336D5D10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Macroeconomic rebound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:</w:t>
            </w:r>
          </w:p>
          <w:p w14:paraId="05980DFA" w14:textId="59F799EA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These mechanisms originate from the dynamic response of the economy to reach a stable equilibrium (between supply and demand for goods and energy services). </w:t>
            </w:r>
            <w:r w:rsidR="006B43AD">
              <w:rPr>
                <w:rFonts w:ascii="Arial Narrow" w:hAnsi="Arial Narrow" w:cstheme="minorHAnsi"/>
                <w:sz w:val="20"/>
                <w:szCs w:val="20"/>
              </w:rPr>
              <w:t>These mechanisms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combine various short and long run effects.</w:t>
            </w:r>
          </w:p>
        </w:tc>
        <w:tc>
          <w:tcPr>
            <w:tcW w:w="4173" w:type="dxa"/>
            <w:tcBorders>
              <w:left w:val="nil"/>
              <w:bottom w:val="single" w:sz="12" w:space="0" w:color="auto"/>
              <w:right w:val="nil"/>
            </w:tcBorders>
          </w:tcPr>
          <w:p w14:paraId="355CD729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>Thomas and Azevedo (2013) split into 5 components:</w:t>
            </w:r>
          </w:p>
          <w:p w14:paraId="45B7013B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a lower market price for energy, </w:t>
            </w:r>
          </w:p>
          <w:p w14:paraId="18B71D43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changes in economic structure, </w:t>
            </w:r>
          </w:p>
          <w:p w14:paraId="43EA4B3D" w14:textId="7C973D3E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economic-</w:t>
            </w:r>
            <w:r w:rsidR="00B601D4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competitiveness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</w:t>
            </w:r>
          </w:p>
          <w:p w14:paraId="0E5529F9" w14:textId="1A2AFC19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investment and disinvestment, 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and</w:t>
            </w:r>
          </w:p>
          <w:p w14:paraId="1DED61A6" w14:textId="6FEB24D1" w:rsidR="000F749C" w:rsidRPr="00C62C29" w:rsidRDefault="00755459" w:rsidP="004150D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i/>
                <w:color w:val="1F4E79" w:themeColor="accent1" w:themeShade="80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labor market changes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.</w:t>
            </w:r>
          </w:p>
          <w:p w14:paraId="36C7D92C" w14:textId="01A1B452" w:rsidR="004150D5" w:rsidRPr="000F749C" w:rsidRDefault="008D4B34" w:rsidP="004150D5">
            <w:p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Sorrell 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2009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, Jenkins et al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.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2011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, and </w:t>
            </w:r>
            <w:proofErr w:type="spellStart"/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Walnum</w:t>
            </w:r>
            <w:proofErr w:type="spellEnd"/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et al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.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(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2014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)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split into three effects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:</w:t>
            </w:r>
          </w:p>
          <w:p w14:paraId="2BE34BD8" w14:textId="35276D02" w:rsidR="004150D5" w:rsidRPr="000F749C" w:rsidRDefault="00801652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m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arket price effect</w:t>
            </w: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,</w:t>
            </w:r>
          </w:p>
          <w:p w14:paraId="49E175A9" w14:textId="7C2F8837" w:rsidR="004150D5" w:rsidRPr="000F749C" w:rsidRDefault="00801652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c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omposition effect</w:t>
            </w: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, and</w:t>
            </w:r>
          </w:p>
          <w:p w14:paraId="696BA637" w14:textId="4689A4FC" w:rsidR="004150D5" w:rsidRPr="000F749C" w:rsidRDefault="00801652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e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conomic growth effect</w:t>
            </w: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.</w:t>
            </w:r>
          </w:p>
          <w:p w14:paraId="61D4734E" w14:textId="77777777" w:rsidR="00755459" w:rsidRPr="000F749C" w:rsidRDefault="004150D5" w:rsidP="004150D5">
            <w:pPr>
              <w:contextualSpacing/>
              <w:rPr>
                <w:rFonts w:ascii="Arial Narrow" w:hAnsi="Arial Narrow" w:cstheme="minorHAnsi"/>
                <w:i/>
                <w:color w:val="1F4E79" w:themeColor="accent1" w:themeShade="80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</w:t>
            </w:r>
            <w:r w:rsidR="00755459" w:rsidRPr="000F749C">
              <w:rPr>
                <w:rFonts w:ascii="Arial Narrow" w:hAnsi="Arial Narrow" w:cstheme="minorHAnsi"/>
                <w:i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510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2E5863AF" w14:textId="43A40472" w:rsidR="00755459" w:rsidRPr="0071376B" w:rsidRDefault="00755459" w:rsidP="008A64F9">
            <w:p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b/>
                <w:iCs/>
                <w:sz w:val="20"/>
                <w:szCs w:val="20"/>
              </w:rPr>
              <w:t>Macroeconomic rebound effect</w:t>
            </w:r>
            <w:r w:rsidR="0071376B" w:rsidRPr="0071376B">
              <w:rPr>
                <w:rFonts w:ascii="Arial Narrow" w:hAnsi="Arial Narrow" w:cstheme="minorHAnsi"/>
                <w:bCs/>
                <w:iCs/>
                <w:sz w:val="20"/>
                <w:szCs w:val="20"/>
              </w:rPr>
              <w:t xml:space="preserve"> </w:t>
            </w:r>
            <w:r w:rsidR="001D20AC">
              <w:rPr>
                <w:rFonts w:ascii="Arial Narrow" w:hAnsi="Arial Narrow" w:cstheme="minorHAnsi"/>
                <w:bCs/>
                <w:iCs/>
                <w:sz w:val="20"/>
                <w:szCs w:val="20"/>
              </w:rPr>
              <w:t>C</w:t>
            </w:r>
            <w:r w:rsidR="00640C1D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omprised 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of </w:t>
            </w:r>
            <w:r w:rsidR="00C41AEB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numerous 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components including:</w:t>
            </w:r>
          </w:p>
          <w:p w14:paraId="40A74561" w14:textId="77777777" w:rsidR="00640C1D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e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nergy market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</w:p>
          <w:p w14:paraId="32D0328D" w14:textId="77777777" w:rsidR="00640C1D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c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omposition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</w:p>
          <w:p w14:paraId="09633A6D" w14:textId="27889254" w:rsidR="004F7F44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g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rowth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</w:p>
          <w:p w14:paraId="64E9EC59" w14:textId="33EC89DA" w:rsidR="004F7F44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s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cale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</w:p>
          <w:p w14:paraId="03BA98C2" w14:textId="458EBCAF" w:rsidR="004F7F44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l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abor supply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, and </w:t>
            </w:r>
          </w:p>
          <w:p w14:paraId="3DD3AB88" w14:textId="04355742" w:rsidR="00755459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d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isinvestment effect</w:t>
            </w:r>
          </w:p>
          <w:p w14:paraId="4BF32232" w14:textId="2862FB7E" w:rsidR="00755459" w:rsidRPr="0071376B" w:rsidRDefault="00627015" w:rsidP="00EB5D54">
            <w:pPr>
              <w:rPr>
                <w:rFonts w:ascii="Arial Narrow" w:hAnsi="Arial Narrow" w:cstheme="minorHAnsi"/>
                <w:iCs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theme="minorHAnsi"/>
                <w:iCs/>
                <w:sz w:val="20"/>
                <w:szCs w:val="20"/>
              </w:rPr>
              <w:t>(</w:t>
            </w:r>
            <w:r w:rsidR="0071376B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We have c</w:t>
            </w:r>
            <w:r w:rsidR="008D4B3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lose </w:t>
            </w:r>
            <w:r w:rsidR="00755459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alignment </w:t>
            </w:r>
            <w:proofErr w:type="spellStart"/>
            <w:r w:rsidR="0042607A">
              <w:rPr>
                <w:rFonts w:ascii="Arial Narrow" w:hAnsi="Arial Narrow" w:cstheme="minorHAnsi"/>
                <w:i/>
                <w:sz w:val="20"/>
                <w:szCs w:val="20"/>
              </w:rPr>
              <w:t>with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Thomas</w:t>
            </w:r>
            <w:proofErr w:type="spellEnd"/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and Azevedo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2013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755459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.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Sorrell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2009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, Jenkins et al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2011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Walnum</w:t>
            </w:r>
            <w:proofErr w:type="spellEnd"/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et al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2014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proofErr w:type="spellStart"/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i</w:t>
            </w:r>
            <w:proofErr w:type="spellEnd"/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)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fold </w:t>
            </w:r>
            <w:r w:rsidR="000F749C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the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scale and dis/investment </w:t>
            </w:r>
            <w:r w:rsidR="000F749C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effects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into economic growth effect and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(ii)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include</w:t>
            </w:r>
            <w:r w:rsidR="00455BD8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labor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market effects within the indirect factors of production response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r>
              <w:rPr>
                <w:rFonts w:ascii="Arial Narrow" w:hAnsi="Arial Narrow" w:cstheme="minorHAnsi"/>
                <w:iCs/>
                <w:sz w:val="20"/>
                <w:szCs w:val="20"/>
              </w:rPr>
              <w:t>)</w:t>
            </w:r>
          </w:p>
        </w:tc>
      </w:tr>
    </w:tbl>
    <w:p w14:paraId="74F9B39F" w14:textId="77777777" w:rsidR="00755459" w:rsidRPr="000F749C" w:rsidRDefault="00755459" w:rsidP="00755459">
      <w:pPr>
        <w:rPr>
          <w:rFonts w:ascii="Arial Narrow" w:hAnsi="Arial Narrow" w:cstheme="minorHAnsi"/>
          <w:color w:val="1F4E79" w:themeColor="accent1" w:themeShade="80"/>
          <w:sz w:val="22"/>
          <w:szCs w:val="22"/>
        </w:rPr>
      </w:pPr>
    </w:p>
    <w:p w14:paraId="2A6CCB88" w14:textId="126295B5" w:rsidR="000F749C" w:rsidRDefault="000F749C" w:rsidP="00D93DCF">
      <w:pPr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b/>
          <w:sz w:val="22"/>
          <w:szCs w:val="22"/>
        </w:rPr>
        <w:t>Microeconomic rebound: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</w:t>
      </w:r>
      <w:r w:rsidR="008A1745">
        <w:rPr>
          <w:rFonts w:ascii="Arial Narrow" w:hAnsi="Arial Narrow" w:cstheme="minorHAnsi"/>
          <w:sz w:val="22"/>
          <w:szCs w:val="22"/>
        </w:rPr>
        <w:t>W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e apply the term </w:t>
      </w:r>
      <w:r>
        <w:rPr>
          <w:rFonts w:ascii="Arial Narrow" w:hAnsi="Arial Narrow" w:cstheme="minorHAnsi"/>
          <w:sz w:val="22"/>
          <w:szCs w:val="22"/>
        </w:rPr>
        <w:t>‘m</w:t>
      </w:r>
      <w:r w:rsidR="00D93DCF" w:rsidRPr="000F749C">
        <w:rPr>
          <w:rFonts w:ascii="Arial Narrow" w:hAnsi="Arial Narrow" w:cstheme="minorHAnsi"/>
          <w:sz w:val="22"/>
          <w:szCs w:val="22"/>
        </w:rPr>
        <w:t>icroeconomic rebound</w:t>
      </w:r>
      <w:r>
        <w:rPr>
          <w:rFonts w:ascii="Arial Narrow" w:hAnsi="Arial Narrow" w:cstheme="minorHAnsi"/>
          <w:sz w:val="22"/>
          <w:szCs w:val="22"/>
        </w:rPr>
        <w:t>’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to be at the single device-level (i.e. for a single consumer/producer), and to assume there is no change in prices. It is a </w:t>
      </w:r>
      <w:r w:rsidRPr="000F749C">
        <w:rPr>
          <w:rFonts w:ascii="Arial Narrow" w:hAnsi="Arial Narrow" w:cstheme="minorHAnsi"/>
          <w:sz w:val="22"/>
          <w:szCs w:val="22"/>
        </w:rPr>
        <w:t>partial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equilibrium response. </w:t>
      </w:r>
    </w:p>
    <w:p w14:paraId="2AC8E21F" w14:textId="188ABD4B" w:rsidR="00D93DCF" w:rsidRPr="000F749C" w:rsidRDefault="000F749C" w:rsidP="00D93DCF">
      <w:pPr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b/>
          <w:sz w:val="22"/>
          <w:szCs w:val="22"/>
        </w:rPr>
        <w:t>M</w:t>
      </w:r>
      <w:r w:rsidR="000C0580">
        <w:rPr>
          <w:rFonts w:ascii="Arial Narrow" w:hAnsi="Arial Narrow" w:cstheme="minorHAnsi"/>
          <w:b/>
          <w:sz w:val="22"/>
          <w:szCs w:val="22"/>
        </w:rPr>
        <w:t>a</w:t>
      </w:r>
      <w:r>
        <w:rPr>
          <w:rFonts w:ascii="Arial Narrow" w:hAnsi="Arial Narrow" w:cstheme="minorHAnsi"/>
          <w:b/>
          <w:sz w:val="22"/>
          <w:szCs w:val="22"/>
        </w:rPr>
        <w:t>croeconomic rebound: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</w:t>
      </w:r>
      <w:r w:rsidR="008A1745">
        <w:rPr>
          <w:rFonts w:ascii="Arial Narrow" w:hAnsi="Arial Narrow" w:cstheme="minorHAnsi"/>
          <w:sz w:val="22"/>
          <w:szCs w:val="22"/>
        </w:rPr>
        <w:t>We apply the term ‘m</w:t>
      </w:r>
      <w:r w:rsidR="00D93DCF" w:rsidRPr="000F749C">
        <w:rPr>
          <w:rFonts w:ascii="Arial Narrow" w:hAnsi="Arial Narrow" w:cstheme="minorHAnsi"/>
          <w:sz w:val="22"/>
          <w:szCs w:val="22"/>
        </w:rPr>
        <w:t>acroeconomic rebound</w:t>
      </w:r>
      <w:r w:rsidR="008A1745">
        <w:rPr>
          <w:rFonts w:ascii="Arial Narrow" w:hAnsi="Arial Narrow" w:cstheme="minorHAnsi"/>
          <w:sz w:val="22"/>
          <w:szCs w:val="22"/>
        </w:rPr>
        <w:t xml:space="preserve">’ to comprise 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aspects </w:t>
      </w:r>
      <w:r w:rsidR="008A1745">
        <w:rPr>
          <w:rFonts w:ascii="Arial Narrow" w:hAnsi="Arial Narrow" w:cstheme="minorHAnsi"/>
          <w:sz w:val="22"/>
          <w:szCs w:val="22"/>
        </w:rPr>
        <w:t xml:space="preserve">which feature </w:t>
      </w:r>
      <w:r w:rsidR="004F7F44" w:rsidRPr="000F749C">
        <w:rPr>
          <w:rFonts w:ascii="Arial Narrow" w:hAnsi="Arial Narrow" w:cstheme="minorHAnsi"/>
          <w:sz w:val="22"/>
          <w:szCs w:val="22"/>
        </w:rPr>
        <w:t>at a whole economy level</w:t>
      </w:r>
      <w:r w:rsidR="004F7F44">
        <w:rPr>
          <w:rFonts w:ascii="Arial Narrow" w:hAnsi="Arial Narrow" w:cstheme="minorHAnsi"/>
          <w:sz w:val="22"/>
          <w:szCs w:val="22"/>
        </w:rPr>
        <w:t xml:space="preserve">, including market/price effects, </w:t>
      </w:r>
      <w:r w:rsidR="008A1745">
        <w:rPr>
          <w:rFonts w:ascii="Arial Narrow" w:hAnsi="Arial Narrow" w:cstheme="minorHAnsi"/>
          <w:sz w:val="22"/>
          <w:szCs w:val="22"/>
        </w:rPr>
        <w:t>composition effects, and p</w:t>
      </w:r>
      <w:r w:rsidR="004F7F44">
        <w:rPr>
          <w:rFonts w:ascii="Arial Narrow" w:hAnsi="Arial Narrow" w:cstheme="minorHAnsi"/>
          <w:sz w:val="22"/>
          <w:szCs w:val="22"/>
        </w:rPr>
        <w:t xml:space="preserve">roductivity </w:t>
      </w:r>
      <w:r w:rsidR="008A1745">
        <w:rPr>
          <w:rFonts w:ascii="Arial Narrow" w:hAnsi="Arial Narrow" w:cstheme="minorHAnsi"/>
          <w:sz w:val="22"/>
          <w:szCs w:val="22"/>
        </w:rPr>
        <w:t xml:space="preserve">effects </w:t>
      </w:r>
      <w:r w:rsidR="00D93DCF" w:rsidRPr="000F749C">
        <w:rPr>
          <w:rFonts w:ascii="Arial Narrow" w:hAnsi="Arial Narrow" w:cstheme="minorHAnsi"/>
          <w:sz w:val="22"/>
          <w:szCs w:val="22"/>
        </w:rPr>
        <w:t>(</w:t>
      </w:r>
      <w:r w:rsidR="004F7F44" w:rsidRPr="004F7F44">
        <w:rPr>
          <w:rFonts w:ascii="Arial Narrow" w:hAnsi="Arial Narrow" w:cstheme="minorHAnsi"/>
          <w:sz w:val="22"/>
          <w:szCs w:val="22"/>
        </w:rPr>
        <w:t>growth, scale, labour supply, and disinvestment effects</w:t>
      </w:r>
      <w:r w:rsidR="00D93DCF" w:rsidRPr="000F749C">
        <w:rPr>
          <w:rFonts w:ascii="Arial Narrow" w:hAnsi="Arial Narrow" w:cstheme="minorHAnsi"/>
          <w:sz w:val="22"/>
          <w:szCs w:val="22"/>
        </w:rPr>
        <w:t>)</w:t>
      </w:r>
      <w:r>
        <w:rPr>
          <w:rFonts w:ascii="Arial Narrow" w:hAnsi="Arial Narrow" w:cstheme="minorHAnsi"/>
          <w:sz w:val="22"/>
          <w:szCs w:val="22"/>
        </w:rPr>
        <w:t>.</w:t>
      </w:r>
      <w:r w:rsidR="004F7F44" w:rsidRPr="004F7F44">
        <w:t xml:space="preserve"> </w:t>
      </w:r>
    </w:p>
    <w:sectPr w:rsidR="00D93DCF" w:rsidRPr="000F749C" w:rsidSect="00755459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56811" w14:textId="77777777" w:rsidR="00C76032" w:rsidRDefault="00C76032" w:rsidP="00755459">
      <w:r>
        <w:separator/>
      </w:r>
    </w:p>
  </w:endnote>
  <w:endnote w:type="continuationSeparator" w:id="0">
    <w:p w14:paraId="7311262F" w14:textId="77777777" w:rsidR="00C76032" w:rsidRDefault="00C76032" w:rsidP="0075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4030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D0989" w14:textId="5F7B1BFA" w:rsidR="00755459" w:rsidRDefault="007554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8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F3AD5B" w14:textId="77777777" w:rsidR="00755459" w:rsidRDefault="0075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5D626" w14:textId="77777777" w:rsidR="00C76032" w:rsidRDefault="00C76032" w:rsidP="00755459">
      <w:r>
        <w:separator/>
      </w:r>
    </w:p>
  </w:footnote>
  <w:footnote w:type="continuationSeparator" w:id="0">
    <w:p w14:paraId="4C00581D" w14:textId="77777777" w:rsidR="00C76032" w:rsidRDefault="00C76032" w:rsidP="00755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0985"/>
    <w:multiLevelType w:val="hybridMultilevel"/>
    <w:tmpl w:val="3822C722"/>
    <w:lvl w:ilvl="0" w:tplc="DB90D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A42"/>
    <w:multiLevelType w:val="hybridMultilevel"/>
    <w:tmpl w:val="18803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9C6"/>
    <w:multiLevelType w:val="hybridMultilevel"/>
    <w:tmpl w:val="0194E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1FF6"/>
    <w:multiLevelType w:val="hybridMultilevel"/>
    <w:tmpl w:val="E86C1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564C9"/>
    <w:multiLevelType w:val="hybridMultilevel"/>
    <w:tmpl w:val="72D27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A1D9B"/>
    <w:multiLevelType w:val="hybridMultilevel"/>
    <w:tmpl w:val="F01E6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54F20"/>
    <w:multiLevelType w:val="hybridMultilevel"/>
    <w:tmpl w:val="70909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A37DF"/>
    <w:multiLevelType w:val="hybridMultilevel"/>
    <w:tmpl w:val="5E3C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32A42"/>
    <w:multiLevelType w:val="hybridMultilevel"/>
    <w:tmpl w:val="A3DA7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25"/>
    <w:multiLevelType w:val="hybridMultilevel"/>
    <w:tmpl w:val="74A0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F615B"/>
    <w:multiLevelType w:val="hybridMultilevel"/>
    <w:tmpl w:val="34806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023F9"/>
    <w:multiLevelType w:val="hybridMultilevel"/>
    <w:tmpl w:val="AA787114"/>
    <w:lvl w:ilvl="0" w:tplc="8D30098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94443"/>
    <w:multiLevelType w:val="hybridMultilevel"/>
    <w:tmpl w:val="22BE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75AD0"/>
    <w:multiLevelType w:val="hybridMultilevel"/>
    <w:tmpl w:val="25E2B494"/>
    <w:lvl w:ilvl="0" w:tplc="A6DE10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86F44"/>
    <w:multiLevelType w:val="hybridMultilevel"/>
    <w:tmpl w:val="34587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D4FAA"/>
    <w:multiLevelType w:val="hybridMultilevel"/>
    <w:tmpl w:val="F506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A435C"/>
    <w:multiLevelType w:val="hybridMultilevel"/>
    <w:tmpl w:val="DDBE5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D1D9D"/>
    <w:multiLevelType w:val="hybridMultilevel"/>
    <w:tmpl w:val="7EC01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6CE8"/>
    <w:multiLevelType w:val="hybridMultilevel"/>
    <w:tmpl w:val="F7D65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4EB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0B76"/>
    <w:multiLevelType w:val="hybridMultilevel"/>
    <w:tmpl w:val="AE30F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82DC3"/>
    <w:multiLevelType w:val="hybridMultilevel"/>
    <w:tmpl w:val="9E9AE73A"/>
    <w:lvl w:ilvl="0" w:tplc="63E270FA">
      <w:start w:val="6"/>
      <w:numFmt w:val="bullet"/>
      <w:lvlText w:val=""/>
      <w:lvlJc w:val="left"/>
      <w:pPr>
        <w:ind w:left="6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1" w15:restartNumberingAfterBreak="0">
    <w:nsid w:val="50760215"/>
    <w:multiLevelType w:val="hybridMultilevel"/>
    <w:tmpl w:val="F9D05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E2C7E"/>
    <w:multiLevelType w:val="hybridMultilevel"/>
    <w:tmpl w:val="35F43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30DB1"/>
    <w:multiLevelType w:val="hybridMultilevel"/>
    <w:tmpl w:val="F3103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12B40"/>
    <w:multiLevelType w:val="hybridMultilevel"/>
    <w:tmpl w:val="FBF4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B6009"/>
    <w:multiLevelType w:val="hybridMultilevel"/>
    <w:tmpl w:val="26A4E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5"/>
  </w:num>
  <w:num w:numId="5">
    <w:abstractNumId w:val="5"/>
  </w:num>
  <w:num w:numId="6">
    <w:abstractNumId w:val="6"/>
  </w:num>
  <w:num w:numId="7">
    <w:abstractNumId w:val="22"/>
  </w:num>
  <w:num w:numId="8">
    <w:abstractNumId w:val="23"/>
  </w:num>
  <w:num w:numId="9">
    <w:abstractNumId w:val="7"/>
  </w:num>
  <w:num w:numId="10">
    <w:abstractNumId w:val="8"/>
  </w:num>
  <w:num w:numId="11">
    <w:abstractNumId w:val="12"/>
  </w:num>
  <w:num w:numId="12">
    <w:abstractNumId w:val="10"/>
  </w:num>
  <w:num w:numId="13">
    <w:abstractNumId w:val="19"/>
  </w:num>
  <w:num w:numId="14">
    <w:abstractNumId w:val="14"/>
  </w:num>
  <w:num w:numId="15">
    <w:abstractNumId w:val="21"/>
  </w:num>
  <w:num w:numId="16">
    <w:abstractNumId w:val="3"/>
  </w:num>
  <w:num w:numId="17">
    <w:abstractNumId w:val="0"/>
  </w:num>
  <w:num w:numId="18">
    <w:abstractNumId w:val="24"/>
  </w:num>
  <w:num w:numId="19">
    <w:abstractNumId w:val="16"/>
  </w:num>
  <w:num w:numId="20">
    <w:abstractNumId w:val="11"/>
  </w:num>
  <w:num w:numId="21">
    <w:abstractNumId w:val="4"/>
  </w:num>
  <w:num w:numId="22">
    <w:abstractNumId w:val="13"/>
  </w:num>
  <w:num w:numId="23">
    <w:abstractNumId w:val="20"/>
  </w:num>
  <w:num w:numId="24">
    <w:abstractNumId w:val="25"/>
  </w:num>
  <w:num w:numId="25">
    <w:abstractNumId w:val="2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76C"/>
    <w:rsid w:val="000055F8"/>
    <w:rsid w:val="00037EFA"/>
    <w:rsid w:val="000415ED"/>
    <w:rsid w:val="0006658E"/>
    <w:rsid w:val="000B4AE8"/>
    <w:rsid w:val="000B4C66"/>
    <w:rsid w:val="000B71AA"/>
    <w:rsid w:val="000C0580"/>
    <w:rsid w:val="000F749C"/>
    <w:rsid w:val="0010486B"/>
    <w:rsid w:val="001562A3"/>
    <w:rsid w:val="0016153C"/>
    <w:rsid w:val="001A3A66"/>
    <w:rsid w:val="001B21DB"/>
    <w:rsid w:val="001C34B1"/>
    <w:rsid w:val="001D20AC"/>
    <w:rsid w:val="00213127"/>
    <w:rsid w:val="00221C9C"/>
    <w:rsid w:val="00297261"/>
    <w:rsid w:val="002E1E19"/>
    <w:rsid w:val="003036D1"/>
    <w:rsid w:val="00326D8B"/>
    <w:rsid w:val="00342C64"/>
    <w:rsid w:val="0035119A"/>
    <w:rsid w:val="00352FDE"/>
    <w:rsid w:val="0039683D"/>
    <w:rsid w:val="003A64D2"/>
    <w:rsid w:val="003C32A5"/>
    <w:rsid w:val="003E1585"/>
    <w:rsid w:val="003E161E"/>
    <w:rsid w:val="003F50E2"/>
    <w:rsid w:val="00402F5A"/>
    <w:rsid w:val="0040558E"/>
    <w:rsid w:val="004150D5"/>
    <w:rsid w:val="00420FAF"/>
    <w:rsid w:val="0042607A"/>
    <w:rsid w:val="0044392C"/>
    <w:rsid w:val="00455BD8"/>
    <w:rsid w:val="0045672E"/>
    <w:rsid w:val="00494653"/>
    <w:rsid w:val="004A6D03"/>
    <w:rsid w:val="004C7E5C"/>
    <w:rsid w:val="004E2AE0"/>
    <w:rsid w:val="004F7F44"/>
    <w:rsid w:val="00541562"/>
    <w:rsid w:val="00546BE4"/>
    <w:rsid w:val="00553D6F"/>
    <w:rsid w:val="00554B55"/>
    <w:rsid w:val="00580376"/>
    <w:rsid w:val="005831F7"/>
    <w:rsid w:val="005A7348"/>
    <w:rsid w:val="005B32B6"/>
    <w:rsid w:val="005D676C"/>
    <w:rsid w:val="005E0B38"/>
    <w:rsid w:val="00613967"/>
    <w:rsid w:val="00627015"/>
    <w:rsid w:val="00640C1D"/>
    <w:rsid w:val="0066298A"/>
    <w:rsid w:val="00667398"/>
    <w:rsid w:val="006757AA"/>
    <w:rsid w:val="006A427E"/>
    <w:rsid w:val="006B43AD"/>
    <w:rsid w:val="006C594A"/>
    <w:rsid w:val="006D3035"/>
    <w:rsid w:val="007103B7"/>
    <w:rsid w:val="007121ED"/>
    <w:rsid w:val="0071376B"/>
    <w:rsid w:val="007225E4"/>
    <w:rsid w:val="007340C1"/>
    <w:rsid w:val="00743D8E"/>
    <w:rsid w:val="00755459"/>
    <w:rsid w:val="00780FB4"/>
    <w:rsid w:val="00787675"/>
    <w:rsid w:val="00791643"/>
    <w:rsid w:val="007C4743"/>
    <w:rsid w:val="007D3E85"/>
    <w:rsid w:val="00801652"/>
    <w:rsid w:val="00893396"/>
    <w:rsid w:val="00896F5B"/>
    <w:rsid w:val="008A1745"/>
    <w:rsid w:val="008A281E"/>
    <w:rsid w:val="008B5817"/>
    <w:rsid w:val="008C727E"/>
    <w:rsid w:val="008D4B34"/>
    <w:rsid w:val="00904478"/>
    <w:rsid w:val="00950D76"/>
    <w:rsid w:val="00952CFA"/>
    <w:rsid w:val="00975BB2"/>
    <w:rsid w:val="00981D00"/>
    <w:rsid w:val="009973F3"/>
    <w:rsid w:val="009A0F9E"/>
    <w:rsid w:val="009D2C66"/>
    <w:rsid w:val="00A825A7"/>
    <w:rsid w:val="00AA1BF9"/>
    <w:rsid w:val="00AD2EC6"/>
    <w:rsid w:val="00AE1126"/>
    <w:rsid w:val="00B02FAD"/>
    <w:rsid w:val="00B601D4"/>
    <w:rsid w:val="00BA133F"/>
    <w:rsid w:val="00BB5CE6"/>
    <w:rsid w:val="00BF4AF2"/>
    <w:rsid w:val="00C27AA8"/>
    <w:rsid w:val="00C41AEB"/>
    <w:rsid w:val="00C62C29"/>
    <w:rsid w:val="00C72BCB"/>
    <w:rsid w:val="00C76032"/>
    <w:rsid w:val="00C9014B"/>
    <w:rsid w:val="00CC0B5B"/>
    <w:rsid w:val="00CD4CAB"/>
    <w:rsid w:val="00CF4C7E"/>
    <w:rsid w:val="00CF6A84"/>
    <w:rsid w:val="00D447E7"/>
    <w:rsid w:val="00D60C73"/>
    <w:rsid w:val="00D63028"/>
    <w:rsid w:val="00D71B67"/>
    <w:rsid w:val="00D93DCF"/>
    <w:rsid w:val="00DB3F2E"/>
    <w:rsid w:val="00DC7D5E"/>
    <w:rsid w:val="00E20D29"/>
    <w:rsid w:val="00E43D2B"/>
    <w:rsid w:val="00EA4F2F"/>
    <w:rsid w:val="00EB5D54"/>
    <w:rsid w:val="00ED6BF6"/>
    <w:rsid w:val="00ED71A5"/>
    <w:rsid w:val="00EE2394"/>
    <w:rsid w:val="00F3709E"/>
    <w:rsid w:val="00FC79AD"/>
    <w:rsid w:val="00FD041B"/>
    <w:rsid w:val="00FE48B0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3CF44"/>
  <w15:chartTrackingRefBased/>
  <w15:docId w15:val="{3B401D43-6282-4F3C-B461-A46C73F8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6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0C0580"/>
    <w:pPr>
      <w:keepNext/>
      <w:spacing w:before="360" w:after="120" w:line="252" w:lineRule="auto"/>
      <w:jc w:val="both"/>
      <w:outlineLvl w:val="0"/>
    </w:pPr>
    <w:rPr>
      <w:rFonts w:ascii="Arial Narrow" w:eastAsia="Times New Roman" w:hAnsi="Arial Narrow" w:cs="Arial"/>
      <w:b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6C"/>
    <w:pPr>
      <w:ind w:left="720"/>
    </w:pPr>
  </w:style>
  <w:style w:type="paragraph" w:styleId="Caption">
    <w:name w:val="caption"/>
    <w:basedOn w:val="Normal"/>
    <w:next w:val="Normal"/>
    <w:unhideWhenUsed/>
    <w:qFormat/>
    <w:rsid w:val="00755459"/>
    <w:pPr>
      <w:keepLines/>
      <w:spacing w:before="240" w:after="120" w:line="240" w:lineRule="atLeast"/>
      <w:ind w:left="547" w:hanging="547"/>
      <w:jc w:val="both"/>
    </w:pPr>
    <w:rPr>
      <w:rFonts w:ascii="Arial" w:eastAsia="Times New Roman" w:hAnsi="Arial" w:cs="Arial"/>
      <w:b/>
      <w:bCs/>
      <w:sz w:val="18"/>
    </w:rPr>
  </w:style>
  <w:style w:type="table" w:customStyle="1" w:styleId="TableGrid1">
    <w:name w:val="Table Grid1"/>
    <w:basedOn w:val="TableNormal"/>
    <w:next w:val="TableGrid"/>
    <w:uiPriority w:val="59"/>
    <w:rsid w:val="007554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5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459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5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59"/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0C0580"/>
    <w:rPr>
      <w:rFonts w:ascii="Arial Narrow" w:eastAsia="Times New Roman" w:hAnsi="Arial Narrow" w:cs="Arial"/>
      <w:b/>
      <w:sz w:val="24"/>
      <w:szCs w:val="24"/>
      <w:lang w:eastAsia="en-GB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791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643"/>
    <w:pPr>
      <w:spacing w:after="120" w:line="252" w:lineRule="auto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643"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43"/>
    <w:rPr>
      <w:rFonts w:ascii="Segoe UI" w:hAnsi="Segoe UI" w:cs="Segoe UI"/>
      <w:sz w:val="18"/>
      <w:szCs w:val="1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580"/>
    <w:pPr>
      <w:spacing w:after="0" w:line="240" w:lineRule="auto"/>
      <w:jc w:val="left"/>
    </w:pPr>
    <w:rPr>
      <w:rFonts w:ascii="Times New Roman" w:hAnsi="Times New Roman" w:cs="Times New Roman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580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3036D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0D84-4640-4E5F-BA37-16213E9C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62</cp:revision>
  <cp:lastPrinted>2021-04-28T18:57:00Z</cp:lastPrinted>
  <dcterms:created xsi:type="dcterms:W3CDTF">2021-04-28T13:27:00Z</dcterms:created>
  <dcterms:modified xsi:type="dcterms:W3CDTF">2021-05-18T19:48:00Z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df86ae5e-7c2f-3363-bd42-8265691dad65</vt:lpwstr>
  </property>
  <property fmtid="{D5CDD505-2E9C-101B-9397-08002B2CF9AE}" pid="24" name="Mendeley Citation Style_1">
    <vt:lpwstr>http://www.zotero.org/styles/nature</vt:lpwstr>
  </property>
</Properties>
</file>