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C37" w:rsidRDefault="00295413">
      <w:pPr>
        <w:rPr>
          <w:rFonts w:ascii="Times New Roman" w:eastAsia="Times New Roman" w:hAnsi="Times New Roman" w:cs="Times New Roman"/>
          <w:sz w:val="24"/>
        </w:rPr>
      </w:pPr>
      <w:bookmarkStart w:id="0" w:name="_GoBack"/>
      <w:bookmarkEnd w:id="0"/>
      <w:r>
        <w:rPr>
          <w:rFonts w:ascii="Times New Roman" w:eastAsia="Times New Roman" w:hAnsi="Times New Roman" w:cs="Times New Roman"/>
          <w:sz w:val="24"/>
        </w:rPr>
        <w:t xml:space="preserve">Replication is a cornerstone of the scientific method. For years, </w:t>
      </w:r>
      <w:r>
        <w:rPr>
          <w:rFonts w:ascii="Times New Roman" w:eastAsia="Times New Roman" w:hAnsi="Times New Roman" w:cs="Times New Roman"/>
          <w:i/>
          <w:sz w:val="24"/>
        </w:rPr>
        <w:t>Energy Economics</w:t>
      </w:r>
      <w:r>
        <w:rPr>
          <w:rFonts w:ascii="Times New Roman" w:eastAsia="Times New Roman" w:hAnsi="Times New Roman" w:cs="Times New Roman"/>
          <w:sz w:val="24"/>
        </w:rPr>
        <w:t xml:space="preserve"> has encouraged authors to make data and code available to referees and readers. From now on, we will require this.</w:t>
      </w:r>
    </w:p>
    <w:p w:rsidR="00F87C37" w:rsidRDefault="00295413">
      <w:pPr>
        <w:rPr>
          <w:rFonts w:ascii="Times New Roman" w:eastAsia="Times New Roman" w:hAnsi="Times New Roman" w:cs="Times New Roman"/>
          <w:sz w:val="24"/>
        </w:rPr>
      </w:pPr>
      <w:r>
        <w:rPr>
          <w:rFonts w:ascii="Times New Roman" w:eastAsia="Times New Roman" w:hAnsi="Times New Roman" w:cs="Times New Roman"/>
          <w:i/>
          <w:sz w:val="24"/>
        </w:rPr>
        <w:t>Energy Economics</w:t>
      </w:r>
      <w:r>
        <w:rPr>
          <w:rFonts w:ascii="Times New Roman" w:eastAsia="Times New Roman" w:hAnsi="Times New Roman" w:cs="Times New Roman"/>
          <w:sz w:val="24"/>
        </w:rPr>
        <w:t xml:space="preserve"> publishes an eclectic mix of papers using a wide variety of methods to shed light on a range of topics. Our new data-availability policy reflects this, and it will be applied in spirit rather than to the letter.</w:t>
      </w:r>
    </w:p>
    <w:p w:rsidR="00295413" w:rsidRPr="00295413" w:rsidRDefault="00295413" w:rsidP="00295413">
      <w:pPr>
        <w:pStyle w:val="PlainText"/>
        <w:spacing w:after="200" w:line="276" w:lineRule="auto"/>
        <w:rPr>
          <w:rFonts w:ascii="Times New Roman" w:hAnsi="Times New Roman" w:cs="Times New Roman"/>
          <w:sz w:val="24"/>
          <w:szCs w:val="24"/>
        </w:rPr>
      </w:pPr>
      <w:r w:rsidRPr="00295413">
        <w:rPr>
          <w:rFonts w:ascii="Times New Roman" w:hAnsi="Times New Roman" w:cs="Times New Roman"/>
          <w:i/>
          <w:sz w:val="24"/>
          <w:szCs w:val="24"/>
        </w:rPr>
        <w:t>Energy Economics</w:t>
      </w:r>
      <w:r w:rsidRPr="00295413">
        <w:rPr>
          <w:rFonts w:ascii="Times New Roman" w:hAnsi="Times New Roman" w:cs="Times New Roman"/>
          <w:sz w:val="24"/>
          <w:szCs w:val="24"/>
        </w:rPr>
        <w:t xml:space="preserve"> will in general publish papers only if the data used in the analysis are clearly and precisely documented and are readily available to any researcher for purposes of replication. Authors of accepted papers that contain empirical work, simulations, or experimental work must provide to </w:t>
      </w:r>
      <w:r w:rsidRPr="00295413">
        <w:rPr>
          <w:rFonts w:ascii="Times New Roman" w:hAnsi="Times New Roman" w:cs="Times New Roman"/>
          <w:i/>
          <w:sz w:val="24"/>
          <w:szCs w:val="24"/>
        </w:rPr>
        <w:t>Energy Economics</w:t>
      </w:r>
      <w:r w:rsidRPr="00295413">
        <w:rPr>
          <w:rFonts w:ascii="Times New Roman" w:hAnsi="Times New Roman" w:cs="Times New Roman"/>
          <w:sz w:val="24"/>
          <w:szCs w:val="24"/>
        </w:rPr>
        <w:t xml:space="preserve">, prior to publication, the data, programs, and other details of the computations sufficient to permit replication. These will be posted on the </w:t>
      </w:r>
      <w:r w:rsidRPr="00295413">
        <w:rPr>
          <w:rFonts w:ascii="Times New Roman" w:hAnsi="Times New Roman" w:cs="Times New Roman"/>
          <w:i/>
          <w:sz w:val="24"/>
          <w:szCs w:val="24"/>
        </w:rPr>
        <w:t>Energy Economics</w:t>
      </w:r>
      <w:r w:rsidRPr="00295413">
        <w:rPr>
          <w:rFonts w:ascii="Times New Roman" w:hAnsi="Times New Roman" w:cs="Times New Roman"/>
          <w:sz w:val="24"/>
          <w:szCs w:val="24"/>
        </w:rPr>
        <w:t xml:space="preserve"> Web site alongside the article. Authors may be asked to submit the data, programs, and other details of the computations sufficient to permit replication at the review stage, if requested by the referees or the Editor. If the data used in a paper are proprietary or if, for some other reason, the requirements above cannot be met, the editors should be notified at the time of submission. It will be at the editors’ discretion whether the paper can then be reviewed. Exceptions will not be considered later in the review and publication process.</w:t>
      </w:r>
    </w:p>
    <w:p w:rsidR="00F87C37" w:rsidRDefault="00295413">
      <w:pPr>
        <w:rPr>
          <w:rFonts w:ascii="Times New Roman" w:eastAsia="Times New Roman" w:hAnsi="Times New Roman" w:cs="Times New Roman"/>
          <w:sz w:val="24"/>
        </w:rPr>
      </w:pPr>
      <w:r>
        <w:rPr>
          <w:rFonts w:ascii="Times New Roman" w:eastAsia="Times New Roman" w:hAnsi="Times New Roman" w:cs="Times New Roman"/>
          <w:sz w:val="24"/>
        </w:rPr>
        <w:t>For econometric papers, authors should provide program(s) and data set(s), plus a readme file on how to replicate each table, graph and other result. Ideally, there will be one command to reproduce the entire paper. The readme file should identify the software and toolboxes used. If data are proprietary, the readme file should make clear how data can be obtained.</w:t>
      </w:r>
    </w:p>
    <w:p w:rsidR="00F87C37" w:rsidRDefault="00295413">
      <w:pPr>
        <w:rPr>
          <w:rFonts w:ascii="Times New Roman" w:eastAsia="Times New Roman" w:hAnsi="Times New Roman" w:cs="Times New Roman"/>
          <w:sz w:val="24"/>
        </w:rPr>
      </w:pPr>
      <w:r>
        <w:rPr>
          <w:rFonts w:ascii="Times New Roman" w:eastAsia="Times New Roman" w:hAnsi="Times New Roman" w:cs="Times New Roman"/>
          <w:sz w:val="24"/>
        </w:rPr>
        <w:t>For experimental papers, authors should provide the original instructions (plus an English translation if applicable), information about subject eligibility and selection, the raw data, and any program used to analyze the data.</w:t>
      </w:r>
    </w:p>
    <w:p w:rsidR="00F87C37" w:rsidRDefault="00295413">
      <w:pPr>
        <w:rPr>
          <w:rFonts w:ascii="Times New Roman" w:eastAsia="Times New Roman" w:hAnsi="Times New Roman" w:cs="Times New Roman"/>
          <w:sz w:val="24"/>
        </w:rPr>
      </w:pPr>
      <w:r>
        <w:rPr>
          <w:rFonts w:ascii="Times New Roman" w:eastAsia="Times New Roman" w:hAnsi="Times New Roman" w:cs="Times New Roman"/>
          <w:sz w:val="24"/>
        </w:rPr>
        <w:t>For analytic papers, authors should provide data and programs used for the simulations (if any).</w:t>
      </w:r>
    </w:p>
    <w:p w:rsidR="00F87C37" w:rsidRDefault="00295413">
      <w:pPr>
        <w:rPr>
          <w:rFonts w:ascii="Times New Roman" w:eastAsia="Times New Roman" w:hAnsi="Times New Roman" w:cs="Times New Roman"/>
          <w:sz w:val="24"/>
        </w:rPr>
      </w:pPr>
      <w:r>
        <w:rPr>
          <w:rFonts w:ascii="Times New Roman" w:eastAsia="Times New Roman" w:hAnsi="Times New Roman" w:cs="Times New Roman"/>
          <w:sz w:val="24"/>
        </w:rPr>
        <w:t>For simulation papers, authors should provide data and programs. If data or programs are proprietary, unambiguous information on the version should be provided, plus information on how data or programs can be obtained. Small models developed in-house should be provided. For large models developed in-house, a standard version should be provided together with a detailed description of the changes made for the version used in the paper at hand.</w:t>
      </w:r>
    </w:p>
    <w:p w:rsidR="00F87C37" w:rsidRDefault="00295413">
      <w:pPr>
        <w:rPr>
          <w:rFonts w:ascii="Times New Roman" w:eastAsia="Times New Roman" w:hAnsi="Times New Roman" w:cs="Times New Roman"/>
          <w:sz w:val="24"/>
        </w:rPr>
      </w:pPr>
      <w:r>
        <w:rPr>
          <w:rFonts w:ascii="Times New Roman" w:eastAsia="Times New Roman" w:hAnsi="Times New Roman" w:cs="Times New Roman"/>
          <w:sz w:val="24"/>
        </w:rPr>
        <w:t>Data and programs can be provided either as an appendix to the paper or as a stable link to a website.</w:t>
      </w:r>
    </w:p>
    <w:p w:rsidR="00295413" w:rsidRDefault="00295413" w:rsidP="00295413">
      <w:pPr>
        <w:pStyle w:val="PlainText"/>
      </w:pPr>
    </w:p>
    <w:p w:rsidR="00295413" w:rsidRDefault="00295413">
      <w:pPr>
        <w:rPr>
          <w:rFonts w:ascii="Times New Roman" w:eastAsia="Times New Roman" w:hAnsi="Times New Roman" w:cs="Times New Roman"/>
          <w:sz w:val="24"/>
        </w:rPr>
      </w:pPr>
    </w:p>
    <w:sectPr w:rsidR="00295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C37"/>
    <w:rsid w:val="00111184"/>
    <w:rsid w:val="00295413"/>
    <w:rsid w:val="00F87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295413"/>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295413"/>
    <w:rPr>
      <w:rFonts w:ascii="Calibri" w:eastAsiaTheme="minorHAns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295413"/>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295413"/>
    <w:rPr>
      <w:rFonts w:ascii="Calibri" w:eastAsiaTheme="minorHAns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592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Donna (ELS-AMS)</dc:creator>
  <cp:lastModifiedBy>Reed Elsevier</cp:lastModifiedBy>
  <cp:revision>2</cp:revision>
  <dcterms:created xsi:type="dcterms:W3CDTF">2013-12-02T16:06:00Z</dcterms:created>
  <dcterms:modified xsi:type="dcterms:W3CDTF">2013-12-02T16:06:00Z</dcterms:modified>
</cp:coreProperties>
</file>