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3DEE1" w14:textId="77777777" w:rsidR="00DF639D" w:rsidRPr="00DF639D" w:rsidRDefault="00DF639D" w:rsidP="00DF639D">
      <w:pPr>
        <w:jc w:val="center"/>
        <w:rPr>
          <w:b/>
          <w:bCs/>
          <w:sz w:val="36"/>
          <w:szCs w:val="36"/>
        </w:rPr>
      </w:pPr>
      <w:r w:rsidRPr="00DF639D">
        <w:rPr>
          <w:b/>
          <w:bCs/>
          <w:sz w:val="36"/>
          <w:szCs w:val="36"/>
        </w:rPr>
        <w:t>Author response to referee comments</w:t>
      </w:r>
    </w:p>
    <w:p w14:paraId="2D7DCF89" w14:textId="77777777" w:rsidR="00DF639D" w:rsidRDefault="00DF639D" w:rsidP="00DF639D">
      <w:pPr>
        <w:jc w:val="center"/>
        <w:rPr>
          <w:b/>
          <w:bCs/>
        </w:rPr>
      </w:pPr>
    </w:p>
    <w:p w14:paraId="77E42492" w14:textId="77777777" w:rsidR="006A7896" w:rsidRDefault="00DF639D" w:rsidP="00DF639D">
      <w:pPr>
        <w:jc w:val="center"/>
        <w:rPr>
          <w:b/>
          <w:bCs/>
        </w:rPr>
      </w:pPr>
      <w:r w:rsidRPr="00DF639D">
        <w:rPr>
          <w:b/>
          <w:bCs/>
        </w:rPr>
        <w:t>Energy, expenditure, and consumption aspects of rebound, Part I: Foundations of a rigorous analytical framework</w:t>
      </w:r>
    </w:p>
    <w:p w14:paraId="07DB4855" w14:textId="2D217722" w:rsidR="00DF639D" w:rsidRPr="00DF639D" w:rsidRDefault="00DF639D" w:rsidP="00DF639D">
      <w:pPr>
        <w:jc w:val="center"/>
        <w:rPr>
          <w:b/>
          <w:bCs/>
        </w:rPr>
      </w:pPr>
      <w:r w:rsidRPr="00DF639D">
        <w:rPr>
          <w:b/>
          <w:bCs/>
        </w:rPr>
        <w:t>(23-007)</w:t>
      </w:r>
    </w:p>
    <w:p w14:paraId="68179F8F" w14:textId="4E8F865F" w:rsidR="00DF639D" w:rsidRDefault="00DF639D" w:rsidP="00DF639D"/>
    <w:p w14:paraId="6D5122A5" w14:textId="4CB3EECA" w:rsidR="00DF639D" w:rsidRDefault="00DF639D" w:rsidP="00DF639D">
      <w:pPr>
        <w:jc w:val="center"/>
      </w:pPr>
      <w:r>
        <w:t xml:space="preserve">Matthew </w:t>
      </w:r>
      <w:proofErr w:type="spellStart"/>
      <w:r>
        <w:t>Kuperus</w:t>
      </w:r>
      <w:proofErr w:type="spellEnd"/>
      <w:r>
        <w:t xml:space="preserve"> </w:t>
      </w:r>
      <w:proofErr w:type="spellStart"/>
      <w:r>
        <w:t>Heun</w:t>
      </w:r>
      <w:proofErr w:type="spellEnd"/>
      <w:r>
        <w:t xml:space="preserve">, Gregor </w:t>
      </w:r>
      <w:proofErr w:type="spellStart"/>
      <w:r>
        <w:t>Semieniuk</w:t>
      </w:r>
      <w:proofErr w:type="spellEnd"/>
      <w:r>
        <w:t>, Paul E. Brockway</w:t>
      </w:r>
    </w:p>
    <w:p w14:paraId="109DF7F5" w14:textId="77777777" w:rsidR="00A743AE" w:rsidRDefault="00A743AE"/>
    <w:tbl>
      <w:tblPr>
        <w:tblW w:w="13312"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left w:w="0" w:type="dxa"/>
          <w:right w:w="0" w:type="dxa"/>
        </w:tblCellMar>
        <w:tblLook w:val="04A0" w:firstRow="1" w:lastRow="0" w:firstColumn="1" w:lastColumn="0" w:noHBand="0" w:noVBand="1"/>
      </w:tblPr>
      <w:tblGrid>
        <w:gridCol w:w="1110"/>
        <w:gridCol w:w="968"/>
        <w:gridCol w:w="3331"/>
        <w:gridCol w:w="7903"/>
      </w:tblGrid>
      <w:tr w:rsidR="00551EBB" w:rsidRPr="00A743AE" w14:paraId="1F0B2EBD" w14:textId="77777777" w:rsidTr="00551EBB">
        <w:trPr>
          <w:trHeight w:val="315"/>
        </w:trPr>
        <w:tc>
          <w:tcPr>
            <w:tcW w:w="0" w:type="auto"/>
            <w:tcMar>
              <w:top w:w="30" w:type="dxa"/>
              <w:left w:w="45" w:type="dxa"/>
              <w:bottom w:w="30" w:type="dxa"/>
              <w:right w:w="45" w:type="dxa"/>
            </w:tcMar>
            <w:hideMark/>
          </w:tcPr>
          <w:p w14:paraId="7A1BB1FC"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Part</w:t>
            </w:r>
          </w:p>
        </w:tc>
        <w:tc>
          <w:tcPr>
            <w:tcW w:w="0" w:type="auto"/>
            <w:tcMar>
              <w:top w:w="30" w:type="dxa"/>
              <w:left w:w="45" w:type="dxa"/>
              <w:bottom w:w="30" w:type="dxa"/>
              <w:right w:w="45" w:type="dxa"/>
            </w:tcMar>
            <w:hideMark/>
          </w:tcPr>
          <w:p w14:paraId="138818B2"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Comment #</w:t>
            </w:r>
          </w:p>
        </w:tc>
        <w:tc>
          <w:tcPr>
            <w:tcW w:w="0" w:type="auto"/>
            <w:tcMar>
              <w:top w:w="30" w:type="dxa"/>
              <w:left w:w="45" w:type="dxa"/>
              <w:bottom w:w="30" w:type="dxa"/>
              <w:right w:w="45" w:type="dxa"/>
            </w:tcMar>
            <w:hideMark/>
          </w:tcPr>
          <w:p w14:paraId="672819C9"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Comment</w:t>
            </w:r>
          </w:p>
        </w:tc>
        <w:tc>
          <w:tcPr>
            <w:tcW w:w="7903" w:type="dxa"/>
            <w:tcMar>
              <w:top w:w="30" w:type="dxa"/>
              <w:left w:w="45" w:type="dxa"/>
              <w:bottom w:w="30" w:type="dxa"/>
              <w:right w:w="45" w:type="dxa"/>
            </w:tcMar>
            <w:hideMark/>
          </w:tcPr>
          <w:p w14:paraId="08722BE9"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Authors' response</w:t>
            </w:r>
          </w:p>
        </w:tc>
      </w:tr>
      <w:tr w:rsidR="00551EBB" w:rsidRPr="00A743AE" w14:paraId="52670C61" w14:textId="77777777" w:rsidTr="00551EBB">
        <w:trPr>
          <w:trHeight w:val="315"/>
        </w:trPr>
        <w:tc>
          <w:tcPr>
            <w:tcW w:w="0" w:type="auto"/>
            <w:shd w:val="clear" w:color="auto" w:fill="FFFFFF" w:themeFill="background1"/>
            <w:tcMar>
              <w:top w:w="30" w:type="dxa"/>
              <w:left w:w="45" w:type="dxa"/>
              <w:bottom w:w="30" w:type="dxa"/>
              <w:right w:w="45" w:type="dxa"/>
            </w:tcMar>
            <w:hideMark/>
          </w:tcPr>
          <w:p w14:paraId="6E61C89C"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1 - Framework</w:t>
            </w:r>
          </w:p>
        </w:tc>
        <w:tc>
          <w:tcPr>
            <w:tcW w:w="0" w:type="auto"/>
            <w:shd w:val="clear" w:color="auto" w:fill="FFFFFF" w:themeFill="background1"/>
            <w:tcMar>
              <w:top w:w="30" w:type="dxa"/>
              <w:left w:w="45" w:type="dxa"/>
              <w:bottom w:w="30" w:type="dxa"/>
              <w:right w:w="45" w:type="dxa"/>
            </w:tcMar>
            <w:hideMark/>
          </w:tcPr>
          <w:p w14:paraId="3859F8C4"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1</w:t>
            </w:r>
          </w:p>
        </w:tc>
        <w:tc>
          <w:tcPr>
            <w:tcW w:w="0" w:type="auto"/>
            <w:shd w:val="clear" w:color="auto" w:fill="FFFFFF" w:themeFill="background1"/>
            <w:tcMar>
              <w:top w:w="30" w:type="dxa"/>
              <w:left w:w="45" w:type="dxa"/>
              <w:bottom w:w="30" w:type="dxa"/>
              <w:right w:w="45" w:type="dxa"/>
            </w:tcMar>
            <w:hideMark/>
          </w:tcPr>
          <w:p w14:paraId="6EA946D9"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 xml:space="preserve">I wonder whether there needs to be a discussion of where the boundaries of what we call “rebound” should be drawn? Without checking the literature, but aware that Steve Sorrell (who is not this referee) did a systematic review for UKERC some years ago (which I read at the time), I’d think of it as “the reduction in energy savings, compared to engineering estimates, due to </w:t>
            </w:r>
            <w:proofErr w:type="spellStart"/>
            <w:r w:rsidRPr="00A743AE">
              <w:rPr>
                <w:rFonts w:ascii="Arial" w:eastAsia="Times New Roman" w:hAnsi="Arial" w:cs="Arial"/>
                <w:kern w:val="0"/>
                <w:sz w:val="20"/>
                <w:szCs w:val="20"/>
                <w14:ligatures w14:val="none"/>
              </w:rPr>
              <w:t>behavioural</w:t>
            </w:r>
            <w:proofErr w:type="spellEnd"/>
            <w:r w:rsidRPr="00A743AE">
              <w:rPr>
                <w:rFonts w:ascii="Arial" w:eastAsia="Times New Roman" w:hAnsi="Arial" w:cs="Arial"/>
                <w:kern w:val="0"/>
                <w:sz w:val="20"/>
                <w:szCs w:val="20"/>
                <w14:ligatures w14:val="none"/>
              </w:rPr>
              <w:t xml:space="preserve"> changes”, and might add a component for the difference between “factory</w:t>
            </w:r>
            <w:r w:rsidRPr="00A743AE">
              <w:rPr>
                <w:rFonts w:ascii="Cambria Math" w:eastAsia="Times New Roman" w:hAnsi="Cambria Math" w:cs="Cambria Math"/>
                <w:kern w:val="0"/>
                <w:sz w:val="20"/>
                <w:szCs w:val="20"/>
                <w14:ligatures w14:val="none"/>
              </w:rPr>
              <w:t>‐</w:t>
            </w:r>
            <w:r w:rsidRPr="00A743AE">
              <w:rPr>
                <w:rFonts w:ascii="Arial" w:eastAsia="Times New Roman" w:hAnsi="Arial" w:cs="Arial"/>
                <w:kern w:val="0"/>
                <w:sz w:val="20"/>
                <w:szCs w:val="20"/>
                <w14:ligatures w14:val="none"/>
              </w:rPr>
              <w:t xml:space="preserve">measured” and “as imperfectly fitted” savings (with unchanged </w:t>
            </w:r>
            <w:proofErr w:type="spellStart"/>
            <w:r w:rsidRPr="00A743AE">
              <w:rPr>
                <w:rFonts w:ascii="Arial" w:eastAsia="Times New Roman" w:hAnsi="Arial" w:cs="Arial"/>
                <w:kern w:val="0"/>
                <w:sz w:val="20"/>
                <w:szCs w:val="20"/>
                <w14:ligatures w14:val="none"/>
              </w:rPr>
              <w:t>behaviour</w:t>
            </w:r>
            <w:proofErr w:type="spellEnd"/>
            <w:r w:rsidRPr="00A743AE">
              <w:rPr>
                <w:rFonts w:ascii="Arial" w:eastAsia="Times New Roman" w:hAnsi="Arial" w:cs="Arial"/>
                <w:kern w:val="0"/>
                <w:sz w:val="20"/>
                <w:szCs w:val="20"/>
                <w14:ligatures w14:val="none"/>
              </w:rPr>
              <w:t xml:space="preserve">). Embodied energy is certainly important (and a big part of the life cycle literature), but is it “rebound”? The definition just </w:t>
            </w:r>
            <w:proofErr w:type="gramStart"/>
            <w:r w:rsidRPr="00A743AE">
              <w:rPr>
                <w:rFonts w:ascii="Arial" w:eastAsia="Times New Roman" w:hAnsi="Arial" w:cs="Arial"/>
                <w:kern w:val="0"/>
                <w:sz w:val="20"/>
                <w:szCs w:val="20"/>
                <w14:ligatures w14:val="none"/>
              </w:rPr>
              <w:t>given(</w:t>
            </w:r>
            <w:proofErr w:type="gramEnd"/>
            <w:r w:rsidRPr="00A743AE">
              <w:rPr>
                <w:rFonts w:ascii="Arial" w:eastAsia="Times New Roman" w:hAnsi="Arial" w:cs="Arial"/>
                <w:kern w:val="0"/>
                <w:sz w:val="20"/>
                <w:szCs w:val="20"/>
                <w14:ligatures w14:val="none"/>
              </w:rPr>
              <w:t>with the caveat that preceded it!) would suggest not. That certainly doesn’t mean it is! Should maintenance energy be included when calculating the “engineering estimate”?</w:t>
            </w:r>
          </w:p>
        </w:tc>
        <w:tc>
          <w:tcPr>
            <w:tcW w:w="7903" w:type="dxa"/>
            <w:shd w:val="clear" w:color="auto" w:fill="FFFFFF" w:themeFill="background1"/>
            <w:tcMar>
              <w:top w:w="30" w:type="dxa"/>
              <w:left w:w="45" w:type="dxa"/>
              <w:bottom w:w="30" w:type="dxa"/>
              <w:right w:w="45" w:type="dxa"/>
            </w:tcMar>
            <w:hideMark/>
          </w:tcPr>
          <w:p w14:paraId="6F0FF641"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 xml:space="preserve">Thank you for this comment, which asks about the merits of including embodied and maintenance effects within our rebound framework. Given our goal of including as many rebound channels as possible, it makes sense to include these effects. Your comment prompted a mini literature search to double-check what others had done in the past. </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 xml:space="preserve">• Embodied rebound: We found that Steve Sorrell’s 2007 main report does include embodied rebound, as he writes, in Box 1.2, that embodied energy is the “indirect energy consumption required to achieve the energy efficiency improvement, such as the energy required to produce and install thermal insulation”. Incidentally though (and good recall!), Sorrell does indeed include a typology which sets out rebound as the engineering estimate of savings vs. actual energy savings in that same </w:t>
            </w:r>
            <w:proofErr w:type="gramStart"/>
            <w:r w:rsidRPr="00A743AE">
              <w:rPr>
                <w:rFonts w:ascii="Arial" w:eastAsia="Times New Roman" w:hAnsi="Arial" w:cs="Arial"/>
                <w:kern w:val="0"/>
                <w:sz w:val="20"/>
                <w:szCs w:val="20"/>
                <w14:ligatures w14:val="none"/>
              </w:rPr>
              <w:t>Box</w:t>
            </w:r>
            <w:proofErr w:type="gramEnd"/>
            <w:r w:rsidRPr="00A743AE">
              <w:rPr>
                <w:rFonts w:ascii="Arial" w:eastAsia="Times New Roman" w:hAnsi="Arial" w:cs="Arial"/>
                <w:kern w:val="0"/>
                <w:sz w:val="20"/>
                <w:szCs w:val="20"/>
                <w14:ligatures w14:val="none"/>
              </w:rPr>
              <w:t xml:space="preserve"> 1.2. Further, we found that embodied rebound is quite widely referred to in rebound typologies, including </w:t>
            </w:r>
            <w:proofErr w:type="spellStart"/>
            <w:r w:rsidRPr="00A743AE">
              <w:rPr>
                <w:rFonts w:ascii="Arial" w:eastAsia="Times New Roman" w:hAnsi="Arial" w:cs="Arial"/>
                <w:kern w:val="0"/>
                <w:sz w:val="20"/>
                <w:szCs w:val="20"/>
                <w14:ligatures w14:val="none"/>
              </w:rPr>
              <w:t>Borenstein</w:t>
            </w:r>
            <w:proofErr w:type="spellEnd"/>
            <w:r w:rsidRPr="00A743AE">
              <w:rPr>
                <w:rFonts w:ascii="Arial" w:eastAsia="Times New Roman" w:hAnsi="Arial" w:cs="Arial"/>
                <w:kern w:val="0"/>
                <w:sz w:val="20"/>
                <w:szCs w:val="20"/>
                <w14:ligatures w14:val="none"/>
              </w:rPr>
              <w:t xml:space="preserve"> (2015) – footnote 5, and Saunders et al. (2021</w:t>
            </w:r>
            <w:proofErr w:type="gramStart"/>
            <w:r w:rsidRPr="00A743AE">
              <w:rPr>
                <w:rFonts w:ascii="Arial" w:eastAsia="Times New Roman" w:hAnsi="Arial" w:cs="Arial"/>
                <w:kern w:val="0"/>
                <w:sz w:val="20"/>
                <w:szCs w:val="20"/>
                <w14:ligatures w14:val="none"/>
              </w:rPr>
              <w:t>) .</w:t>
            </w:r>
            <w:proofErr w:type="gramEnd"/>
            <w:r w:rsidRPr="00A743AE">
              <w:rPr>
                <w:rFonts w:ascii="Arial" w:eastAsia="Times New Roman" w:hAnsi="Arial" w:cs="Arial"/>
                <w:kern w:val="0"/>
                <w:sz w:val="20"/>
                <w:szCs w:val="20"/>
                <w14:ligatures w14:val="none"/>
              </w:rPr>
              <w:br/>
              <w:t xml:space="preserve">• Operation and maintenance: This is probably less common (versus embodied rebound) but is still reasonably prevalent. Examples include Sorrell et al. (2009), </w:t>
            </w:r>
            <w:proofErr w:type="spellStart"/>
            <w:r w:rsidRPr="00A743AE">
              <w:rPr>
                <w:rFonts w:ascii="Arial" w:eastAsia="Times New Roman" w:hAnsi="Arial" w:cs="Arial"/>
                <w:kern w:val="0"/>
                <w:sz w:val="20"/>
                <w:szCs w:val="20"/>
                <w14:ligatures w14:val="none"/>
              </w:rPr>
              <w:t>Borenstein</w:t>
            </w:r>
            <w:proofErr w:type="spellEnd"/>
            <w:r w:rsidRPr="00A743AE">
              <w:rPr>
                <w:rFonts w:ascii="Arial" w:eastAsia="Times New Roman" w:hAnsi="Arial" w:cs="Arial"/>
                <w:kern w:val="0"/>
                <w:sz w:val="20"/>
                <w:szCs w:val="20"/>
                <w14:ligatures w14:val="none"/>
              </w:rPr>
              <w:t xml:space="preserve"> (2015) – footnote 37, and Sorrell et al. (2020). </w:t>
            </w:r>
            <w:r w:rsidRPr="00A743AE">
              <w:rPr>
                <w:rFonts w:ascii="Arial" w:eastAsia="Times New Roman" w:hAnsi="Arial" w:cs="Arial"/>
                <w:kern w:val="0"/>
                <w:sz w:val="20"/>
                <w:szCs w:val="20"/>
                <w14:ligatures w14:val="none"/>
              </w:rPr>
              <w:br/>
              <w:t>• Emplacement effects: your question also made us also think more broadly about emplacement effects, which is a new term that we introduced to encompass embodied energy (</w:t>
            </w:r>
            <w:proofErr w:type="spellStart"/>
            <w:r w:rsidRPr="00A743AE">
              <w:rPr>
                <w:rFonts w:ascii="Arial" w:eastAsia="Times New Roman" w:hAnsi="Arial" w:cs="Arial"/>
                <w:kern w:val="0"/>
                <w:sz w:val="20"/>
                <w:szCs w:val="20"/>
                <w14:ligatures w14:val="none"/>
              </w:rPr>
              <w:t>emb</w:t>
            </w:r>
            <w:proofErr w:type="spellEnd"/>
            <w:r w:rsidRPr="00A743AE">
              <w:rPr>
                <w:rFonts w:ascii="Arial" w:eastAsia="Times New Roman" w:hAnsi="Arial" w:cs="Arial"/>
                <w:kern w:val="0"/>
                <w:sz w:val="20"/>
                <w:szCs w:val="20"/>
                <w14:ligatures w14:val="none"/>
              </w:rPr>
              <w:t xml:space="preserve">), operations and maintenance (OM), and disposal (d) activities. We needed a place distinct from substitution and income microeconomic effects to calculate rebound according to our calculation framework. Re-reading, we feel that we haven’t done as well as we couldn’t have done to highlight this new term and its reason for being introduced. </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 xml:space="preserve">Bringing these points together, we have made amendments that hopefully better introduce/explain our introduction of the ‘emplacement’ effect, and at the same time provide supporting references for the embodied, operations and maintenance, and disposal rebound effects in Section 2.1. </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lastRenderedPageBreak/>
              <w:br/>
              <w:t>Near the start of Section 2.1 the existing text said: “Microeconomic rebound occurs at the level of the single device and its owner and in our framework comprises three effects: an emplacement effect, a substitution effect, and an income effect, each of which partitions direct and indirect rebound effects. All combinations are possible.</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We then add the following text:</w:t>
            </w:r>
            <w:r w:rsidRPr="00A743AE">
              <w:rPr>
                <w:rFonts w:ascii="Arial" w:eastAsia="Times New Roman" w:hAnsi="Arial" w:cs="Arial"/>
                <w:kern w:val="0"/>
                <w:sz w:val="20"/>
                <w:szCs w:val="20"/>
                <w14:ligatures w14:val="none"/>
              </w:rPr>
              <w:br/>
              <w:t>• “Emplacement” is a new term we introduce to collect effects associated with installing higher-efficiency devices, including (</w:t>
            </w:r>
            <w:proofErr w:type="spellStart"/>
            <w:r w:rsidRPr="00A743AE">
              <w:rPr>
                <w:rFonts w:ascii="Arial" w:eastAsia="Times New Roman" w:hAnsi="Arial" w:cs="Arial"/>
                <w:kern w:val="0"/>
                <w:sz w:val="20"/>
                <w:szCs w:val="20"/>
                <w14:ligatures w14:val="none"/>
              </w:rPr>
              <w:t>i</w:t>
            </w:r>
            <w:proofErr w:type="spellEnd"/>
            <w:r w:rsidRPr="00A743AE">
              <w:rPr>
                <w:rFonts w:ascii="Arial" w:eastAsia="Times New Roman" w:hAnsi="Arial" w:cs="Arial"/>
                <w:kern w:val="0"/>
                <w:sz w:val="20"/>
                <w:szCs w:val="20"/>
                <w14:ligatures w14:val="none"/>
              </w:rPr>
              <w:t>) embodied energy of their manufacture (</w:t>
            </w:r>
            <w:proofErr w:type="spellStart"/>
            <w:r w:rsidRPr="00A743AE">
              <w:rPr>
                <w:rFonts w:ascii="Arial" w:eastAsia="Times New Roman" w:hAnsi="Arial" w:cs="Arial"/>
                <w:kern w:val="0"/>
                <w:sz w:val="20"/>
                <w:szCs w:val="20"/>
                <w14:ligatures w14:val="none"/>
              </w:rPr>
              <w:t>emb</w:t>
            </w:r>
            <w:proofErr w:type="spellEnd"/>
            <w:r w:rsidRPr="00A743AE">
              <w:rPr>
                <w:rFonts w:ascii="Arial" w:eastAsia="Times New Roman" w:hAnsi="Arial" w:cs="Arial"/>
                <w:kern w:val="0"/>
                <w:sz w:val="20"/>
                <w:szCs w:val="20"/>
                <w14:ligatures w14:val="none"/>
              </w:rPr>
              <w:t xml:space="preserve">), (ii) operations and maintenance (OM), and (iii) disposal (d) activities. Although none of the embodied, operations and maintenance, or disposal effects are new (see </w:t>
            </w:r>
            <w:proofErr w:type="spellStart"/>
            <w:r w:rsidRPr="00A743AE">
              <w:rPr>
                <w:rFonts w:ascii="Arial" w:eastAsia="Times New Roman" w:hAnsi="Arial" w:cs="Arial"/>
                <w:kern w:val="0"/>
                <w:sz w:val="20"/>
                <w:szCs w:val="20"/>
                <w14:ligatures w14:val="none"/>
              </w:rPr>
              <w:t>Borenstein</w:t>
            </w:r>
            <w:proofErr w:type="spellEnd"/>
            <w:r w:rsidRPr="00A743AE">
              <w:rPr>
                <w:rFonts w:ascii="Arial" w:eastAsia="Times New Roman" w:hAnsi="Arial" w:cs="Arial"/>
                <w:kern w:val="0"/>
                <w:sz w:val="20"/>
                <w:szCs w:val="20"/>
                <w14:ligatures w14:val="none"/>
              </w:rPr>
              <w:t xml:space="preserve"> (2015, footnote 5, p. 3), Saunders et al. (2021), Sorrell et al. (2009), </w:t>
            </w:r>
            <w:proofErr w:type="spellStart"/>
            <w:r w:rsidRPr="00A743AE">
              <w:rPr>
                <w:rFonts w:ascii="Arial" w:eastAsia="Times New Roman" w:hAnsi="Arial" w:cs="Arial"/>
                <w:kern w:val="0"/>
                <w:sz w:val="20"/>
                <w:szCs w:val="20"/>
                <w14:ligatures w14:val="none"/>
              </w:rPr>
              <w:t>Borenstein</w:t>
            </w:r>
            <w:proofErr w:type="spellEnd"/>
            <w:r w:rsidRPr="00A743AE">
              <w:rPr>
                <w:rFonts w:ascii="Arial" w:eastAsia="Times New Roman" w:hAnsi="Arial" w:cs="Arial"/>
                <w:kern w:val="0"/>
                <w:sz w:val="20"/>
                <w:szCs w:val="20"/>
                <w14:ligatures w14:val="none"/>
              </w:rPr>
              <w:t xml:space="preserve"> (2015, footnote 37, p. 16), and Sorrell et al. (2020)), we separate them from substitution and income microeconomic effects (Table 1) to calculate rebound according to the steps in our framework.</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 xml:space="preserve">So, overall, thanks again for this comment, </w:t>
            </w:r>
            <w:proofErr w:type="spellStart"/>
            <w:r w:rsidRPr="00A743AE">
              <w:rPr>
                <w:rFonts w:ascii="Arial" w:eastAsia="Times New Roman" w:hAnsi="Arial" w:cs="Arial"/>
                <w:kern w:val="0"/>
                <w:sz w:val="20"/>
                <w:szCs w:val="20"/>
                <w14:ligatures w14:val="none"/>
              </w:rPr>
              <w:t>its</w:t>
            </w:r>
            <w:proofErr w:type="spellEnd"/>
            <w:r w:rsidRPr="00A743AE">
              <w:rPr>
                <w:rFonts w:ascii="Arial" w:eastAsia="Times New Roman" w:hAnsi="Arial" w:cs="Arial"/>
                <w:kern w:val="0"/>
                <w:sz w:val="20"/>
                <w:szCs w:val="20"/>
                <w14:ligatures w14:val="none"/>
              </w:rPr>
              <w:t xml:space="preserve"> made us both provide references for the embodied and O&amp;M effects and also provide a better introduction to the new ‘emplacement’ term.</w:t>
            </w:r>
          </w:p>
        </w:tc>
      </w:tr>
      <w:tr w:rsidR="00551EBB" w:rsidRPr="00A743AE" w14:paraId="1CA33224" w14:textId="77777777" w:rsidTr="00551EBB">
        <w:trPr>
          <w:trHeight w:val="315"/>
        </w:trPr>
        <w:tc>
          <w:tcPr>
            <w:tcW w:w="0" w:type="auto"/>
            <w:shd w:val="clear" w:color="auto" w:fill="FFFFFF" w:themeFill="background1"/>
            <w:tcMar>
              <w:top w:w="30" w:type="dxa"/>
              <w:left w:w="45" w:type="dxa"/>
              <w:bottom w:w="30" w:type="dxa"/>
              <w:right w:w="45" w:type="dxa"/>
            </w:tcMar>
            <w:hideMark/>
          </w:tcPr>
          <w:p w14:paraId="5652CD50"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lastRenderedPageBreak/>
              <w:t>1 - Framework</w:t>
            </w:r>
          </w:p>
        </w:tc>
        <w:tc>
          <w:tcPr>
            <w:tcW w:w="0" w:type="auto"/>
            <w:shd w:val="clear" w:color="auto" w:fill="FFFFFF" w:themeFill="background1"/>
            <w:tcMar>
              <w:top w:w="30" w:type="dxa"/>
              <w:left w:w="45" w:type="dxa"/>
              <w:bottom w:w="30" w:type="dxa"/>
              <w:right w:w="45" w:type="dxa"/>
            </w:tcMar>
            <w:hideMark/>
          </w:tcPr>
          <w:p w14:paraId="419B5B5E"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2</w:t>
            </w:r>
          </w:p>
        </w:tc>
        <w:tc>
          <w:tcPr>
            <w:tcW w:w="0" w:type="auto"/>
            <w:shd w:val="clear" w:color="auto" w:fill="FFFFFF" w:themeFill="background1"/>
            <w:tcMar>
              <w:top w:w="30" w:type="dxa"/>
              <w:left w:w="45" w:type="dxa"/>
              <w:bottom w:w="30" w:type="dxa"/>
              <w:right w:w="45" w:type="dxa"/>
            </w:tcMar>
            <w:hideMark/>
          </w:tcPr>
          <w:p w14:paraId="000CEECF"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The authors also convert the stock variable of initial embodied energy into a flow by simply dividing it by the device lifetime – it’s much more usual in economics to use some kind of discounting, certainly when it comes to costs appearing in budget constraints.</w:t>
            </w:r>
          </w:p>
        </w:tc>
        <w:tc>
          <w:tcPr>
            <w:tcW w:w="7903" w:type="dxa"/>
            <w:shd w:val="clear" w:color="auto" w:fill="FFFFFF" w:themeFill="background1"/>
            <w:tcMar>
              <w:top w:w="30" w:type="dxa"/>
              <w:left w:w="45" w:type="dxa"/>
              <w:bottom w:w="30" w:type="dxa"/>
              <w:right w:w="45" w:type="dxa"/>
            </w:tcMar>
            <w:hideMark/>
          </w:tcPr>
          <w:p w14:paraId="0B321D85"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 xml:space="preserve">Thank you for this suggestion. Although it was rather painful to implement, we have fully included discounting in the budget constraint throughout both papers. Implementing this suggestion involved major surgery in the papers and in the </w:t>
            </w:r>
            <w:proofErr w:type="spellStart"/>
            <w:r w:rsidRPr="00A743AE">
              <w:rPr>
                <w:rFonts w:ascii="Arial" w:eastAsia="Times New Roman" w:hAnsi="Arial" w:cs="Arial"/>
                <w:kern w:val="0"/>
                <w:sz w:val="20"/>
                <w:szCs w:val="20"/>
                <w14:ligatures w14:val="none"/>
              </w:rPr>
              <w:t>ReboundTools</w:t>
            </w:r>
            <w:proofErr w:type="spellEnd"/>
            <w:r w:rsidRPr="00A743AE">
              <w:rPr>
                <w:rFonts w:ascii="Arial" w:eastAsia="Times New Roman" w:hAnsi="Arial" w:cs="Arial"/>
                <w:kern w:val="0"/>
                <w:sz w:val="20"/>
                <w:szCs w:val="20"/>
                <w14:ligatures w14:val="none"/>
              </w:rPr>
              <w:t xml:space="preserve"> R package, but we believe the papers and the software are more general and therefore better for it. Our approach is as follows:</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 We annualize costs, derived from the net present value of all future costs with a positive discount rate (r).</w:t>
            </w:r>
            <w:r w:rsidRPr="00A743AE">
              <w:rPr>
                <w:rFonts w:ascii="Arial" w:eastAsia="Times New Roman" w:hAnsi="Arial" w:cs="Arial"/>
                <w:kern w:val="0"/>
                <w:sz w:val="20"/>
                <w:szCs w:val="20"/>
                <w14:ligatures w14:val="none"/>
              </w:rPr>
              <w:br/>
              <w:t>* Apply discounting to ONLY the financial aspects of the framework. Energy is never discounted.</w:t>
            </w:r>
            <w:r w:rsidRPr="00A743AE">
              <w:rPr>
                <w:rFonts w:ascii="Arial" w:eastAsia="Times New Roman" w:hAnsi="Arial" w:cs="Arial"/>
                <w:kern w:val="0"/>
                <w:sz w:val="20"/>
                <w:szCs w:val="20"/>
                <w14:ligatures w14:val="none"/>
              </w:rPr>
              <w:br/>
              <w:t>* Variables for capital and disposal cost rates (</w:t>
            </w:r>
            <w:proofErr w:type="spellStart"/>
            <w:r w:rsidRPr="00A743AE">
              <w:rPr>
                <w:rFonts w:ascii="Arial" w:eastAsia="Times New Roman" w:hAnsi="Arial" w:cs="Arial"/>
                <w:kern w:val="0"/>
                <w:sz w:val="20"/>
                <w:szCs w:val="20"/>
                <w14:ligatures w14:val="none"/>
              </w:rPr>
              <w:t>C_dot_cap</w:t>
            </w:r>
            <w:proofErr w:type="spellEnd"/>
            <w:r w:rsidRPr="00A743AE">
              <w:rPr>
                <w:rFonts w:ascii="Arial" w:eastAsia="Times New Roman" w:hAnsi="Arial" w:cs="Arial"/>
                <w:kern w:val="0"/>
                <w:sz w:val="20"/>
                <w:szCs w:val="20"/>
                <w14:ligatures w14:val="none"/>
              </w:rPr>
              <w:t xml:space="preserve"> and </w:t>
            </w:r>
            <w:proofErr w:type="spellStart"/>
            <w:r w:rsidRPr="00A743AE">
              <w:rPr>
                <w:rFonts w:ascii="Arial" w:eastAsia="Times New Roman" w:hAnsi="Arial" w:cs="Arial"/>
                <w:kern w:val="0"/>
                <w:sz w:val="20"/>
                <w:szCs w:val="20"/>
                <w14:ligatures w14:val="none"/>
              </w:rPr>
              <w:t>C_dot_d</w:t>
            </w:r>
            <w:proofErr w:type="spellEnd"/>
            <w:r w:rsidRPr="00A743AE">
              <w:rPr>
                <w:rFonts w:ascii="Arial" w:eastAsia="Times New Roman" w:hAnsi="Arial" w:cs="Arial"/>
                <w:kern w:val="0"/>
                <w:sz w:val="20"/>
                <w:szCs w:val="20"/>
                <w14:ligatures w14:val="none"/>
              </w:rPr>
              <w:t xml:space="preserve">) remain their undiscounted versions. </w:t>
            </w:r>
            <w:r w:rsidRPr="00A743AE">
              <w:rPr>
                <w:rFonts w:ascii="Arial" w:eastAsia="Times New Roman" w:hAnsi="Arial" w:cs="Arial"/>
                <w:kern w:val="0"/>
                <w:sz w:val="20"/>
                <w:szCs w:val="20"/>
                <w14:ligatures w14:val="none"/>
              </w:rPr>
              <w:br/>
              <w:t xml:space="preserve">* Discounting is applied via multiplicative terms </w:t>
            </w:r>
            <w:proofErr w:type="spellStart"/>
            <w:r w:rsidRPr="00A743AE">
              <w:rPr>
                <w:rFonts w:ascii="Arial" w:eastAsia="Times New Roman" w:hAnsi="Arial" w:cs="Arial"/>
                <w:kern w:val="0"/>
                <w:sz w:val="20"/>
                <w:szCs w:val="20"/>
                <w14:ligatures w14:val="none"/>
              </w:rPr>
              <w:t>R_alpha</w:t>
            </w:r>
            <w:proofErr w:type="spellEnd"/>
            <w:r w:rsidRPr="00A743AE">
              <w:rPr>
                <w:rFonts w:ascii="Arial" w:eastAsia="Times New Roman" w:hAnsi="Arial" w:cs="Arial"/>
                <w:kern w:val="0"/>
                <w:sz w:val="20"/>
                <w:szCs w:val="20"/>
                <w14:ligatures w14:val="none"/>
              </w:rPr>
              <w:t xml:space="preserve"> and </w:t>
            </w:r>
            <w:proofErr w:type="spellStart"/>
            <w:r w:rsidRPr="00A743AE">
              <w:rPr>
                <w:rFonts w:ascii="Arial" w:eastAsia="Times New Roman" w:hAnsi="Arial" w:cs="Arial"/>
                <w:kern w:val="0"/>
                <w:sz w:val="20"/>
                <w:szCs w:val="20"/>
                <w14:ligatures w14:val="none"/>
              </w:rPr>
              <w:t>R_omega</w:t>
            </w:r>
            <w:proofErr w:type="spellEnd"/>
            <w:r w:rsidRPr="00A743AE">
              <w:rPr>
                <w:rFonts w:ascii="Arial" w:eastAsia="Times New Roman" w:hAnsi="Arial" w:cs="Arial"/>
                <w:kern w:val="0"/>
                <w:sz w:val="20"/>
                <w:szCs w:val="20"/>
                <w14:ligatures w14:val="none"/>
              </w:rPr>
              <w:t xml:space="preserve"> for the capital cost and disposal costs, respectively, in the budget constraint. See Appendix B.1 of Part I for details.</w:t>
            </w:r>
            <w:r w:rsidRPr="00A743AE">
              <w:rPr>
                <w:rFonts w:ascii="Arial" w:eastAsia="Times New Roman" w:hAnsi="Arial" w:cs="Arial"/>
                <w:kern w:val="0"/>
                <w:sz w:val="20"/>
                <w:szCs w:val="20"/>
                <w14:ligatures w14:val="none"/>
              </w:rPr>
              <w:br/>
              <w:t xml:space="preserve">* Proved that </w:t>
            </w:r>
            <w:proofErr w:type="spellStart"/>
            <w:r w:rsidRPr="00A743AE">
              <w:rPr>
                <w:rFonts w:ascii="Arial" w:eastAsia="Times New Roman" w:hAnsi="Arial" w:cs="Arial"/>
                <w:kern w:val="0"/>
                <w:sz w:val="20"/>
                <w:szCs w:val="20"/>
                <w14:ligatures w14:val="none"/>
              </w:rPr>
              <w:t>R_alpha</w:t>
            </w:r>
            <w:proofErr w:type="spellEnd"/>
            <w:r w:rsidRPr="00A743AE">
              <w:rPr>
                <w:rFonts w:ascii="Arial" w:eastAsia="Times New Roman" w:hAnsi="Arial" w:cs="Arial"/>
                <w:kern w:val="0"/>
                <w:sz w:val="20"/>
                <w:szCs w:val="20"/>
                <w14:ligatures w14:val="none"/>
              </w:rPr>
              <w:t xml:space="preserve"> and </w:t>
            </w:r>
            <w:proofErr w:type="spellStart"/>
            <w:r w:rsidRPr="00A743AE">
              <w:rPr>
                <w:rFonts w:ascii="Arial" w:eastAsia="Times New Roman" w:hAnsi="Arial" w:cs="Arial"/>
                <w:kern w:val="0"/>
                <w:sz w:val="20"/>
                <w:szCs w:val="20"/>
                <w14:ligatures w14:val="none"/>
              </w:rPr>
              <w:t>R_omega</w:t>
            </w:r>
            <w:proofErr w:type="spellEnd"/>
            <w:r w:rsidRPr="00A743AE">
              <w:rPr>
                <w:rFonts w:ascii="Arial" w:eastAsia="Times New Roman" w:hAnsi="Arial" w:cs="Arial"/>
                <w:kern w:val="0"/>
                <w:sz w:val="20"/>
                <w:szCs w:val="20"/>
                <w14:ligatures w14:val="none"/>
              </w:rPr>
              <w:t xml:space="preserve"> go to 1 when the real discount rate (r) goes to 0.0, as expected. See Appendix B.1 for proofs.</w:t>
            </w:r>
            <w:r w:rsidRPr="00A743AE">
              <w:rPr>
                <w:rFonts w:ascii="Arial" w:eastAsia="Times New Roman" w:hAnsi="Arial" w:cs="Arial"/>
                <w:kern w:val="0"/>
                <w:sz w:val="20"/>
                <w:szCs w:val="20"/>
                <w14:ligatures w14:val="none"/>
              </w:rPr>
              <w:br/>
              <w:t>* Discounting applied to capital costs is tantamount to assuming the device owner takes out a loan to purchase the device, thereby introducing loan payments to the framework and reducing spending on other goods and services as a result.</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lastRenderedPageBreak/>
              <w:t>* Since the annualized cost includes financing costs, we removed financing costs from the car price reported in the earlier version of the paper.</w:t>
            </w:r>
            <w:r w:rsidRPr="00A743AE">
              <w:rPr>
                <w:rFonts w:ascii="Arial" w:eastAsia="Times New Roman" w:hAnsi="Arial" w:cs="Arial"/>
                <w:kern w:val="0"/>
                <w:sz w:val="20"/>
                <w:szCs w:val="20"/>
                <w14:ligatures w14:val="none"/>
              </w:rPr>
              <w:br/>
              <w:t>* Furthermore, we no longer need to assume the device owner sells the car after 7 years of its 14-year life, thereby simplifying calculations.</w:t>
            </w:r>
            <w:r w:rsidRPr="00A743AE">
              <w:rPr>
                <w:rFonts w:ascii="Arial" w:eastAsia="Times New Roman" w:hAnsi="Arial" w:cs="Arial"/>
                <w:kern w:val="0"/>
                <w:sz w:val="20"/>
                <w:szCs w:val="20"/>
                <w14:ligatures w14:val="none"/>
              </w:rPr>
              <w:br/>
              <w:t>* Discounting applied to disposal costs is tantamount to assuming the device owner earns interest on saved money, thereby reducing costs for disposal and allowing higher spending on other goods and services.</w:t>
            </w:r>
            <w:r w:rsidRPr="00A743AE">
              <w:rPr>
                <w:rFonts w:ascii="Arial" w:eastAsia="Times New Roman" w:hAnsi="Arial" w:cs="Arial"/>
                <w:kern w:val="0"/>
                <w:sz w:val="20"/>
                <w:szCs w:val="20"/>
                <w14:ligatures w14:val="none"/>
              </w:rPr>
              <w:br/>
              <w:t xml:space="preserve">* Further, we now include a sensitivity study on discount rate (r) in the appendix for the results paper. The sensitivity study shows that, relative to other parameters, rebound is rather </w:t>
            </w:r>
            <w:proofErr w:type="spellStart"/>
            <w:r w:rsidRPr="00A743AE">
              <w:rPr>
                <w:rFonts w:ascii="Arial" w:eastAsia="Times New Roman" w:hAnsi="Arial" w:cs="Arial"/>
                <w:kern w:val="0"/>
                <w:sz w:val="20"/>
                <w:szCs w:val="20"/>
                <w14:ligatures w14:val="none"/>
              </w:rPr>
              <w:t>INsensitive</w:t>
            </w:r>
            <w:proofErr w:type="spellEnd"/>
            <w:r w:rsidRPr="00A743AE">
              <w:rPr>
                <w:rFonts w:ascii="Arial" w:eastAsia="Times New Roman" w:hAnsi="Arial" w:cs="Arial"/>
                <w:kern w:val="0"/>
                <w:sz w:val="20"/>
                <w:szCs w:val="20"/>
                <w14:ligatures w14:val="none"/>
              </w:rPr>
              <w:t xml:space="preserve"> to the assumed discount rate for the examples in the paper.</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The effect of all the changes necessitated by this improvement is given by the following table:</w:t>
            </w:r>
            <w:r w:rsidRPr="00A743AE">
              <w:rPr>
                <w:rFonts w:ascii="Arial" w:eastAsia="Times New Roman" w:hAnsi="Arial" w:cs="Arial"/>
                <w:kern w:val="0"/>
                <w:sz w:val="20"/>
                <w:szCs w:val="20"/>
                <w14:ligatures w14:val="none"/>
              </w:rPr>
              <w:br/>
              <w:t>Car Lamp</w:t>
            </w:r>
            <w:r w:rsidRPr="00A743AE">
              <w:rPr>
                <w:rFonts w:ascii="Arial" w:eastAsia="Times New Roman" w:hAnsi="Arial" w:cs="Arial"/>
                <w:kern w:val="0"/>
                <w:sz w:val="20"/>
                <w:szCs w:val="20"/>
                <w14:ligatures w14:val="none"/>
              </w:rPr>
              <w:br/>
              <w:t>Previous 47.2% 67.1%</w:t>
            </w:r>
            <w:r w:rsidRPr="00A743AE">
              <w:rPr>
                <w:rFonts w:ascii="Arial" w:eastAsia="Times New Roman" w:hAnsi="Arial" w:cs="Arial"/>
                <w:kern w:val="0"/>
                <w:sz w:val="20"/>
                <w:szCs w:val="20"/>
                <w14:ligatures w14:val="none"/>
              </w:rPr>
              <w:br/>
              <w:t>Updated 56.2% 67.0%</w:t>
            </w:r>
            <w:r w:rsidRPr="00A743AE">
              <w:rPr>
                <w:rFonts w:ascii="Arial" w:eastAsia="Times New Roman" w:hAnsi="Arial" w:cs="Arial"/>
                <w:color w:val="FF0000"/>
                <w:kern w:val="0"/>
                <w:sz w:val="20"/>
                <w:szCs w:val="20"/>
                <w14:ligatures w14:val="none"/>
              </w:rPr>
              <w:br/>
            </w:r>
            <w:r w:rsidRPr="00A743AE">
              <w:rPr>
                <w:rFonts w:ascii="Arial" w:eastAsia="Times New Roman" w:hAnsi="Arial" w:cs="Arial"/>
                <w:color w:val="FF0000"/>
                <w:kern w:val="0"/>
                <w:sz w:val="20"/>
                <w:szCs w:val="20"/>
                <w14:ligatures w14:val="none"/>
              </w:rPr>
              <w:br/>
            </w:r>
            <w:r w:rsidRPr="00A743AE">
              <w:rPr>
                <w:rFonts w:ascii="Arial" w:eastAsia="Times New Roman" w:hAnsi="Arial" w:cs="Arial"/>
                <w:kern w:val="0"/>
                <w:sz w:val="20"/>
                <w:szCs w:val="20"/>
                <w14:ligatures w14:val="none"/>
              </w:rPr>
              <w:t>Most of the difference in the car example is caused by other changes besides discounting, such as removing financing costs from the car price.</w:t>
            </w:r>
            <w:r w:rsidRPr="00A743AE">
              <w:rPr>
                <w:rFonts w:ascii="Arial" w:eastAsia="Times New Roman" w:hAnsi="Arial" w:cs="Arial"/>
                <w:color w:val="FF0000"/>
                <w:kern w:val="0"/>
                <w:sz w:val="20"/>
                <w:szCs w:val="20"/>
                <w14:ligatures w14:val="none"/>
              </w:rPr>
              <w:br/>
            </w:r>
            <w:r w:rsidRPr="00A743AE">
              <w:rPr>
                <w:rFonts w:ascii="Arial" w:eastAsia="Times New Roman" w:hAnsi="Arial" w:cs="Arial"/>
                <w:color w:val="FF0000"/>
                <w:kern w:val="0"/>
                <w:sz w:val="20"/>
                <w:szCs w:val="20"/>
                <w14:ligatures w14:val="none"/>
              </w:rPr>
              <w:br/>
            </w:r>
            <w:r w:rsidRPr="00A743AE">
              <w:rPr>
                <w:rFonts w:ascii="Arial" w:eastAsia="Times New Roman" w:hAnsi="Arial" w:cs="Arial"/>
                <w:kern w:val="0"/>
                <w:sz w:val="20"/>
                <w:szCs w:val="20"/>
                <w14:ligatures w14:val="none"/>
              </w:rPr>
              <w:t>We trust the reviewer will be satisfied with the generalization brought about by our response to this important suggestion.</w:t>
            </w:r>
          </w:p>
        </w:tc>
      </w:tr>
      <w:tr w:rsidR="00551EBB" w:rsidRPr="00A743AE" w14:paraId="5BEEDFD7" w14:textId="77777777" w:rsidTr="00551EBB">
        <w:trPr>
          <w:trHeight w:val="315"/>
        </w:trPr>
        <w:tc>
          <w:tcPr>
            <w:tcW w:w="0" w:type="auto"/>
            <w:shd w:val="clear" w:color="auto" w:fill="FFFFFF" w:themeFill="background1"/>
            <w:tcMar>
              <w:top w:w="30" w:type="dxa"/>
              <w:left w:w="45" w:type="dxa"/>
              <w:bottom w:w="30" w:type="dxa"/>
              <w:right w:w="45" w:type="dxa"/>
            </w:tcMar>
            <w:hideMark/>
          </w:tcPr>
          <w:p w14:paraId="3BC74066"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lastRenderedPageBreak/>
              <w:t>1 - Framework</w:t>
            </w:r>
          </w:p>
        </w:tc>
        <w:tc>
          <w:tcPr>
            <w:tcW w:w="0" w:type="auto"/>
            <w:shd w:val="clear" w:color="auto" w:fill="FFFFFF" w:themeFill="background1"/>
            <w:tcMar>
              <w:top w:w="30" w:type="dxa"/>
              <w:left w:w="45" w:type="dxa"/>
              <w:bottom w:w="30" w:type="dxa"/>
              <w:right w:w="45" w:type="dxa"/>
            </w:tcMar>
            <w:hideMark/>
          </w:tcPr>
          <w:p w14:paraId="65FE6EFE"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3</w:t>
            </w:r>
          </w:p>
        </w:tc>
        <w:tc>
          <w:tcPr>
            <w:tcW w:w="0" w:type="auto"/>
            <w:shd w:val="clear" w:color="auto" w:fill="FFFFFF" w:themeFill="background1"/>
            <w:tcMar>
              <w:top w:w="30" w:type="dxa"/>
              <w:left w:w="45" w:type="dxa"/>
              <w:bottom w:w="30" w:type="dxa"/>
              <w:right w:w="45" w:type="dxa"/>
            </w:tcMar>
            <w:hideMark/>
          </w:tcPr>
          <w:p w14:paraId="6CF4F803"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I think the macro effects, on the other hand, probably do fall into the “rebound” category, and are well within the spirit of Jevons’ original remarks, although he long preceded Keynesian multipliers! However, rather than using multipliers alone, I think the authors need to think about the effects of reducing the demand for energy on its price in a world where supply is not perfectly elastic. That effect is likely to be much more direct, and hence easier to measure, than the indirect and longer</w:t>
            </w:r>
            <w:r w:rsidRPr="00A743AE">
              <w:rPr>
                <w:rFonts w:ascii="Cambria Math" w:eastAsia="Times New Roman" w:hAnsi="Cambria Math" w:cs="Cambria Math"/>
                <w:kern w:val="0"/>
                <w:sz w:val="20"/>
                <w:szCs w:val="20"/>
                <w14:ligatures w14:val="none"/>
              </w:rPr>
              <w:t>‐</w:t>
            </w:r>
            <w:r w:rsidRPr="00A743AE">
              <w:rPr>
                <w:rFonts w:ascii="Arial" w:eastAsia="Times New Roman" w:hAnsi="Arial" w:cs="Arial"/>
                <w:kern w:val="0"/>
                <w:sz w:val="20"/>
                <w:szCs w:val="20"/>
                <w14:ligatures w14:val="none"/>
              </w:rPr>
              <w:t>term effects of greater energy productivity or real</w:t>
            </w:r>
            <w:r w:rsidRPr="00A743AE">
              <w:rPr>
                <w:rFonts w:ascii="Cambria Math" w:eastAsia="Times New Roman" w:hAnsi="Cambria Math" w:cs="Cambria Math"/>
                <w:kern w:val="0"/>
                <w:sz w:val="20"/>
                <w:szCs w:val="20"/>
                <w14:ligatures w14:val="none"/>
              </w:rPr>
              <w:t>‐</w:t>
            </w:r>
            <w:r w:rsidRPr="00A743AE">
              <w:rPr>
                <w:rFonts w:ascii="Arial" w:eastAsia="Times New Roman" w:hAnsi="Arial" w:cs="Arial"/>
                <w:kern w:val="0"/>
                <w:sz w:val="20"/>
                <w:szCs w:val="20"/>
                <w14:ligatures w14:val="none"/>
              </w:rPr>
              <w:t xml:space="preserve">terms consumer spending. A partial </w:t>
            </w:r>
            <w:r w:rsidRPr="00A743AE">
              <w:rPr>
                <w:rFonts w:ascii="Arial" w:eastAsia="Times New Roman" w:hAnsi="Arial" w:cs="Arial"/>
                <w:kern w:val="0"/>
                <w:sz w:val="20"/>
                <w:szCs w:val="20"/>
                <w14:ligatures w14:val="none"/>
              </w:rPr>
              <w:lastRenderedPageBreak/>
              <w:t>equilibrium model of the energy sector ought to be sufficient to capture the size of such price changes, which can then be fed into the rest of the analysis.</w:t>
            </w:r>
          </w:p>
        </w:tc>
        <w:tc>
          <w:tcPr>
            <w:tcW w:w="7903" w:type="dxa"/>
            <w:shd w:val="clear" w:color="auto" w:fill="FFFFFF" w:themeFill="background1"/>
            <w:tcMar>
              <w:top w:w="30" w:type="dxa"/>
              <w:left w:w="45" w:type="dxa"/>
              <w:bottom w:w="30" w:type="dxa"/>
              <w:right w:w="45" w:type="dxa"/>
            </w:tcMar>
            <w:hideMark/>
          </w:tcPr>
          <w:p w14:paraId="0CDB80F5"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lastRenderedPageBreak/>
              <w:t xml:space="preserve">We thank the reviewer for encouraging us to include an energy price rebound effect into our model. We had initially excluded such an effect since its magnitude depends on share of consumers in an economy adopting the device as it is determined by the change in aggregate, not household demand. Following the reviewer's advice however, we include a simple partial equilibrium model of the energy sector: it computes the decline in the energy price as a function of the share of consumers adopting the energy efficient device upgrade and the price elasticity of supply of the energy carrier in question. We derive the model in Part I where we introduce it briefly alongside the other macro effect, and then discuss it in section 3.2. In Part II, we calculate its magnitude for the two examples for a plausible range of supply </w:t>
            </w:r>
            <w:proofErr w:type="spellStart"/>
            <w:r w:rsidRPr="00A743AE">
              <w:rPr>
                <w:rFonts w:ascii="Arial" w:eastAsia="Times New Roman" w:hAnsi="Arial" w:cs="Arial"/>
                <w:kern w:val="0"/>
                <w:sz w:val="20"/>
                <w:szCs w:val="20"/>
                <w14:ligatures w14:val="none"/>
              </w:rPr>
              <w:t>elastiticies</w:t>
            </w:r>
            <w:proofErr w:type="spellEnd"/>
            <w:r w:rsidRPr="00A743AE">
              <w:rPr>
                <w:rFonts w:ascii="Arial" w:eastAsia="Times New Roman" w:hAnsi="Arial" w:cs="Arial"/>
                <w:kern w:val="0"/>
                <w:sz w:val="20"/>
                <w:szCs w:val="20"/>
                <w14:ligatures w14:val="none"/>
              </w:rPr>
              <w:t xml:space="preserve"> and for all possible adoption shares. The calculations show that, depending on the circumstances of the specific upgrade, the energy price effect could either add little rebound or substantially enlarge it.</w:t>
            </w:r>
          </w:p>
        </w:tc>
      </w:tr>
      <w:tr w:rsidR="00551EBB" w:rsidRPr="00A743AE" w14:paraId="4DE4AA0D" w14:textId="77777777" w:rsidTr="00551EBB">
        <w:trPr>
          <w:trHeight w:val="315"/>
        </w:trPr>
        <w:tc>
          <w:tcPr>
            <w:tcW w:w="0" w:type="auto"/>
            <w:shd w:val="clear" w:color="auto" w:fill="FFFFFF" w:themeFill="background1"/>
            <w:tcMar>
              <w:top w:w="30" w:type="dxa"/>
              <w:left w:w="45" w:type="dxa"/>
              <w:bottom w:w="30" w:type="dxa"/>
              <w:right w:w="45" w:type="dxa"/>
            </w:tcMar>
            <w:hideMark/>
          </w:tcPr>
          <w:p w14:paraId="760E14B7"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1 - Framework</w:t>
            </w:r>
          </w:p>
        </w:tc>
        <w:tc>
          <w:tcPr>
            <w:tcW w:w="0" w:type="auto"/>
            <w:shd w:val="clear" w:color="auto" w:fill="FFFFFF" w:themeFill="background1"/>
            <w:tcMar>
              <w:top w:w="30" w:type="dxa"/>
              <w:left w:w="45" w:type="dxa"/>
              <w:bottom w:w="30" w:type="dxa"/>
              <w:right w:w="45" w:type="dxa"/>
            </w:tcMar>
            <w:hideMark/>
          </w:tcPr>
          <w:p w14:paraId="153DB9FA"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4</w:t>
            </w:r>
          </w:p>
        </w:tc>
        <w:tc>
          <w:tcPr>
            <w:tcW w:w="0" w:type="auto"/>
            <w:shd w:val="clear" w:color="auto" w:fill="FFFFFF" w:themeFill="background1"/>
            <w:tcMar>
              <w:top w:w="30" w:type="dxa"/>
              <w:left w:w="45" w:type="dxa"/>
              <w:bottom w:w="30" w:type="dxa"/>
              <w:right w:w="45" w:type="dxa"/>
            </w:tcMar>
            <w:hideMark/>
          </w:tcPr>
          <w:p w14:paraId="7C146B48"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 xml:space="preserve">I’m still slightly </w:t>
            </w:r>
            <w:proofErr w:type="spellStart"/>
            <w:r w:rsidRPr="00A743AE">
              <w:rPr>
                <w:rFonts w:ascii="Arial" w:eastAsia="Times New Roman" w:hAnsi="Arial" w:cs="Arial"/>
                <w:kern w:val="0"/>
                <w:sz w:val="20"/>
                <w:szCs w:val="20"/>
                <w14:ligatures w14:val="none"/>
              </w:rPr>
              <w:t>sceptical</w:t>
            </w:r>
            <w:proofErr w:type="spellEnd"/>
            <w:r w:rsidRPr="00A743AE">
              <w:rPr>
                <w:rFonts w:ascii="Arial" w:eastAsia="Times New Roman" w:hAnsi="Arial" w:cs="Arial"/>
                <w:kern w:val="0"/>
                <w:sz w:val="20"/>
                <w:szCs w:val="20"/>
                <w14:ligatures w14:val="none"/>
              </w:rPr>
              <w:t xml:space="preserve"> about the importance of explicitly coping with non</w:t>
            </w:r>
            <w:r w:rsidRPr="00A743AE">
              <w:rPr>
                <w:rFonts w:ascii="Cambria Math" w:eastAsia="Times New Roman" w:hAnsi="Cambria Math" w:cs="Cambria Math"/>
                <w:kern w:val="0"/>
                <w:sz w:val="20"/>
                <w:szCs w:val="20"/>
                <w14:ligatures w14:val="none"/>
              </w:rPr>
              <w:t>‐</w:t>
            </w:r>
            <w:r w:rsidRPr="00A743AE">
              <w:rPr>
                <w:rFonts w:ascii="Arial" w:eastAsia="Times New Roman" w:hAnsi="Arial" w:cs="Arial"/>
                <w:kern w:val="0"/>
                <w:sz w:val="20"/>
                <w:szCs w:val="20"/>
                <w14:ligatures w14:val="none"/>
              </w:rPr>
              <w:t>marginal price changes. There’s something about this at the very end of the online appendix to part II, but I’d advise putting a sentence into the paper itself that says how important this is, in terms of how much it changes the rebound effect, relative to the 0</w:t>
            </w:r>
            <w:r w:rsidRPr="00A743AE">
              <w:rPr>
                <w:rFonts w:ascii="Cambria Math" w:eastAsia="Times New Roman" w:hAnsi="Cambria Math" w:cs="Cambria Math"/>
                <w:kern w:val="0"/>
                <w:sz w:val="20"/>
                <w:szCs w:val="20"/>
                <w14:ligatures w14:val="none"/>
              </w:rPr>
              <w:t>‐</w:t>
            </w:r>
            <w:r w:rsidRPr="00A743AE">
              <w:rPr>
                <w:rFonts w:ascii="Arial" w:eastAsia="Times New Roman" w:hAnsi="Arial" w:cs="Arial"/>
                <w:kern w:val="0"/>
                <w:sz w:val="20"/>
                <w:szCs w:val="20"/>
                <w14:ligatures w14:val="none"/>
              </w:rPr>
              <w:t>100% scale. Even without the numerical estimates that are coming in part II, you can look forward to the result when you have the discussion of the contribution you’re making.</w:t>
            </w:r>
          </w:p>
        </w:tc>
        <w:tc>
          <w:tcPr>
            <w:tcW w:w="7903" w:type="dxa"/>
            <w:shd w:val="clear" w:color="auto" w:fill="FFFFFF" w:themeFill="background1"/>
            <w:tcMar>
              <w:top w:w="30" w:type="dxa"/>
              <w:left w:w="45" w:type="dxa"/>
              <w:bottom w:w="30" w:type="dxa"/>
              <w:right w:w="45" w:type="dxa"/>
            </w:tcMar>
            <w:hideMark/>
          </w:tcPr>
          <w:p w14:paraId="3664A397"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 xml:space="preserve">We are grateful to the reviewer for raising the relevance of non-marginal price changes for rebound, which allowed us to revisit this topic and make changes to both manuscripts (Part I and Part II). We agree that the importance was perhaps </w:t>
            </w:r>
            <w:proofErr w:type="spellStart"/>
            <w:r w:rsidRPr="00A743AE">
              <w:rPr>
                <w:rFonts w:ascii="Arial" w:eastAsia="Times New Roman" w:hAnsi="Arial" w:cs="Arial"/>
                <w:kern w:val="0"/>
                <w:sz w:val="20"/>
                <w:szCs w:val="20"/>
                <w14:ligatures w14:val="none"/>
              </w:rPr>
              <w:t>slighlty</w:t>
            </w:r>
            <w:proofErr w:type="spellEnd"/>
            <w:r w:rsidRPr="00A743AE">
              <w:rPr>
                <w:rFonts w:ascii="Arial" w:eastAsia="Times New Roman" w:hAnsi="Arial" w:cs="Arial"/>
                <w:kern w:val="0"/>
                <w:sz w:val="20"/>
                <w:szCs w:val="20"/>
                <w14:ligatures w14:val="none"/>
              </w:rPr>
              <w:t xml:space="preserve"> overstated in the abstract and introduction and in response removed it from the list of main contributions and instead mention it under further contributions.</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We also follow the reviewer's advice to hint at the relevance of the exact rebound in Part I and calculate the difference in Part II. We find, in Table 14 of Section 4.4 in Part II, that both substitution and income rebound are different between the CES and CPE models. We also note that the importance of not using the approximation depends on the specific case. Table 14 and its discussion also include the satiated demand case.</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Again, we are grateful to the reviewer for raising this point as it allowed us to bring out the case-dependent relevance of approximating the substitution effect using a constant price elasticity.</w:t>
            </w:r>
          </w:p>
        </w:tc>
      </w:tr>
      <w:tr w:rsidR="00551EBB" w:rsidRPr="00A743AE" w14:paraId="0CD08657" w14:textId="77777777" w:rsidTr="00551EBB">
        <w:trPr>
          <w:trHeight w:val="315"/>
        </w:trPr>
        <w:tc>
          <w:tcPr>
            <w:tcW w:w="0" w:type="auto"/>
            <w:shd w:val="clear" w:color="auto" w:fill="FFFFFF" w:themeFill="background1"/>
            <w:tcMar>
              <w:top w:w="30" w:type="dxa"/>
              <w:left w:w="45" w:type="dxa"/>
              <w:bottom w:w="30" w:type="dxa"/>
              <w:right w:w="45" w:type="dxa"/>
            </w:tcMar>
            <w:hideMark/>
          </w:tcPr>
          <w:p w14:paraId="585C9887"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1 - Framework</w:t>
            </w:r>
          </w:p>
        </w:tc>
        <w:tc>
          <w:tcPr>
            <w:tcW w:w="0" w:type="auto"/>
            <w:shd w:val="clear" w:color="auto" w:fill="FFFFFF" w:themeFill="background1"/>
            <w:tcMar>
              <w:top w:w="30" w:type="dxa"/>
              <w:left w:w="45" w:type="dxa"/>
              <w:bottom w:w="30" w:type="dxa"/>
              <w:right w:w="45" w:type="dxa"/>
            </w:tcMar>
            <w:hideMark/>
          </w:tcPr>
          <w:p w14:paraId="73544AC8"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5</w:t>
            </w:r>
          </w:p>
        </w:tc>
        <w:tc>
          <w:tcPr>
            <w:tcW w:w="0" w:type="auto"/>
            <w:shd w:val="clear" w:color="auto" w:fill="FFFFFF" w:themeFill="background1"/>
            <w:tcMar>
              <w:top w:w="30" w:type="dxa"/>
              <w:left w:w="45" w:type="dxa"/>
              <w:bottom w:w="30" w:type="dxa"/>
              <w:right w:w="45" w:type="dxa"/>
            </w:tcMar>
            <w:hideMark/>
          </w:tcPr>
          <w:p w14:paraId="03C5CF66"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 xml:space="preserve">While the authors point out that other micro models of consumer </w:t>
            </w:r>
            <w:proofErr w:type="spellStart"/>
            <w:r w:rsidRPr="00A743AE">
              <w:rPr>
                <w:rFonts w:ascii="Arial" w:eastAsia="Times New Roman" w:hAnsi="Arial" w:cs="Arial"/>
                <w:kern w:val="0"/>
                <w:sz w:val="20"/>
                <w:szCs w:val="20"/>
                <w14:ligatures w14:val="none"/>
              </w:rPr>
              <w:t>behaviour</w:t>
            </w:r>
            <w:proofErr w:type="spellEnd"/>
            <w:r w:rsidRPr="00A743AE">
              <w:rPr>
                <w:rFonts w:ascii="Arial" w:eastAsia="Times New Roman" w:hAnsi="Arial" w:cs="Arial"/>
                <w:kern w:val="0"/>
                <w:sz w:val="20"/>
                <w:szCs w:val="20"/>
                <w14:ligatures w14:val="none"/>
              </w:rPr>
              <w:t xml:space="preserve"> are available, the one they’ve chosen has the serious weakness that the income elasticity of demand is inevitably equal to one. We know that a lot of energy services have an income elasticity of less than one, so this matters. There’s an open question of whether getting the income elasticity or the substitution effects wrong is going to be a bigger problem. I’m not suggesting that the authors add the fully worked</w:t>
            </w:r>
            <w:r w:rsidRPr="00A743AE">
              <w:rPr>
                <w:rFonts w:ascii="Cambria Math" w:eastAsia="Times New Roman" w:hAnsi="Cambria Math" w:cs="Cambria Math"/>
                <w:kern w:val="0"/>
                <w:sz w:val="20"/>
                <w:szCs w:val="20"/>
                <w14:ligatures w14:val="none"/>
              </w:rPr>
              <w:t>‐</w:t>
            </w:r>
            <w:r w:rsidRPr="00A743AE">
              <w:rPr>
                <w:rFonts w:ascii="Arial" w:eastAsia="Times New Roman" w:hAnsi="Arial" w:cs="Arial"/>
                <w:kern w:val="0"/>
                <w:sz w:val="20"/>
                <w:szCs w:val="20"/>
                <w14:ligatures w14:val="none"/>
              </w:rPr>
              <w:t>out answer to this paper, but it needs to be acknowledged – and there could (should) be some basic calculations in part II.</w:t>
            </w:r>
          </w:p>
        </w:tc>
        <w:tc>
          <w:tcPr>
            <w:tcW w:w="7903" w:type="dxa"/>
            <w:shd w:val="clear" w:color="auto" w:fill="FFFFFF" w:themeFill="background1"/>
            <w:tcMar>
              <w:top w:w="30" w:type="dxa"/>
              <w:left w:w="45" w:type="dxa"/>
              <w:bottom w:w="30" w:type="dxa"/>
              <w:right w:w="45" w:type="dxa"/>
            </w:tcMar>
            <w:hideMark/>
          </w:tcPr>
          <w:p w14:paraId="56B22F61"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 xml:space="preserve">Thank you for this comment. In response, we thought about non-homothetic utility models, realizing that the bounding case occurs when consumption of the energy service is already satiated. Under those </w:t>
            </w:r>
            <w:proofErr w:type="spellStart"/>
            <w:r w:rsidRPr="00A743AE">
              <w:rPr>
                <w:rFonts w:ascii="Arial" w:eastAsia="Times New Roman" w:hAnsi="Arial" w:cs="Arial"/>
                <w:kern w:val="0"/>
                <w:sz w:val="20"/>
                <w:szCs w:val="20"/>
                <w14:ligatures w14:val="none"/>
              </w:rPr>
              <w:t>condistions</w:t>
            </w:r>
            <w:proofErr w:type="spellEnd"/>
            <w:r w:rsidRPr="00A743AE">
              <w:rPr>
                <w:rFonts w:ascii="Arial" w:eastAsia="Times New Roman" w:hAnsi="Arial" w:cs="Arial"/>
                <w:kern w:val="0"/>
                <w:sz w:val="20"/>
                <w:szCs w:val="20"/>
                <w14:ligatures w14:val="none"/>
              </w:rPr>
              <w:t xml:space="preserve">, the device owner will spend all income on other goods. We derived a new rebound expression for the extreme (satiated) case and added text in both Part I and Part II as discussed below. </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Part I</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After "However, this framework could accommodate non-homothetic preferences</w:t>
            </w:r>
            <w:r w:rsidRPr="00A743AE">
              <w:rPr>
                <w:rFonts w:ascii="Arial" w:eastAsia="Times New Roman" w:hAnsi="Arial" w:cs="Arial"/>
                <w:kern w:val="0"/>
                <w:sz w:val="20"/>
                <w:szCs w:val="20"/>
                <w14:ligatures w14:val="none"/>
              </w:rPr>
              <w:br/>
              <w:t>for spending across the income effect (turning the income</w:t>
            </w:r>
            <w:r w:rsidRPr="00A743AE">
              <w:rPr>
                <w:rFonts w:ascii="Arial" w:eastAsia="Times New Roman" w:hAnsi="Arial" w:cs="Arial"/>
                <w:kern w:val="0"/>
                <w:sz w:val="20"/>
                <w:szCs w:val="20"/>
                <w14:ligatures w14:val="none"/>
              </w:rPr>
              <w:br/>
              <w:t>expansion path into a more general curve instead of a line).", we now add this text:</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 Demand for certain energy services could satiate as consumers become more affluent, implying income elasticities of the energy service of less than one \</w:t>
            </w:r>
            <w:proofErr w:type="spellStart"/>
            <w:proofErr w:type="gramStart"/>
            <w:r w:rsidRPr="00A743AE">
              <w:rPr>
                <w:rFonts w:ascii="Arial" w:eastAsia="Times New Roman" w:hAnsi="Arial" w:cs="Arial"/>
                <w:kern w:val="0"/>
                <w:sz w:val="20"/>
                <w:szCs w:val="20"/>
                <w14:ligatures w14:val="none"/>
              </w:rPr>
              <w:t>citep</w:t>
            </w:r>
            <w:proofErr w:type="spellEnd"/>
            <w:r w:rsidRPr="00A743AE">
              <w:rPr>
                <w:rFonts w:ascii="Arial" w:eastAsia="Times New Roman" w:hAnsi="Arial" w:cs="Arial"/>
                <w:kern w:val="0"/>
                <w:sz w:val="20"/>
                <w:szCs w:val="20"/>
                <w14:ligatures w14:val="none"/>
              </w:rPr>
              <w:t>{</w:t>
            </w:r>
            <w:proofErr w:type="gramEnd"/>
            <w:r w:rsidRPr="00A743AE">
              <w:rPr>
                <w:rFonts w:ascii="Arial" w:eastAsia="Times New Roman" w:hAnsi="Arial" w:cs="Arial"/>
                <w:kern w:val="0"/>
                <w:sz w:val="20"/>
                <w:szCs w:val="20"/>
                <w14:ligatures w14:val="none"/>
              </w:rPr>
              <w:t xml:space="preserve">Greening2000}. At the lower bound, the consumer spends all income after the substitution effect on other goods and none on the energy service, choices that serve to reduce rebound due to typically lower energy intensity of other goods compared to the energy </w:t>
            </w:r>
            <w:proofErr w:type="gramStart"/>
            <w:r w:rsidRPr="00A743AE">
              <w:rPr>
                <w:rFonts w:ascii="Arial" w:eastAsia="Times New Roman" w:hAnsi="Arial" w:cs="Arial"/>
                <w:kern w:val="0"/>
                <w:sz w:val="20"/>
                <w:szCs w:val="20"/>
                <w14:ligatures w14:val="none"/>
              </w:rPr>
              <w:t>service.%</w:t>
            </w:r>
            <w:proofErr w:type="gramEnd"/>
            <w:r w:rsidRPr="00A743AE">
              <w:rPr>
                <w:rFonts w:ascii="Arial" w:eastAsia="Times New Roman" w:hAnsi="Arial" w:cs="Arial"/>
                <w:kern w:val="0"/>
                <w:sz w:val="20"/>
                <w:szCs w:val="20"/>
                <w14:ligatures w14:val="none"/>
              </w:rPr>
              <w:br/>
              <w:t>\footnote{</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lastRenderedPageBreak/>
              <w:t>In principle, the energy service could be an ``inferior good'' whose consumption declines as incomes rise. However, energy service elasticities of income have been estimated to be positive over the long run, so we do not expect the inferior good case to be relevant \</w:t>
            </w:r>
            <w:proofErr w:type="spellStart"/>
            <w:r w:rsidRPr="00A743AE">
              <w:rPr>
                <w:rFonts w:ascii="Arial" w:eastAsia="Times New Roman" w:hAnsi="Arial" w:cs="Arial"/>
                <w:kern w:val="0"/>
                <w:sz w:val="20"/>
                <w:szCs w:val="20"/>
                <w14:ligatures w14:val="none"/>
              </w:rPr>
              <w:t>citep</w:t>
            </w:r>
            <w:proofErr w:type="spellEnd"/>
            <w:r w:rsidRPr="00A743AE">
              <w:rPr>
                <w:rFonts w:ascii="Arial" w:eastAsia="Times New Roman" w:hAnsi="Arial" w:cs="Arial"/>
                <w:kern w:val="0"/>
                <w:sz w:val="20"/>
                <w:szCs w:val="20"/>
                <w14:ligatures w14:val="none"/>
              </w:rPr>
              <w:t>{Fouquet2014}.</w:t>
            </w:r>
            <w:r w:rsidRPr="00A743AE">
              <w:rPr>
                <w:rFonts w:ascii="Arial" w:eastAsia="Times New Roman" w:hAnsi="Arial" w:cs="Arial"/>
                <w:kern w:val="0"/>
                <w:sz w:val="20"/>
                <w:szCs w:val="20"/>
                <w14:ligatures w14:val="none"/>
              </w:rPr>
              <w:br/>
              <w:t>}</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Thereafter, we provide direct and indirect rebound expressions for the extreme non-homothetic cases.</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 In the section on the direct income effect, we add "Under a non-homothetic utility model, the bounding condition is satiated consumption of the energy service such that as the device owner becomes richer, none of the income ($\</w:t>
            </w:r>
            <w:proofErr w:type="spellStart"/>
            <w:r w:rsidRPr="00A743AE">
              <w:rPr>
                <w:rFonts w:ascii="Arial" w:eastAsia="Times New Roman" w:hAnsi="Arial" w:cs="Arial"/>
                <w:kern w:val="0"/>
                <w:sz w:val="20"/>
                <w:szCs w:val="20"/>
                <w14:ligatures w14:val="none"/>
              </w:rPr>
              <w:t>rasub</w:t>
            </w:r>
            <w:proofErr w:type="spellEnd"/>
            <w:r w:rsidRPr="00A743AE">
              <w:rPr>
                <w:rFonts w:ascii="Arial" w:eastAsia="Times New Roman" w:hAnsi="Arial" w:cs="Arial"/>
                <w:kern w:val="0"/>
                <w:sz w:val="20"/>
                <w:szCs w:val="20"/>
                <w14:ligatures w14:val="none"/>
              </w:rPr>
              <w:t>{N}$) is spent on more of the energy service, and thus $Re_{</w:t>
            </w:r>
            <w:proofErr w:type="spellStart"/>
            <w:r w:rsidRPr="00A743AE">
              <w:rPr>
                <w:rFonts w:ascii="Arial" w:eastAsia="Times New Roman" w:hAnsi="Arial" w:cs="Arial"/>
                <w:kern w:val="0"/>
                <w:sz w:val="20"/>
                <w:szCs w:val="20"/>
                <w14:ligatures w14:val="none"/>
              </w:rPr>
              <w:t>dinc</w:t>
            </w:r>
            <w:proofErr w:type="spellEnd"/>
            <w:r w:rsidRPr="00A743AE">
              <w:rPr>
                <w:rFonts w:ascii="Arial" w:eastAsia="Times New Roman" w:hAnsi="Arial" w:cs="Arial"/>
                <w:kern w:val="0"/>
                <w:sz w:val="20"/>
                <w:szCs w:val="20"/>
                <w14:ligatures w14:val="none"/>
              </w:rPr>
              <w:t>} = 0$ would occur."</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 In the section on the indirect income effect, we add "Under the bounding satiated utility model, all income ($\</w:t>
            </w:r>
            <w:proofErr w:type="spellStart"/>
            <w:r w:rsidRPr="00A743AE">
              <w:rPr>
                <w:rFonts w:ascii="Arial" w:eastAsia="Times New Roman" w:hAnsi="Arial" w:cs="Arial"/>
                <w:kern w:val="0"/>
                <w:sz w:val="20"/>
                <w:szCs w:val="20"/>
                <w14:ligatures w14:val="none"/>
              </w:rPr>
              <w:t>rasub</w:t>
            </w:r>
            <w:proofErr w:type="spellEnd"/>
            <w:r w:rsidRPr="00A743AE">
              <w:rPr>
                <w:rFonts w:ascii="Arial" w:eastAsia="Times New Roman" w:hAnsi="Arial" w:cs="Arial"/>
                <w:kern w:val="0"/>
                <w:sz w:val="20"/>
                <w:szCs w:val="20"/>
                <w14:ligatures w14:val="none"/>
              </w:rPr>
              <w:t>{N}$) is spent on other goods, and indirect rebound becomes simply $Re_{</w:t>
            </w:r>
            <w:proofErr w:type="spellStart"/>
            <w:r w:rsidRPr="00A743AE">
              <w:rPr>
                <w:rFonts w:ascii="Arial" w:eastAsia="Times New Roman" w:hAnsi="Arial" w:cs="Arial"/>
                <w:kern w:val="0"/>
                <w:sz w:val="20"/>
                <w:szCs w:val="20"/>
                <w14:ligatures w14:val="none"/>
              </w:rPr>
              <w:t>iinc</w:t>
            </w:r>
            <w:proofErr w:type="spellEnd"/>
            <w:r w:rsidRPr="00A743AE">
              <w:rPr>
                <w:rFonts w:ascii="Arial" w:eastAsia="Times New Roman" w:hAnsi="Arial" w:cs="Arial"/>
                <w:kern w:val="0"/>
                <w:sz w:val="20"/>
                <w:szCs w:val="20"/>
                <w14:ligatures w14:val="none"/>
              </w:rPr>
              <w:t>} \</w:t>
            </w:r>
            <w:proofErr w:type="spellStart"/>
            <w:r w:rsidRPr="00A743AE">
              <w:rPr>
                <w:rFonts w:ascii="Arial" w:eastAsia="Times New Roman" w:hAnsi="Arial" w:cs="Arial"/>
                <w:kern w:val="0"/>
                <w:sz w:val="20"/>
                <w:szCs w:val="20"/>
                <w14:ligatures w14:val="none"/>
              </w:rPr>
              <w:t>equiv</w:t>
            </w:r>
            <w:proofErr w:type="spellEnd"/>
            <w:r w:rsidRPr="00A743AE">
              <w:rPr>
                <w:rFonts w:ascii="Arial" w:eastAsia="Times New Roman" w:hAnsi="Arial" w:cs="Arial"/>
                <w:kern w:val="0"/>
                <w:sz w:val="20"/>
                <w:szCs w:val="20"/>
                <w14:ligatures w14:val="none"/>
              </w:rPr>
              <w:t xml:space="preserve"> \frac{\</w:t>
            </w:r>
            <w:proofErr w:type="spellStart"/>
            <w:r w:rsidRPr="00A743AE">
              <w:rPr>
                <w:rFonts w:ascii="Arial" w:eastAsia="Times New Roman" w:hAnsi="Arial" w:cs="Arial"/>
                <w:kern w:val="0"/>
                <w:sz w:val="20"/>
                <w:szCs w:val="20"/>
                <w14:ligatures w14:val="none"/>
              </w:rPr>
              <w:t>rasub</w:t>
            </w:r>
            <w:proofErr w:type="spellEnd"/>
            <w:r w:rsidRPr="00A743AE">
              <w:rPr>
                <w:rFonts w:ascii="Arial" w:eastAsia="Times New Roman" w:hAnsi="Arial" w:cs="Arial"/>
                <w:kern w:val="0"/>
                <w:sz w:val="20"/>
                <w:szCs w:val="20"/>
                <w14:ligatures w14:val="none"/>
              </w:rPr>
              <w:t>{N} I_E}{\</w:t>
            </w:r>
            <w:proofErr w:type="spellStart"/>
            <w:r w:rsidRPr="00A743AE">
              <w:rPr>
                <w:rFonts w:ascii="Arial" w:eastAsia="Times New Roman" w:hAnsi="Arial" w:cs="Arial"/>
                <w:kern w:val="0"/>
                <w:sz w:val="20"/>
                <w:szCs w:val="20"/>
                <w14:ligatures w14:val="none"/>
              </w:rPr>
              <w:t>Sdot</w:t>
            </w:r>
            <w:proofErr w:type="spellEnd"/>
            <w:r w:rsidRPr="00A743AE">
              <w:rPr>
                <w:rFonts w:ascii="Arial" w:eastAsia="Times New Roman" w:hAnsi="Arial" w:cs="Arial"/>
                <w:kern w:val="0"/>
                <w:sz w:val="20"/>
                <w:szCs w:val="20"/>
                <w14:ligatures w14:val="none"/>
              </w:rPr>
              <w:t>}$."</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Part II</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 xml:space="preserve">We added new text about non-homothetic utility models in Section 2.2.3 (The consumption plane). </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 "Under non-homothetic utility models, the income expansion path will be closer to vertical in the consumption plane, as the device owner spends more net income ($\</w:t>
            </w:r>
            <w:proofErr w:type="spellStart"/>
            <w:r w:rsidRPr="00A743AE">
              <w:rPr>
                <w:rFonts w:ascii="Arial" w:eastAsia="Times New Roman" w:hAnsi="Arial" w:cs="Arial"/>
                <w:kern w:val="0"/>
                <w:sz w:val="20"/>
                <w:szCs w:val="20"/>
                <w14:ligatures w14:val="none"/>
              </w:rPr>
              <w:t>rasub</w:t>
            </w:r>
            <w:proofErr w:type="spellEnd"/>
            <w:r w:rsidRPr="00A743AE">
              <w:rPr>
                <w:rFonts w:ascii="Arial" w:eastAsia="Times New Roman" w:hAnsi="Arial" w:cs="Arial"/>
                <w:kern w:val="0"/>
                <w:sz w:val="20"/>
                <w:szCs w:val="20"/>
                <w14:ligatures w14:val="none"/>
              </w:rPr>
              <w:t>{N}$) on other goods and less on the energy service. In the limit, consumption of the energy service is already satiated, so net income is spent completely on other goods, resulting in a vertical income expansion path."</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Finally, we added a new section in Section 4 (Discussion) entitled Comparison of CES with satiated and constant price elasticity (CPE) utility models. (The new section is too long to reproduce here.) The section contains a table that shows the numerical effect of assuming the extreme, namely that the device owner is already satiated in terms of energy service consumption. Interestingly, the car example shows some change when assuming satiated consumption of the energy service, while the lamp example does not. The reason is interesting and visible in Fig. 7. In the CES utility model, there is almost no income-effect spending on more of the energy service. And the path between the ^ and - points is already nearly vertical.</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lastRenderedPageBreak/>
              <w:t xml:space="preserve">Thanks again for this insightful </w:t>
            </w:r>
            <w:proofErr w:type="spellStart"/>
            <w:r w:rsidRPr="00A743AE">
              <w:rPr>
                <w:rFonts w:ascii="Arial" w:eastAsia="Times New Roman" w:hAnsi="Arial" w:cs="Arial"/>
                <w:kern w:val="0"/>
                <w:sz w:val="20"/>
                <w:szCs w:val="20"/>
                <w14:ligatures w14:val="none"/>
              </w:rPr>
              <w:t>coment</w:t>
            </w:r>
            <w:proofErr w:type="spellEnd"/>
            <w:r w:rsidRPr="00A743AE">
              <w:rPr>
                <w:rFonts w:ascii="Arial" w:eastAsia="Times New Roman" w:hAnsi="Arial" w:cs="Arial"/>
                <w:kern w:val="0"/>
                <w:sz w:val="20"/>
                <w:szCs w:val="20"/>
                <w14:ligatures w14:val="none"/>
              </w:rPr>
              <w:t>. It caused us to look more closely at the utility model and enabled deeper explication of the two examples.</w:t>
            </w:r>
          </w:p>
        </w:tc>
      </w:tr>
      <w:tr w:rsidR="00551EBB" w:rsidRPr="00A743AE" w14:paraId="0556AC39" w14:textId="77777777" w:rsidTr="00551EBB">
        <w:trPr>
          <w:trHeight w:val="315"/>
        </w:trPr>
        <w:tc>
          <w:tcPr>
            <w:tcW w:w="0" w:type="auto"/>
            <w:shd w:val="clear" w:color="auto" w:fill="FFFFFF" w:themeFill="background1"/>
            <w:tcMar>
              <w:top w:w="30" w:type="dxa"/>
              <w:left w:w="45" w:type="dxa"/>
              <w:bottom w:w="30" w:type="dxa"/>
              <w:right w:w="45" w:type="dxa"/>
            </w:tcMar>
            <w:hideMark/>
          </w:tcPr>
          <w:p w14:paraId="36BE72E0"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lastRenderedPageBreak/>
              <w:t>1 - Framework</w:t>
            </w:r>
          </w:p>
        </w:tc>
        <w:tc>
          <w:tcPr>
            <w:tcW w:w="0" w:type="auto"/>
            <w:shd w:val="clear" w:color="auto" w:fill="FFFFFF" w:themeFill="background1"/>
            <w:tcMar>
              <w:top w:w="30" w:type="dxa"/>
              <w:left w:w="45" w:type="dxa"/>
              <w:bottom w:w="30" w:type="dxa"/>
              <w:right w:w="45" w:type="dxa"/>
            </w:tcMar>
            <w:hideMark/>
          </w:tcPr>
          <w:p w14:paraId="4349C8DA"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6</w:t>
            </w:r>
          </w:p>
        </w:tc>
        <w:tc>
          <w:tcPr>
            <w:tcW w:w="0" w:type="auto"/>
            <w:shd w:val="clear" w:color="auto" w:fill="FFFFFF" w:themeFill="background1"/>
            <w:tcMar>
              <w:top w:w="30" w:type="dxa"/>
              <w:left w:w="45" w:type="dxa"/>
              <w:bottom w:w="30" w:type="dxa"/>
              <w:right w:w="45" w:type="dxa"/>
            </w:tcMar>
            <w:hideMark/>
          </w:tcPr>
          <w:p w14:paraId="00AB25FF"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 xml:space="preserve">My overall conclusion is that the paper does </w:t>
            </w:r>
            <w:proofErr w:type="gramStart"/>
            <w:r w:rsidRPr="00A743AE">
              <w:rPr>
                <w:rFonts w:ascii="Arial" w:eastAsia="Times New Roman" w:hAnsi="Arial" w:cs="Arial"/>
                <w:kern w:val="0"/>
                <w:sz w:val="20"/>
                <w:szCs w:val="20"/>
                <w14:ligatures w14:val="none"/>
              </w:rPr>
              <w:t>make a contribution</w:t>
            </w:r>
            <w:proofErr w:type="gramEnd"/>
            <w:r w:rsidRPr="00A743AE">
              <w:rPr>
                <w:rFonts w:ascii="Arial" w:eastAsia="Times New Roman" w:hAnsi="Arial" w:cs="Arial"/>
                <w:kern w:val="0"/>
                <w:sz w:val="20"/>
                <w:szCs w:val="20"/>
                <w14:ligatures w14:val="none"/>
              </w:rPr>
              <w:t>, but I think it’s less important than the authors claim.</w:t>
            </w:r>
          </w:p>
        </w:tc>
        <w:tc>
          <w:tcPr>
            <w:tcW w:w="7903" w:type="dxa"/>
            <w:shd w:val="clear" w:color="auto" w:fill="FFFFFF" w:themeFill="background1"/>
            <w:tcMar>
              <w:top w:w="30" w:type="dxa"/>
              <w:left w:w="45" w:type="dxa"/>
              <w:bottom w:w="30" w:type="dxa"/>
              <w:right w:w="45" w:type="dxa"/>
            </w:tcMar>
            <w:hideMark/>
          </w:tcPr>
          <w:p w14:paraId="40DD5019"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 xml:space="preserve">Thanks for this comment and for noting the contribution made by the papers. Upon further review, we see places where our prose may have sounded grandiose. </w:t>
            </w:r>
            <w:proofErr w:type="gramStart"/>
            <w:r w:rsidRPr="00A743AE">
              <w:rPr>
                <w:rFonts w:ascii="Arial" w:eastAsia="Times New Roman" w:hAnsi="Arial" w:cs="Arial"/>
                <w:kern w:val="0"/>
                <w:sz w:val="20"/>
                <w:szCs w:val="20"/>
                <w14:ligatures w14:val="none"/>
              </w:rPr>
              <w:t>So</w:t>
            </w:r>
            <w:proofErr w:type="gramEnd"/>
            <w:r w:rsidRPr="00A743AE">
              <w:rPr>
                <w:rFonts w:ascii="Arial" w:eastAsia="Times New Roman" w:hAnsi="Arial" w:cs="Arial"/>
                <w:kern w:val="0"/>
                <w:sz w:val="20"/>
                <w:szCs w:val="20"/>
                <w14:ligatures w14:val="none"/>
              </w:rPr>
              <w:t xml:space="preserve"> we take your comment to indicate that we should tone things down a bit. Changes we made include:</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Part I:</w:t>
            </w:r>
            <w:r w:rsidRPr="00A743AE">
              <w:rPr>
                <w:rFonts w:ascii="Arial" w:eastAsia="Times New Roman" w:hAnsi="Arial" w:cs="Arial"/>
                <w:kern w:val="0"/>
                <w:sz w:val="20"/>
                <w:szCs w:val="20"/>
                <w14:ligatures w14:val="none"/>
              </w:rPr>
              <w:br/>
              <w:t>* Title: Added the word "Foundations" to suggest that we are laying foundations for a better analytical approach to rebound.</w:t>
            </w:r>
            <w:r w:rsidRPr="00A743AE">
              <w:rPr>
                <w:rFonts w:ascii="Arial" w:eastAsia="Times New Roman" w:hAnsi="Arial" w:cs="Arial"/>
                <w:kern w:val="0"/>
                <w:sz w:val="20"/>
                <w:szCs w:val="20"/>
                <w14:ligatures w14:val="none"/>
              </w:rPr>
              <w:br/>
              <w:t>* bring clarity to the field --&gt; help advance clarity in the field</w:t>
            </w:r>
            <w:r w:rsidRPr="00A743AE">
              <w:rPr>
                <w:rFonts w:ascii="Arial" w:eastAsia="Times New Roman" w:hAnsi="Arial" w:cs="Arial"/>
                <w:kern w:val="0"/>
                <w:sz w:val="20"/>
                <w:szCs w:val="20"/>
                <w14:ligatures w14:val="none"/>
              </w:rPr>
              <w:br/>
              <w:t>* We endeavor to bring clarity to the field --&gt; We endeavor to help advance clarity in the field</w:t>
            </w:r>
            <w:r w:rsidRPr="00A743AE">
              <w:rPr>
                <w:rFonts w:ascii="Arial" w:eastAsia="Times New Roman" w:hAnsi="Arial" w:cs="Arial"/>
                <w:kern w:val="0"/>
                <w:sz w:val="20"/>
                <w:szCs w:val="20"/>
                <w14:ligatures w14:val="none"/>
              </w:rPr>
              <w:br/>
              <w:t>* By so doing, we enhance clarity in the field --&gt; By so doing, we help advance clarity in the field</w:t>
            </w:r>
            <w:r w:rsidRPr="00A743AE">
              <w:rPr>
                <w:rFonts w:ascii="Arial" w:eastAsia="Times New Roman" w:hAnsi="Arial" w:cs="Arial"/>
                <w:kern w:val="0"/>
                <w:sz w:val="20"/>
                <w:szCs w:val="20"/>
                <w14:ligatures w14:val="none"/>
              </w:rPr>
              <w:br/>
              <w:t>* we attempt to bring further clarity to rebound analysis --&gt; we help advance clarity in rebound analysis</w:t>
            </w:r>
            <w:r w:rsidRPr="00A743AE">
              <w:rPr>
                <w:rFonts w:ascii="Arial" w:eastAsia="Times New Roman" w:hAnsi="Arial" w:cs="Arial"/>
                <w:kern w:val="0"/>
                <w:sz w:val="20"/>
                <w:szCs w:val="20"/>
                <w14:ligatures w14:val="none"/>
              </w:rPr>
              <w:br/>
              <w:t>* We develop the first (to our knowledge) rebound analysis framework that --&gt; We develop a rebound analysis framework that</w:t>
            </w:r>
            <w:r w:rsidRPr="00A743AE">
              <w:rPr>
                <w:rFonts w:ascii="Arial" w:eastAsia="Times New Roman" w:hAnsi="Arial" w:cs="Arial"/>
                <w:kern w:val="0"/>
                <w:sz w:val="20"/>
                <w:szCs w:val="20"/>
                <w14:ligatures w14:val="none"/>
              </w:rPr>
              <w:br/>
              <w:t>* development of the first (to our knowledge) rebound analysis framework that --&gt; development of a rebound analysis framework that</w:t>
            </w:r>
            <w:r w:rsidRPr="00A743AE">
              <w:rPr>
                <w:rFonts w:ascii="Arial" w:eastAsia="Times New Roman" w:hAnsi="Arial" w:cs="Arial"/>
                <w:kern w:val="0"/>
                <w:sz w:val="20"/>
                <w:szCs w:val="20"/>
                <w14:ligatures w14:val="none"/>
              </w:rPr>
              <w:br/>
              <w:t>* the first operationalized link between --&gt; an operationalized link between</w:t>
            </w:r>
            <w:r w:rsidRPr="00A743AE">
              <w:rPr>
                <w:rFonts w:ascii="Arial" w:eastAsia="Times New Roman" w:hAnsi="Arial" w:cs="Arial"/>
                <w:kern w:val="0"/>
                <w:sz w:val="20"/>
                <w:szCs w:val="20"/>
                <w14:ligatures w14:val="none"/>
              </w:rPr>
              <w:br/>
              <w:t>* Another novel contribution of this paper (in addition to the framework itself) is the first operationalization of the macro rebound multiplier idea. --&gt; Another contribution of this paper (in addition to the framework itself) is operationalization of the macro rebound multiplier idea.</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 xml:space="preserve">Part II: </w:t>
            </w:r>
            <w:r w:rsidRPr="00A743AE">
              <w:rPr>
                <w:rFonts w:ascii="Arial" w:eastAsia="Times New Roman" w:hAnsi="Arial" w:cs="Arial"/>
                <w:kern w:val="0"/>
                <w:sz w:val="20"/>
                <w:szCs w:val="20"/>
                <w14:ligatures w14:val="none"/>
              </w:rPr>
              <w:br/>
              <w:t>* To improve clarity in the rebound field, we developed --&gt; To help improve clarity in the rebound field, we developed</w:t>
            </w:r>
            <w:r w:rsidRPr="00A743AE">
              <w:rPr>
                <w:rFonts w:ascii="Arial" w:eastAsia="Times New Roman" w:hAnsi="Arial" w:cs="Arial"/>
                <w:kern w:val="0"/>
                <w:sz w:val="20"/>
                <w:szCs w:val="20"/>
                <w14:ligatures w14:val="none"/>
              </w:rPr>
              <w:br/>
              <w:t>* to support our goal of bringing clarity to the process --&gt; to support our goal of helping to advance clarity for the process</w:t>
            </w:r>
            <w:r w:rsidRPr="00A743AE">
              <w:rPr>
                <w:rFonts w:ascii="Arial" w:eastAsia="Times New Roman" w:hAnsi="Arial" w:cs="Arial"/>
                <w:kern w:val="0"/>
                <w:sz w:val="20"/>
                <w:szCs w:val="20"/>
                <w14:ligatures w14:val="none"/>
              </w:rPr>
              <w:br/>
              <w:t>* to bring clarity to --&gt; to help advance clarity of</w:t>
            </w:r>
            <w:r w:rsidRPr="00A743AE">
              <w:rPr>
                <w:rFonts w:ascii="Arial" w:eastAsia="Times New Roman" w:hAnsi="Arial" w:cs="Arial"/>
                <w:kern w:val="0"/>
                <w:sz w:val="20"/>
                <w:szCs w:val="20"/>
                <w14:ligatures w14:val="none"/>
              </w:rPr>
              <w:br/>
              <w:t>* adding conceptual clarity to the field of energy rebound --&gt; helping to advance conceptual clarity in the field of energy rebound</w:t>
            </w:r>
            <w:r w:rsidRPr="00A743AE">
              <w:rPr>
                <w:rFonts w:ascii="Arial" w:eastAsia="Times New Roman" w:hAnsi="Arial" w:cs="Arial"/>
                <w:kern w:val="0"/>
                <w:sz w:val="20"/>
                <w:szCs w:val="20"/>
                <w14:ligatures w14:val="none"/>
              </w:rPr>
              <w:br/>
              <w:t>* we advance clarity in the field of energy rebound --&gt; we help to advance clarity in the field of energy rebound</w:t>
            </w:r>
            <w:r w:rsidRPr="00A743AE">
              <w:rPr>
                <w:rFonts w:ascii="Arial" w:eastAsia="Times New Roman" w:hAnsi="Arial" w:cs="Arial"/>
                <w:kern w:val="0"/>
                <w:sz w:val="20"/>
                <w:szCs w:val="20"/>
                <w14:ligatures w14:val="none"/>
              </w:rPr>
              <w:br/>
              <w:t>* The key contributions of this paper are (</w:t>
            </w:r>
            <w:proofErr w:type="spellStart"/>
            <w:r w:rsidRPr="00A743AE">
              <w:rPr>
                <w:rFonts w:ascii="Arial" w:eastAsia="Times New Roman" w:hAnsi="Arial" w:cs="Arial"/>
                <w:kern w:val="0"/>
                <w:sz w:val="20"/>
                <w:szCs w:val="20"/>
                <w14:ligatures w14:val="none"/>
              </w:rPr>
              <w:t>i</w:t>
            </w:r>
            <w:proofErr w:type="spellEnd"/>
            <w:r w:rsidRPr="00A743AE">
              <w:rPr>
                <w:rFonts w:ascii="Arial" w:eastAsia="Times New Roman" w:hAnsi="Arial" w:cs="Arial"/>
                <w:kern w:val="0"/>
                <w:sz w:val="20"/>
                <w:szCs w:val="20"/>
                <w14:ligatures w14:val="none"/>
              </w:rPr>
              <w:t xml:space="preserve">) development of the first (to our knowledge) mutually consistent and numerically precise visualizations --&gt; The key contributions of </w:t>
            </w:r>
            <w:r w:rsidRPr="00A743AE">
              <w:rPr>
                <w:rFonts w:ascii="Arial" w:eastAsia="Times New Roman" w:hAnsi="Arial" w:cs="Arial"/>
                <w:kern w:val="0"/>
                <w:sz w:val="20"/>
                <w:szCs w:val="20"/>
                <w14:ligatures w14:val="none"/>
              </w:rPr>
              <w:lastRenderedPageBreak/>
              <w:t>this paper are (</w:t>
            </w:r>
            <w:proofErr w:type="spellStart"/>
            <w:r w:rsidRPr="00A743AE">
              <w:rPr>
                <w:rFonts w:ascii="Arial" w:eastAsia="Times New Roman" w:hAnsi="Arial" w:cs="Arial"/>
                <w:kern w:val="0"/>
                <w:sz w:val="20"/>
                <w:szCs w:val="20"/>
                <w14:ligatures w14:val="none"/>
              </w:rPr>
              <w:t>i</w:t>
            </w:r>
            <w:proofErr w:type="spellEnd"/>
            <w:r w:rsidRPr="00A743AE">
              <w:rPr>
                <w:rFonts w:ascii="Arial" w:eastAsia="Times New Roman" w:hAnsi="Arial" w:cs="Arial"/>
                <w:kern w:val="0"/>
                <w:sz w:val="20"/>
                <w:szCs w:val="20"/>
                <w14:ligatures w14:val="none"/>
              </w:rPr>
              <w:t>) development of mutually consistent and numerically precise visualizations</w:t>
            </w:r>
          </w:p>
        </w:tc>
      </w:tr>
      <w:tr w:rsidR="00551EBB" w:rsidRPr="00A743AE" w14:paraId="16BFDED5" w14:textId="77777777" w:rsidTr="00551EBB">
        <w:trPr>
          <w:trHeight w:val="315"/>
        </w:trPr>
        <w:tc>
          <w:tcPr>
            <w:tcW w:w="0" w:type="auto"/>
            <w:shd w:val="clear" w:color="auto" w:fill="FFFFFF" w:themeFill="background1"/>
            <w:tcMar>
              <w:top w:w="30" w:type="dxa"/>
              <w:left w:w="45" w:type="dxa"/>
              <w:bottom w:w="30" w:type="dxa"/>
              <w:right w:w="45" w:type="dxa"/>
            </w:tcMar>
            <w:hideMark/>
          </w:tcPr>
          <w:p w14:paraId="6919BD2D"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lastRenderedPageBreak/>
              <w:t>1 - Framework</w:t>
            </w:r>
          </w:p>
        </w:tc>
        <w:tc>
          <w:tcPr>
            <w:tcW w:w="0" w:type="auto"/>
            <w:shd w:val="clear" w:color="auto" w:fill="FFFFFF" w:themeFill="background1"/>
            <w:tcMar>
              <w:top w:w="30" w:type="dxa"/>
              <w:left w:w="45" w:type="dxa"/>
              <w:bottom w:w="30" w:type="dxa"/>
              <w:right w:w="45" w:type="dxa"/>
            </w:tcMar>
            <w:hideMark/>
          </w:tcPr>
          <w:p w14:paraId="1B7B6993"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7</w:t>
            </w:r>
          </w:p>
        </w:tc>
        <w:tc>
          <w:tcPr>
            <w:tcW w:w="0" w:type="auto"/>
            <w:shd w:val="clear" w:color="auto" w:fill="FFFFFF" w:themeFill="background1"/>
            <w:tcMar>
              <w:top w:w="30" w:type="dxa"/>
              <w:left w:w="45" w:type="dxa"/>
              <w:bottom w:w="30" w:type="dxa"/>
              <w:right w:w="45" w:type="dxa"/>
            </w:tcMar>
            <w:hideMark/>
          </w:tcPr>
          <w:p w14:paraId="688DFA67"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 xml:space="preserve">I think my only “specific” point is that the budget constraint (eq. 4) would normally be written in terms of the general quantities of energy, other consumption, and so on, rather than solely in terms of the starting point (o superscript variables) – as written, it doesn’t say anything about whether the other expenditure combinations </w:t>
            </w:r>
            <w:proofErr w:type="gramStart"/>
            <w:r w:rsidRPr="00A743AE">
              <w:rPr>
                <w:rFonts w:ascii="Arial" w:eastAsia="Times New Roman" w:hAnsi="Arial" w:cs="Arial"/>
                <w:kern w:val="0"/>
                <w:sz w:val="20"/>
                <w:szCs w:val="20"/>
                <w14:ligatures w14:val="none"/>
              </w:rPr>
              <w:t>have to</w:t>
            </w:r>
            <w:proofErr w:type="gramEnd"/>
            <w:r w:rsidRPr="00A743AE">
              <w:rPr>
                <w:rFonts w:ascii="Arial" w:eastAsia="Times New Roman" w:hAnsi="Arial" w:cs="Arial"/>
                <w:kern w:val="0"/>
                <w:sz w:val="20"/>
                <w:szCs w:val="20"/>
                <w14:ligatures w14:val="none"/>
              </w:rPr>
              <w:t xml:space="preserve"> add up to anything.</w:t>
            </w:r>
          </w:p>
        </w:tc>
        <w:tc>
          <w:tcPr>
            <w:tcW w:w="7903" w:type="dxa"/>
            <w:shd w:val="clear" w:color="auto" w:fill="FFFFFF" w:themeFill="background1"/>
            <w:tcMar>
              <w:top w:w="30" w:type="dxa"/>
              <w:left w:w="45" w:type="dxa"/>
              <w:bottom w:w="30" w:type="dxa"/>
              <w:right w:w="45" w:type="dxa"/>
            </w:tcMar>
            <w:hideMark/>
          </w:tcPr>
          <w:p w14:paraId="29CC1EA1"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 xml:space="preserve">Thanks for this comment. The equation in question shows the original consumption of the energy service as </w:t>
            </w:r>
            <w:proofErr w:type="spellStart"/>
            <w:r w:rsidRPr="00A743AE">
              <w:rPr>
                <w:rFonts w:ascii="Arial" w:eastAsia="Times New Roman" w:hAnsi="Arial" w:cs="Arial"/>
                <w:kern w:val="0"/>
                <w:sz w:val="20"/>
                <w:szCs w:val="20"/>
                <w14:ligatures w14:val="none"/>
              </w:rPr>
              <w:t>C_dot_s_orig</w:t>
            </w:r>
            <w:proofErr w:type="spellEnd"/>
            <w:r w:rsidRPr="00A743AE">
              <w:rPr>
                <w:rFonts w:ascii="Arial" w:eastAsia="Times New Roman" w:hAnsi="Arial" w:cs="Arial"/>
                <w:kern w:val="0"/>
                <w:sz w:val="20"/>
                <w:szCs w:val="20"/>
                <w14:ligatures w14:val="none"/>
              </w:rPr>
              <w:t xml:space="preserve"> which is simply the product of the original price of the energy service (</w:t>
            </w:r>
            <w:proofErr w:type="spellStart"/>
            <w:r w:rsidRPr="00A743AE">
              <w:rPr>
                <w:rFonts w:ascii="Arial" w:eastAsia="Times New Roman" w:hAnsi="Arial" w:cs="Arial"/>
                <w:kern w:val="0"/>
                <w:sz w:val="20"/>
                <w:szCs w:val="20"/>
                <w14:ligatures w14:val="none"/>
              </w:rPr>
              <w:t>p_s_orig</w:t>
            </w:r>
            <w:proofErr w:type="spellEnd"/>
            <w:r w:rsidRPr="00A743AE">
              <w:rPr>
                <w:rFonts w:ascii="Arial" w:eastAsia="Times New Roman" w:hAnsi="Arial" w:cs="Arial"/>
                <w:kern w:val="0"/>
                <w:sz w:val="20"/>
                <w:szCs w:val="20"/>
                <w14:ligatures w14:val="none"/>
              </w:rPr>
              <w:t>) and the original rate of consumption of the energy service (</w:t>
            </w:r>
            <w:proofErr w:type="spellStart"/>
            <w:r w:rsidRPr="00A743AE">
              <w:rPr>
                <w:rFonts w:ascii="Arial" w:eastAsia="Times New Roman" w:hAnsi="Arial" w:cs="Arial"/>
                <w:kern w:val="0"/>
                <w:sz w:val="20"/>
                <w:szCs w:val="20"/>
                <w14:ligatures w14:val="none"/>
              </w:rPr>
              <w:t>q_dot_s_orig</w:t>
            </w:r>
            <w:proofErr w:type="spellEnd"/>
            <w:r w:rsidRPr="00A743AE">
              <w:rPr>
                <w:rFonts w:ascii="Arial" w:eastAsia="Times New Roman" w:hAnsi="Arial" w:cs="Arial"/>
                <w:kern w:val="0"/>
                <w:sz w:val="20"/>
                <w:szCs w:val="20"/>
                <w14:ligatures w14:val="none"/>
              </w:rPr>
              <w:t xml:space="preserve">). We added a new equation beneath the equation in question where </w:t>
            </w:r>
            <w:proofErr w:type="spellStart"/>
            <w:r w:rsidRPr="00A743AE">
              <w:rPr>
                <w:rFonts w:ascii="Arial" w:eastAsia="Times New Roman" w:hAnsi="Arial" w:cs="Arial"/>
                <w:kern w:val="0"/>
                <w:sz w:val="20"/>
                <w:szCs w:val="20"/>
                <w14:ligatures w14:val="none"/>
              </w:rPr>
              <w:t>p_s_orig</w:t>
            </w:r>
            <w:proofErr w:type="spellEnd"/>
            <w:r w:rsidRPr="00A743AE">
              <w:rPr>
                <w:rFonts w:ascii="Arial" w:eastAsia="Times New Roman" w:hAnsi="Arial" w:cs="Arial"/>
                <w:kern w:val="0"/>
                <w:sz w:val="20"/>
                <w:szCs w:val="20"/>
                <w14:ligatures w14:val="none"/>
              </w:rPr>
              <w:t xml:space="preserve"> * </w:t>
            </w:r>
            <w:proofErr w:type="spellStart"/>
            <w:r w:rsidRPr="00A743AE">
              <w:rPr>
                <w:rFonts w:ascii="Arial" w:eastAsia="Times New Roman" w:hAnsi="Arial" w:cs="Arial"/>
                <w:kern w:val="0"/>
                <w:sz w:val="20"/>
                <w:szCs w:val="20"/>
                <w14:ligatures w14:val="none"/>
              </w:rPr>
              <w:t>q_dot_s_orig</w:t>
            </w:r>
            <w:proofErr w:type="spellEnd"/>
            <w:r w:rsidRPr="00A743AE">
              <w:rPr>
                <w:rFonts w:ascii="Arial" w:eastAsia="Times New Roman" w:hAnsi="Arial" w:cs="Arial"/>
                <w:kern w:val="0"/>
                <w:sz w:val="20"/>
                <w:szCs w:val="20"/>
                <w14:ligatures w14:val="none"/>
              </w:rPr>
              <w:t xml:space="preserve"> is substituted for </w:t>
            </w:r>
            <w:proofErr w:type="spellStart"/>
            <w:r w:rsidRPr="00A743AE">
              <w:rPr>
                <w:rFonts w:ascii="Arial" w:eastAsia="Times New Roman" w:hAnsi="Arial" w:cs="Arial"/>
                <w:kern w:val="0"/>
                <w:sz w:val="20"/>
                <w:szCs w:val="20"/>
                <w14:ligatures w14:val="none"/>
              </w:rPr>
              <w:t>C_dot_s_orig</w:t>
            </w:r>
            <w:proofErr w:type="spellEnd"/>
            <w:r w:rsidRPr="00A743AE">
              <w:rPr>
                <w:rFonts w:ascii="Arial" w:eastAsia="Times New Roman" w:hAnsi="Arial" w:cs="Arial"/>
                <w:kern w:val="0"/>
                <w:sz w:val="20"/>
                <w:szCs w:val="20"/>
                <w14:ligatures w14:val="none"/>
              </w:rPr>
              <w:t xml:space="preserve">. Similarly, </w:t>
            </w:r>
            <w:proofErr w:type="spellStart"/>
            <w:r w:rsidRPr="00A743AE">
              <w:rPr>
                <w:rFonts w:ascii="Arial" w:eastAsia="Times New Roman" w:hAnsi="Arial" w:cs="Arial"/>
                <w:kern w:val="0"/>
                <w:sz w:val="20"/>
                <w:szCs w:val="20"/>
                <w14:ligatures w14:val="none"/>
              </w:rPr>
              <w:t>p_o_orig</w:t>
            </w:r>
            <w:proofErr w:type="spellEnd"/>
            <w:r w:rsidRPr="00A743AE">
              <w:rPr>
                <w:rFonts w:ascii="Arial" w:eastAsia="Times New Roman" w:hAnsi="Arial" w:cs="Arial"/>
                <w:kern w:val="0"/>
                <w:sz w:val="20"/>
                <w:szCs w:val="20"/>
                <w14:ligatures w14:val="none"/>
              </w:rPr>
              <w:t xml:space="preserve"> * </w:t>
            </w:r>
            <w:proofErr w:type="spellStart"/>
            <w:r w:rsidRPr="00A743AE">
              <w:rPr>
                <w:rFonts w:ascii="Arial" w:eastAsia="Times New Roman" w:hAnsi="Arial" w:cs="Arial"/>
                <w:kern w:val="0"/>
                <w:sz w:val="20"/>
                <w:szCs w:val="20"/>
                <w14:ligatures w14:val="none"/>
              </w:rPr>
              <w:t>q_dot_o_orig</w:t>
            </w:r>
            <w:proofErr w:type="spellEnd"/>
            <w:r w:rsidRPr="00A743AE">
              <w:rPr>
                <w:rFonts w:ascii="Arial" w:eastAsia="Times New Roman" w:hAnsi="Arial" w:cs="Arial"/>
                <w:kern w:val="0"/>
                <w:sz w:val="20"/>
                <w:szCs w:val="20"/>
                <w14:ligatures w14:val="none"/>
              </w:rPr>
              <w:t xml:space="preserve"> is substituted for </w:t>
            </w:r>
            <w:proofErr w:type="spellStart"/>
            <w:r w:rsidRPr="00A743AE">
              <w:rPr>
                <w:rFonts w:ascii="Arial" w:eastAsia="Times New Roman" w:hAnsi="Arial" w:cs="Arial"/>
                <w:kern w:val="0"/>
                <w:sz w:val="20"/>
                <w:szCs w:val="20"/>
                <w14:ligatures w14:val="none"/>
              </w:rPr>
              <w:t>C_dot_o_orig</w:t>
            </w:r>
            <w:proofErr w:type="spellEnd"/>
            <w:r w:rsidRPr="00A743AE">
              <w:rPr>
                <w:rFonts w:ascii="Arial" w:eastAsia="Times New Roman" w:hAnsi="Arial" w:cs="Arial"/>
                <w:kern w:val="0"/>
                <w:sz w:val="20"/>
                <w:szCs w:val="20"/>
                <w14:ligatures w14:val="none"/>
              </w:rPr>
              <w:t>. We trust this addition addresses the concern.</w:t>
            </w:r>
          </w:p>
        </w:tc>
      </w:tr>
    </w:tbl>
    <w:p w14:paraId="46504FEF" w14:textId="77777777" w:rsidR="00A743AE" w:rsidRDefault="00A743AE"/>
    <w:p w14:paraId="2454813C" w14:textId="77777777" w:rsidR="00A743AE" w:rsidRDefault="00A743AE"/>
    <w:sectPr w:rsidR="00A743AE" w:rsidSect="00551EB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3AE"/>
    <w:rsid w:val="003325BE"/>
    <w:rsid w:val="003C0C8D"/>
    <w:rsid w:val="003D5620"/>
    <w:rsid w:val="00551EBB"/>
    <w:rsid w:val="005E6847"/>
    <w:rsid w:val="006A7896"/>
    <w:rsid w:val="007B7F8F"/>
    <w:rsid w:val="0093722B"/>
    <w:rsid w:val="0095033E"/>
    <w:rsid w:val="00A743AE"/>
    <w:rsid w:val="00DF639D"/>
    <w:rsid w:val="00E74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2DD153"/>
  <w15:chartTrackingRefBased/>
  <w15:docId w15:val="{3CB6CC50-EF81-0242-9407-7BDCEBA76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A743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3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3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3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3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3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3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3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3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3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43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43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3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3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3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3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3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3AE"/>
    <w:rPr>
      <w:rFonts w:eastAsiaTheme="majorEastAsia" w:cstheme="majorBidi"/>
      <w:color w:val="272727" w:themeColor="text1" w:themeTint="D8"/>
    </w:rPr>
  </w:style>
  <w:style w:type="paragraph" w:styleId="Title">
    <w:name w:val="Title"/>
    <w:basedOn w:val="Normal"/>
    <w:next w:val="Normal"/>
    <w:link w:val="TitleChar"/>
    <w:uiPriority w:val="10"/>
    <w:qFormat/>
    <w:rsid w:val="00A743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3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3A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3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3A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743AE"/>
    <w:rPr>
      <w:i/>
      <w:iCs/>
      <w:color w:val="404040" w:themeColor="text1" w:themeTint="BF"/>
    </w:rPr>
  </w:style>
  <w:style w:type="paragraph" w:styleId="ListParagraph">
    <w:name w:val="List Paragraph"/>
    <w:basedOn w:val="Normal"/>
    <w:uiPriority w:val="34"/>
    <w:qFormat/>
    <w:rsid w:val="00A743AE"/>
    <w:pPr>
      <w:ind w:left="720"/>
      <w:contextualSpacing/>
    </w:pPr>
  </w:style>
  <w:style w:type="character" w:styleId="IntenseEmphasis">
    <w:name w:val="Intense Emphasis"/>
    <w:basedOn w:val="DefaultParagraphFont"/>
    <w:uiPriority w:val="21"/>
    <w:qFormat/>
    <w:rsid w:val="00A743AE"/>
    <w:rPr>
      <w:i/>
      <w:iCs/>
      <w:color w:val="0F4761" w:themeColor="accent1" w:themeShade="BF"/>
    </w:rPr>
  </w:style>
  <w:style w:type="paragraph" w:styleId="IntenseQuote">
    <w:name w:val="Intense Quote"/>
    <w:basedOn w:val="Normal"/>
    <w:next w:val="Normal"/>
    <w:link w:val="IntenseQuoteChar"/>
    <w:uiPriority w:val="30"/>
    <w:qFormat/>
    <w:rsid w:val="00A743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3AE"/>
    <w:rPr>
      <w:i/>
      <w:iCs/>
      <w:color w:val="0F4761" w:themeColor="accent1" w:themeShade="BF"/>
    </w:rPr>
  </w:style>
  <w:style w:type="character" w:styleId="IntenseReference">
    <w:name w:val="Intense Reference"/>
    <w:basedOn w:val="DefaultParagraphFont"/>
    <w:uiPriority w:val="32"/>
    <w:qFormat/>
    <w:rsid w:val="00A743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555795">
      <w:bodyDiv w:val="1"/>
      <w:marLeft w:val="0"/>
      <w:marRight w:val="0"/>
      <w:marTop w:val="0"/>
      <w:marBottom w:val="0"/>
      <w:divBdr>
        <w:top w:val="none" w:sz="0" w:space="0" w:color="auto"/>
        <w:left w:val="none" w:sz="0" w:space="0" w:color="auto"/>
        <w:bottom w:val="none" w:sz="0" w:space="0" w:color="auto"/>
        <w:right w:val="none" w:sz="0" w:space="0" w:color="auto"/>
      </w:divBdr>
    </w:div>
    <w:div w:id="1756515930">
      <w:bodyDiv w:val="1"/>
      <w:marLeft w:val="0"/>
      <w:marRight w:val="0"/>
      <w:marTop w:val="0"/>
      <w:marBottom w:val="0"/>
      <w:divBdr>
        <w:top w:val="none" w:sz="0" w:space="0" w:color="auto"/>
        <w:left w:val="none" w:sz="0" w:space="0" w:color="auto"/>
        <w:bottom w:val="none" w:sz="0" w:space="0" w:color="auto"/>
        <w:right w:val="none" w:sz="0" w:space="0" w:color="auto"/>
      </w:divBdr>
    </w:div>
    <w:div w:id="196341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2637</Words>
  <Characters>15034</Characters>
  <Application>Microsoft Office Word</Application>
  <DocSecurity>0</DocSecurity>
  <Lines>125</Lines>
  <Paragraphs>35</Paragraphs>
  <ScaleCrop>false</ScaleCrop>
  <Company/>
  <LinksUpToDate>false</LinksUpToDate>
  <CharactersWithSpaces>17636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Heun</dc:creator>
  <cp:keywords/>
  <dc:description/>
  <cp:lastModifiedBy>Matthew Heun</cp:lastModifiedBy>
  <cp:revision>7</cp:revision>
  <dcterms:created xsi:type="dcterms:W3CDTF">2024-07-08T18:11:00Z</dcterms:created>
  <dcterms:modified xsi:type="dcterms:W3CDTF">2024-07-08T19:53:00Z</dcterms:modified>
</cp:coreProperties>
</file>