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203B" w14:textId="489983EA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8F9">
        <w:rPr>
          <w:rFonts w:ascii="Georgia" w:hAnsi="Georgia"/>
        </w:rPr>
        <w:t>4 November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2C032E55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</w:t>
      </w:r>
      <w:r w:rsidR="00F428F9">
        <w:rPr>
          <w:rFonts w:ascii="Georgia" w:hAnsi="Georgia"/>
          <w:lang w:val="en-GB"/>
        </w:rPr>
        <w:t>re</w:t>
      </w:r>
      <w:r w:rsidR="000D64C7">
        <w:rPr>
          <w:rFonts w:ascii="Georgia" w:hAnsi="Georgia"/>
          <w:lang w:val="en-GB"/>
        </w:rPr>
        <w:t xml:space="preserve">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7E1DB736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  <w:r w:rsidR="00512F43">
        <w:rPr>
          <w:rFonts w:ascii="Georgia" w:hAnsi="Georgia"/>
          <w:bCs/>
          <w:lang w:val="en-GB"/>
        </w:rPr>
        <w:t xml:space="preserve"> (23-007)</w:t>
      </w:r>
    </w:p>
    <w:p w14:paraId="1FF06EA0" w14:textId="2540B0F3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  <w:r w:rsidR="00512F43">
        <w:rPr>
          <w:rFonts w:ascii="Georgia" w:hAnsi="Georgia"/>
          <w:bCs/>
          <w:lang w:val="en-GB"/>
        </w:rPr>
        <w:t xml:space="preserve"> (23-008)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18829821" w:rsidR="000F6639" w:rsidRDefault="000524A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reviewer guidance, w</w:t>
      </w:r>
      <w:r w:rsidR="004759FA" w:rsidRPr="004759FA">
        <w:rPr>
          <w:rFonts w:ascii="Georgia" w:hAnsi="Georgia"/>
          <w:lang w:val="en-GB"/>
        </w:rPr>
        <w:t xml:space="preserve">e </w:t>
      </w:r>
      <w:r w:rsidR="004759FA">
        <w:rPr>
          <w:rFonts w:ascii="Georgia" w:hAnsi="Georgia"/>
          <w:lang w:val="en-GB"/>
        </w:rPr>
        <w:t>re-</w:t>
      </w:r>
      <w:r w:rsidR="004759FA"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="004759FA"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</w:t>
      </w:r>
      <w:r w:rsidR="00186690">
        <w:rPr>
          <w:rFonts w:ascii="Georgia" w:hAnsi="Georgia"/>
          <w:lang w:val="en-GB"/>
        </w:rPr>
        <w:t>uary</w:t>
      </w:r>
      <w:r w:rsidR="004759FA"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5A505E04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</w:t>
      </w:r>
      <w:r w:rsidR="0097479E">
        <w:rPr>
          <w:rFonts w:ascii="Georgia" w:hAnsi="Georgia"/>
          <w:lang w:val="en-GB"/>
        </w:rPr>
        <w:t xml:space="preserve">(Parts I and II) </w:t>
      </w:r>
      <w:r w:rsidR="00F428F9">
        <w:rPr>
          <w:rFonts w:ascii="Georgia" w:hAnsi="Georgia"/>
          <w:lang w:val="en-GB"/>
        </w:rPr>
        <w:t>were</w:t>
      </w:r>
      <w:r w:rsidR="00860E64">
        <w:rPr>
          <w:rFonts w:ascii="Georgia" w:hAnsi="Georgia"/>
          <w:lang w:val="en-GB"/>
        </w:rPr>
        <w:t xml:space="preserve"> submitted </w:t>
      </w:r>
      <w:r w:rsidR="00BE29D5">
        <w:rPr>
          <w:rFonts w:ascii="Georgia" w:hAnsi="Georgia"/>
          <w:lang w:val="en-GB"/>
        </w:rPr>
        <w:t xml:space="preserve">under </w:t>
      </w:r>
      <w:r w:rsidR="00860E64">
        <w:rPr>
          <w:rFonts w:ascii="Georgia" w:hAnsi="Georgia"/>
          <w:lang w:val="en-GB"/>
        </w:rPr>
        <w:t>in July 2024.</w:t>
      </w:r>
    </w:p>
    <w:p w14:paraId="5266978F" w14:textId="24776F92" w:rsidR="00F428F9" w:rsidRDefault="00F428F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second set of referee reports for both papers (Parts I and II) were received on 10 September 2024.</w:t>
      </w:r>
    </w:p>
    <w:p w14:paraId="64607C77" w14:textId="0410095B" w:rsidR="00F428F9" w:rsidRDefault="00F428F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In response to the second set of referee reports, we made revisions and are resubmitting both papers under this cover letter.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RESPONSE TO REFEREE REPORTS</w:t>
      </w:r>
    </w:p>
    <w:p w14:paraId="59FE6077" w14:textId="3E1C05B4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We are grateful for the </w:t>
      </w:r>
      <w:r w:rsidR="00B35E82">
        <w:rPr>
          <w:rFonts w:ascii="Georgia" w:hAnsi="Georgia"/>
          <w:lang w:val="en-GB"/>
        </w:rPr>
        <w:t xml:space="preserve">second set of </w:t>
      </w:r>
      <w:r>
        <w:rPr>
          <w:rFonts w:ascii="Georgia" w:hAnsi="Georgia"/>
          <w:lang w:val="en-GB"/>
        </w:rPr>
        <w:t>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7B50DE">
        <w:rPr>
          <w:rFonts w:ascii="Georgia" w:hAnsi="Georgia"/>
          <w:lang w:val="en-GB"/>
        </w:rPr>
        <w:t>s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7BD72DA4" w14:textId="77777777" w:rsidR="007D0C66" w:rsidRDefault="007D0C66" w:rsidP="004759FA">
      <w:pPr>
        <w:jc w:val="both"/>
        <w:rPr>
          <w:rFonts w:ascii="Georgia" w:hAnsi="Georgia"/>
          <w:lang w:val="en-GB"/>
        </w:rPr>
      </w:pPr>
    </w:p>
    <w:p w14:paraId="327AEEF2" w14:textId="0B72C6E2" w:rsidR="00B35E82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Restat</w:t>
      </w:r>
      <w:r w:rsidR="006C34C5">
        <w:rPr>
          <w:rFonts w:ascii="Georgia" w:hAnsi="Georgia"/>
          <w:lang w:val="en-GB"/>
        </w:rPr>
        <w:t>ing</w:t>
      </w:r>
      <w:r>
        <w:rPr>
          <w:rFonts w:ascii="Georgia" w:hAnsi="Georgia"/>
          <w:lang w:val="en-GB"/>
        </w:rPr>
        <w:t xml:space="preserve"> the budget constraint</w:t>
      </w:r>
      <w:r w:rsidR="00B80DA1">
        <w:rPr>
          <w:rFonts w:ascii="Georgia" w:hAnsi="Georgia"/>
          <w:lang w:val="en-GB"/>
        </w:rPr>
        <w:t xml:space="preserve"> in Part I</w:t>
      </w:r>
      <w:r>
        <w:rPr>
          <w:rFonts w:ascii="Georgia" w:hAnsi="Georgia"/>
          <w:lang w:val="en-GB"/>
        </w:rPr>
        <w:t>.</w:t>
      </w:r>
    </w:p>
    <w:p w14:paraId="75711C6E" w14:textId="52BBD3F1" w:rsidR="002C45CE" w:rsidRDefault="002C45C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that we define emplacement effects without behavioural changes.</w:t>
      </w:r>
    </w:p>
    <w:p w14:paraId="320FA164" w14:textId="6169BD6D" w:rsidR="00B35E82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Chang</w:t>
      </w:r>
      <w:r w:rsidR="006C34C5">
        <w:rPr>
          <w:rFonts w:ascii="Georgia" w:hAnsi="Georgia"/>
          <w:lang w:val="en-GB"/>
        </w:rPr>
        <w:t>ing</w:t>
      </w:r>
      <w:r>
        <w:rPr>
          <w:rFonts w:ascii="Georgia" w:hAnsi="Georgia"/>
          <w:lang w:val="en-GB"/>
        </w:rPr>
        <w:t xml:space="preserve"> nomenclature to use subscript “g” instead of “o” for other goods and services</w:t>
      </w:r>
      <w:r w:rsidR="00B80DA1">
        <w:rPr>
          <w:rFonts w:ascii="Georgia" w:hAnsi="Georgia"/>
          <w:lang w:val="en-GB"/>
        </w:rPr>
        <w:t xml:space="preserve"> throughout both papers.</w:t>
      </w:r>
    </w:p>
    <w:p w14:paraId="553157A4" w14:textId="176C570D" w:rsidR="00B80DA1" w:rsidRDefault="00B80DA1" w:rsidP="00B80DA1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that the framework applies to a single-device energy efficiency upgrade in both Part I and Part II.</w:t>
      </w:r>
    </w:p>
    <w:p w14:paraId="3F87AD1B" w14:textId="0AADBE8B" w:rsidR="00F81E41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Mov</w:t>
      </w:r>
      <w:r w:rsidR="006C34C5">
        <w:rPr>
          <w:rFonts w:ascii="Georgia" w:hAnsi="Georgia"/>
          <w:lang w:val="en-GB"/>
        </w:rPr>
        <w:t xml:space="preserve">ing </w:t>
      </w:r>
      <w:r>
        <w:rPr>
          <w:rFonts w:ascii="Georgia" w:hAnsi="Georgia"/>
          <w:lang w:val="en-GB"/>
        </w:rPr>
        <w:t>the description of rebound planes closer to the first example in Part II.</w:t>
      </w:r>
    </w:p>
    <w:p w14:paraId="6EC501FD" w14:textId="7794BACF" w:rsidR="00B35E82" w:rsidRDefault="006C34C5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B80DA1">
        <w:rPr>
          <w:rFonts w:ascii="Georgia" w:hAnsi="Georgia"/>
          <w:lang w:val="en-GB"/>
        </w:rPr>
        <w:t>o longer repeat</w:t>
      </w:r>
      <w:r>
        <w:rPr>
          <w:rFonts w:ascii="Georgia" w:hAnsi="Georgia"/>
          <w:lang w:val="en-GB"/>
        </w:rPr>
        <w:t xml:space="preserve">ing </w:t>
      </w:r>
      <w:r w:rsidR="00B80DA1">
        <w:rPr>
          <w:rFonts w:ascii="Georgia" w:hAnsi="Georgia"/>
          <w:lang w:val="en-GB"/>
        </w:rPr>
        <w:t>values in results tables in Part II. Blanks indicate unchanging values.</w:t>
      </w:r>
    </w:p>
    <w:p w14:paraId="3485B7FB" w14:textId="4E68B7F3" w:rsidR="00B80DA1" w:rsidRDefault="002C45C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</w:t>
      </w:r>
      <w:r w:rsidR="006C34C5">
        <w:rPr>
          <w:rFonts w:ascii="Georgia" w:hAnsi="Georgia"/>
          <w:lang w:val="en-GB"/>
        </w:rPr>
        <w:t xml:space="preserve">fying </w:t>
      </w:r>
      <w:r>
        <w:rPr>
          <w:rFonts w:ascii="Georgia" w:hAnsi="Georgia"/>
          <w:lang w:val="en-GB"/>
        </w:rPr>
        <w:t>our results for the lamp example via a sensitivity study in a new section 4.4.</w:t>
      </w:r>
    </w:p>
    <w:p w14:paraId="14E06D22" w14:textId="1DD6DE98" w:rsidR="00005E7F" w:rsidRDefault="00005E7F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our </w:t>
      </w:r>
      <w:r w:rsidR="006C34C5">
        <w:rPr>
          <w:rFonts w:ascii="Georgia" w:hAnsi="Georgia"/>
          <w:lang w:val="en-GB"/>
        </w:rPr>
        <w:t xml:space="preserve">description of </w:t>
      </w:r>
      <w:r>
        <w:rPr>
          <w:rFonts w:ascii="Georgia" w:hAnsi="Georgia"/>
          <w:lang w:val="en-GB"/>
        </w:rPr>
        <w:t>the macro multiplier (k).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7F9F55CE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</w:t>
      </w:r>
      <w:r w:rsidR="00B01435">
        <w:rPr>
          <w:rFonts w:ascii="Georgia" w:hAnsi="Georgia"/>
          <w:lang w:val="en-GB"/>
        </w:rPr>
        <w:t xml:space="preserve">these </w:t>
      </w:r>
      <w:r>
        <w:rPr>
          <w:rFonts w:ascii="Georgia" w:hAnsi="Georgia"/>
          <w:lang w:val="en-GB"/>
        </w:rPr>
        <w:t>paper</w:t>
      </w:r>
      <w:r w:rsidR="00B0143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4ACF7658" w14:textId="035F8AD1" w:rsidR="00206480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</w:t>
      </w:r>
      <w:r w:rsidR="00964BDA">
        <w:rPr>
          <w:rFonts w:ascii="Georgia" w:hAnsi="Georgia"/>
          <w:lang w:val="en-GB"/>
        </w:rPr>
        <w:t>uperus</w:t>
      </w:r>
      <w:proofErr w:type="spellEnd"/>
      <w:r>
        <w:rPr>
          <w:rFonts w:ascii="Georgia" w:hAnsi="Georgia"/>
          <w:lang w:val="en-GB"/>
        </w:rPr>
        <w:t xml:space="preserve"> Heun</w:t>
      </w:r>
      <w:r w:rsidR="00964BDA">
        <w:rPr>
          <w:rFonts w:ascii="Georgia" w:hAnsi="Georgia"/>
          <w:lang w:val="en-GB"/>
        </w:rPr>
        <w:t xml:space="preserve"> (for co-authors Gregor </w:t>
      </w:r>
      <w:proofErr w:type="spellStart"/>
      <w:r w:rsidR="00964BDA">
        <w:rPr>
          <w:rFonts w:ascii="Georgia" w:hAnsi="Georgia"/>
          <w:lang w:val="en-GB"/>
        </w:rPr>
        <w:t>Semieniuk</w:t>
      </w:r>
      <w:proofErr w:type="spellEnd"/>
      <w:r w:rsidR="00964BDA">
        <w:rPr>
          <w:rFonts w:ascii="Georgia" w:hAnsi="Georgia"/>
          <w:lang w:val="en-GB"/>
        </w:rPr>
        <w:t xml:space="preserve"> and Paul Brockway)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CA84F" w14:textId="77777777" w:rsidR="00946BAA" w:rsidRDefault="00946BAA" w:rsidP="001A5086">
      <w:r>
        <w:separator/>
      </w:r>
    </w:p>
  </w:endnote>
  <w:endnote w:type="continuationSeparator" w:id="0">
    <w:p w14:paraId="06B33EEC" w14:textId="77777777" w:rsidR="00946BAA" w:rsidRDefault="00946BAA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B3997" w14:textId="77777777" w:rsidR="00946BAA" w:rsidRDefault="00946BAA" w:rsidP="001A5086">
      <w:r>
        <w:separator/>
      </w:r>
    </w:p>
  </w:footnote>
  <w:footnote w:type="continuationSeparator" w:id="0">
    <w:p w14:paraId="79EE9CB7" w14:textId="77777777" w:rsidR="00946BAA" w:rsidRDefault="00946BAA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05E7F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E4862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86690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C45CE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34C5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0DE"/>
    <w:rsid w:val="007B5B01"/>
    <w:rsid w:val="007C1998"/>
    <w:rsid w:val="007C4957"/>
    <w:rsid w:val="007D06D0"/>
    <w:rsid w:val="007D0C66"/>
    <w:rsid w:val="007D435E"/>
    <w:rsid w:val="007E406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0016"/>
    <w:rsid w:val="00944A95"/>
    <w:rsid w:val="00946BAA"/>
    <w:rsid w:val="0095033E"/>
    <w:rsid w:val="009534AA"/>
    <w:rsid w:val="00961AC1"/>
    <w:rsid w:val="00964BDA"/>
    <w:rsid w:val="0097479E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01435"/>
    <w:rsid w:val="00B27B64"/>
    <w:rsid w:val="00B34F39"/>
    <w:rsid w:val="00B35E82"/>
    <w:rsid w:val="00B4060F"/>
    <w:rsid w:val="00B53DF8"/>
    <w:rsid w:val="00B5566C"/>
    <w:rsid w:val="00B5693D"/>
    <w:rsid w:val="00B57693"/>
    <w:rsid w:val="00B57A2D"/>
    <w:rsid w:val="00B72CD3"/>
    <w:rsid w:val="00B74055"/>
    <w:rsid w:val="00B80DA1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6755"/>
    <w:rsid w:val="00E824FF"/>
    <w:rsid w:val="00EA2AF1"/>
    <w:rsid w:val="00EC27D1"/>
    <w:rsid w:val="00EC3A0E"/>
    <w:rsid w:val="00ED3F98"/>
    <w:rsid w:val="00ED7EE4"/>
    <w:rsid w:val="00EE2873"/>
    <w:rsid w:val="00EF59FD"/>
    <w:rsid w:val="00F06A0F"/>
    <w:rsid w:val="00F23390"/>
    <w:rsid w:val="00F26B69"/>
    <w:rsid w:val="00F271EB"/>
    <w:rsid w:val="00F35DF1"/>
    <w:rsid w:val="00F367F6"/>
    <w:rsid w:val="00F428F9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187</cp:revision>
  <cp:lastPrinted>2023-01-12T13:16:00Z</cp:lastPrinted>
  <dcterms:created xsi:type="dcterms:W3CDTF">2022-12-14T00:00:00Z</dcterms:created>
  <dcterms:modified xsi:type="dcterms:W3CDTF">2024-11-04T02:22:00Z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