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Reviewer checklist</w:t>
      </w:r>
    </w:p>
    <w:p>
      <w:r>
        <w:t>Aguilar test cohort • Evidence checked October 8, 2026</w:t>
        <w:br/>
        <w:t>Target: Life, final expense, IUL, and fixed annuities</w:t>
      </w:r>
    </w:p>
    <w:p>
      <w:r>
        <w:t>136 approved • 202 omitted with active general Life • 1,367 other omitted licenses. Start with the 35 unexplained first-call candidates; also verify the 20 other records with missing qualification information.</w:t>
      </w:r>
    </w:p>
    <w:p>
      <w:pPr>
        <w:spacing w:after="160"/>
      </w:pPr>
      <w:r>
        <w:rPr>
          <w:b/>
        </w:rPr>
        <w:t xml:space="preserve">1. Completeness: </w:t>
      </w:r>
      <w:r>
        <w:t>Did you review every surname-search result, or was the approved list a handpicked subset? Were any first-name initials, cities, or pages skipped?</w:t>
      </w:r>
    </w:p>
    <w:p>
      <w:pPr>
        <w:spacing w:after="160"/>
      </w:pPr>
      <w:r>
        <w:rPr>
          <w:b/>
        </w:rPr>
        <w:t xml:space="preserve">2. Life authority: </w:t>
      </w:r>
      <w:r>
        <w:t>Is active general Life authority mandatory? Should funeral/burial-limited producers have a separate recruiting pool?</w:t>
      </w:r>
    </w:p>
    <w:p>
      <w:pPr>
        <w:spacing w:after="160"/>
      </w:pPr>
      <w:r>
        <w:rPr>
          <w:b/>
        </w:rPr>
        <w:t xml:space="preserve">3. Company exclusions: </w:t>
      </w:r>
      <w:r>
        <w:t>Which exact State Farm/Farmers relationships cause rejection? Do you exclude affiliates such as Foremost, or only named relationships? Approved examples have Foremost appointments.</w:t>
      </w:r>
    </w:p>
    <w:p>
      <w:pPr>
        <w:spacing w:after="160"/>
      </w:pPr>
      <w:r>
        <w:rPr>
          <w:b/>
        </w:rPr>
        <w:t xml:space="preserve">4. Other channels: </w:t>
      </w:r>
      <w:r>
        <w:t>Are bank/securities, New York Life career, Northwestern, Knights of Columbus, Thrivent, Allstate, and benefits-broker profiles rejected, conditional, or acceptable? What evidence establishes the rule?</w:t>
      </w:r>
    </w:p>
    <w:p>
      <w:pPr>
        <w:spacing w:after="160"/>
      </w:pPr>
      <w:r>
        <w:rPr>
          <w:b/>
        </w:rPr>
        <w:t xml:space="preserve">5. Contact and territory: </w:t>
      </w:r>
      <w:r>
        <w:t>Is missing contact information a rejection or an enrichment task? Are central/toll-free numbers acceptable? Is California residency required? Ramiro (4192130) is an approved nonresident exception.</w:t>
      </w:r>
    </w:p>
    <w:p>
      <w:pPr>
        <w:spacing w:after="160"/>
      </w:pPr>
      <w:r>
        <w:rPr>
          <w:b/>
        </w:rPr>
        <w:t xml:space="preserve">6. Product mix: </w:t>
      </w:r>
      <w:r>
        <w:t>Do you exclude health-focused or P&amp;C-focused producers, or accept anyone with active Life authority? What evidence must establish final expense, IUL, or fixed-annuity activity?</w:t>
      </w:r>
    </w:p>
    <w:p>
      <w:pPr>
        <w:spacing w:after="160"/>
      </w:pPr>
      <w:r>
        <w:rPr>
          <w:b/>
        </w:rPr>
        <w:t xml:space="preserve">7. Other filters: </w:t>
      </w:r>
      <w:r>
        <w:t>Do tenure, variable authority, renewal timing, agency/sponsor relationships, or licensing orders affect the decision? State each threshold and exception.</w:t>
      </w:r>
    </w:p>
    <w:p>
      <w:pPr>
        <w:spacing w:after="160"/>
      </w:pPr>
      <w:r>
        <w:rPr>
          <w:b/>
        </w:rPr>
        <w:t xml:space="preserve">8. Corrections: </w:t>
      </w:r>
      <w:r>
        <w:t>For every omitted active-Life producer: approve now, reject with the actual reason, defer with the missing fact, or mark not previously reviewed. Start with the 35 unexplained first-call candidates.</w:t>
      </w:r>
    </w:p>
    <w:p>
      <w:r>
        <w:t>Per-person response: Approve / Reject / Defer / Not reviewed + actual reason + evidence + reviewer/date. Correct any acceptable omissions. Explain approved exceptions before adding a hard exclusion.</w:t>
      </w:r>
    </w:p>
    <w:p>
      <w:r>
        <w:t>Current safe screen: verify active general Life; exclude confirmed State Farm/Farmers relationships; REVIEW unresolved channel/product/contact/territory/orders; PASS only when no screen issue remains. PASS does not mean historical approval.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IMO recruiting validation • Evidence checked October 8, 2026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