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7/10/19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 complete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14/10/19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sponsor sign off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Resolve any highlighted issues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18/10/19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completed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sponsor sign off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complete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testers have tested system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new issues are resolved with time permitting.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sponsor has signed off on delivery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D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95"/>
        <w:gridCol w:w="2505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95"/>
            <w:gridCol w:w="2505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 to production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is available for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test users exist in production deployment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begin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instructions for testing to testers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now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Resolve first batch of identified issues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identified by the first wave of testing complete, This will expand into potentially more issues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Allocated on a per issue basis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Programmer documentation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can be handed over to new programmers if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Transition phase status assessment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 completed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cannot be linked to resource without also changing password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be linked to a resource independent of password reset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9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7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Transition phase complete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10/11/2019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81">
      <w:pPr>
        <w:spacing w:after="120" w:lineRule="auto"/>
        <w:ind w:left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8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Iteration Plan - Iteration 1 Transition</w:t>
          </w:r>
        </w:p>
      </w:tc>
      <w:tc>
        <w:tcPr/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tl w:val="0"/>
            </w:rPr>
            <w:t xml:space="preserve">  Date: 23/09/2019</w:t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