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AC49A" w14:textId="77777777" w:rsidR="00A74E6C" w:rsidRPr="00CA78C7" w:rsidRDefault="00A74E6C" w:rsidP="004E1357">
      <w:pPr>
        <w:spacing w:before="240" w:after="240" w:line="480" w:lineRule="auto"/>
      </w:pPr>
      <w:r w:rsidRPr="00CC52A1">
        <w:rPr>
          <w:b/>
          <w:bCs/>
          <w:color w:val="434343"/>
        </w:rPr>
        <w:t>Methods</w:t>
      </w:r>
    </w:p>
    <w:p w14:paraId="49650F5A" w14:textId="79457615" w:rsidR="00A74E6C" w:rsidRDefault="00A74E6C" w:rsidP="004E1357">
      <w:pPr>
        <w:spacing w:before="280" w:after="80" w:line="480" w:lineRule="auto"/>
        <w:rPr>
          <w:i/>
          <w:iCs/>
          <w:color w:val="666666"/>
        </w:rPr>
      </w:pPr>
      <w:r w:rsidRPr="00CC52A1">
        <w:rPr>
          <w:i/>
          <w:iCs/>
          <w:color w:val="666666"/>
        </w:rPr>
        <w:t>Overview</w:t>
      </w:r>
    </w:p>
    <w:p w14:paraId="78CFFA3D" w14:textId="5575DAEF" w:rsidR="004E1357" w:rsidRPr="00CC52A1" w:rsidRDefault="004E1357" w:rsidP="004E1357">
      <w:pPr>
        <w:spacing w:before="280" w:after="80" w:line="480" w:lineRule="auto"/>
        <w:ind w:firstLine="720"/>
        <w:rPr>
          <w:i/>
          <w:iCs/>
          <w:color w:val="666666"/>
        </w:rPr>
      </w:pPr>
      <w:r>
        <w:t>x</w:t>
      </w:r>
    </w:p>
    <w:p w14:paraId="4A7AB796" w14:textId="08AD4B50" w:rsidR="00A74E6C" w:rsidRDefault="00A74E6C" w:rsidP="00A74E6C">
      <w:pPr>
        <w:spacing w:before="240" w:line="480" w:lineRule="auto"/>
        <w:rPr>
          <w:i/>
          <w:iCs/>
          <w:color w:val="666666"/>
        </w:rPr>
      </w:pPr>
      <w:r w:rsidRPr="00CC52A1">
        <w:rPr>
          <w:i/>
          <w:iCs/>
          <w:color w:val="666666"/>
        </w:rPr>
        <w:t xml:space="preserve">Data Sources </w:t>
      </w:r>
    </w:p>
    <w:p w14:paraId="00BF0234" w14:textId="475ED724" w:rsidR="004E1357" w:rsidRPr="00CC52A1" w:rsidRDefault="002B3D43" w:rsidP="004E1357">
      <w:pPr>
        <w:spacing w:before="280" w:after="80" w:line="480" w:lineRule="auto"/>
        <w:ind w:firstLine="720"/>
        <w:rPr>
          <w:i/>
          <w:iCs/>
          <w:color w:val="666666"/>
        </w:rPr>
      </w:pPr>
      <w:r>
        <w:t xml:space="preserve">We drew from </w:t>
      </w:r>
      <w:r w:rsidR="00EA4FA1">
        <w:t>f</w:t>
      </w:r>
      <w:r w:rsidR="00587E62">
        <w:t>ive</w:t>
      </w:r>
      <w:r>
        <w:t xml:space="preserve"> data primary sources. First, </w:t>
      </w:r>
      <w:r w:rsidR="00CE1258">
        <w:t>we use annual reports from the Center of Medicare &amp; Medicaid Services (CMS) to collect state-level enrollment numbers for Medicaid and Medicare</w:t>
      </w:r>
      <w:r w:rsidR="00B702DE">
        <w:t xml:space="preserve"> from 2004 to 2020</w:t>
      </w:r>
      <w:r w:rsidR="00CE1258">
        <w:t xml:space="preserve">. </w:t>
      </w:r>
      <w:r w:rsidR="002D70E5">
        <w:t xml:space="preserve">Second, we </w:t>
      </w:r>
      <w:r w:rsidR="00CE1258">
        <w:t>use the Behavioral Risk Factor Surveillance System (BRFSS) from the Centers for Disease Control and Prevention</w:t>
      </w:r>
      <w:r w:rsidR="00B702DE">
        <w:t xml:space="preserve"> </w:t>
      </w:r>
      <w:r w:rsidR="008A208F">
        <w:t xml:space="preserve">to estimate the </w:t>
      </w:r>
      <w:r w:rsidR="000F7E6F">
        <w:t>proportion</w:t>
      </w:r>
      <w:r w:rsidR="008A208F">
        <w:t xml:space="preserve"> of individuals in each program with type </w:t>
      </w:r>
      <w:r w:rsidR="000F7E6F">
        <w:t>2</w:t>
      </w:r>
      <w:r w:rsidR="008A208F">
        <w:t xml:space="preserve"> diabetes</w:t>
      </w:r>
      <w:r w:rsidR="00CE1258">
        <w:t>.</w:t>
      </w:r>
      <w:r w:rsidR="008A208F">
        <w:t xml:space="preserve"> Third, we </w:t>
      </w:r>
      <w:r w:rsidR="00EA4FA1">
        <w:t>use the National Drug Code Directory</w:t>
      </w:r>
      <w:r w:rsidR="006C5BDA">
        <w:t xml:space="preserve"> (NDCD)</w:t>
      </w:r>
      <w:r w:rsidR="00EA4FA1">
        <w:t xml:space="preserve"> from the Food &amp; Drug Administration to flag SGLT-2 and GLP-1 NDC codes. Finally, we use the State Drug Utilization Data</w:t>
      </w:r>
      <w:r w:rsidR="006C5BDA">
        <w:t xml:space="preserve"> (SDUD)</w:t>
      </w:r>
      <w:r w:rsidR="00EA4FA1">
        <w:t xml:space="preserve"> and the Medicare Part D Prescribers dataset both made available by CMS, which provided state-by-year drug utilization numbers.</w:t>
      </w:r>
    </w:p>
    <w:p w14:paraId="7B2EF7C7" w14:textId="3AC42F9A" w:rsidR="004E1357" w:rsidRPr="00601485" w:rsidRDefault="004E1357" w:rsidP="00A74E6C">
      <w:pPr>
        <w:spacing w:before="240" w:line="480" w:lineRule="auto"/>
      </w:pPr>
    </w:p>
    <w:p w14:paraId="538DCE06" w14:textId="77777777" w:rsidR="00A74E6C" w:rsidRDefault="00A74E6C" w:rsidP="00A74E6C">
      <w:pPr>
        <w:spacing w:before="240" w:line="480" w:lineRule="auto"/>
        <w:rPr>
          <w:b/>
        </w:rPr>
      </w:pPr>
      <w:r>
        <w:rPr>
          <w:b/>
        </w:rPr>
        <w:t>Variables</w:t>
      </w:r>
    </w:p>
    <w:p w14:paraId="75A2FEE0" w14:textId="3DB7AB59" w:rsidR="00A74E6C" w:rsidRDefault="000F7E6F" w:rsidP="00A74E6C">
      <w:pPr>
        <w:spacing w:before="240" w:line="480" w:lineRule="auto"/>
        <w:rPr>
          <w:i/>
          <w:iCs/>
          <w:color w:val="666666"/>
        </w:rPr>
      </w:pPr>
      <w:r>
        <w:rPr>
          <w:i/>
          <w:iCs/>
          <w:color w:val="666666"/>
        </w:rPr>
        <w:t>Number of Enrollees with Type 2 Diabetes</w:t>
      </w:r>
    </w:p>
    <w:p w14:paraId="4A353B77" w14:textId="2DA76F07" w:rsidR="000F7E6F" w:rsidRPr="000F7E6F" w:rsidRDefault="000F7E6F" w:rsidP="00A74E6C">
      <w:pPr>
        <w:spacing w:before="240" w:line="480" w:lineRule="auto"/>
      </w:pPr>
      <w:r>
        <w:rPr>
          <w:i/>
          <w:iCs/>
          <w:color w:val="666666"/>
        </w:rPr>
        <w:tab/>
      </w:r>
      <w:r w:rsidR="00AC465A">
        <w:t xml:space="preserve">To estimate the number of enrollees with type 2 diabetes </w:t>
      </w:r>
      <w:r w:rsidR="00B3664A">
        <w:t xml:space="preserve">we used the first two primary data sources. First, we used the annual reports which benchmark Medicaid and Medicare enrollment in June for each year at a state-level. Next, we used the BRFSS to calculate the </w:t>
      </w:r>
      <w:r w:rsidR="00B3664A">
        <w:lastRenderedPageBreak/>
        <w:t xml:space="preserve">percent of enrollees with type </w:t>
      </w:r>
      <w:r w:rsidR="00677031">
        <w:t>2</w:t>
      </w:r>
      <w:r w:rsidR="00B3664A">
        <w:t xml:space="preserve"> diabetes in each program. </w:t>
      </w:r>
      <w:r w:rsidR="00194E30">
        <w:t>Because the BRFSS lacks program indicators, w</w:t>
      </w:r>
      <w:r w:rsidR="00B3664A">
        <w:t xml:space="preserve">e </w:t>
      </w:r>
      <w:r w:rsidR="00194E30">
        <w:t>estimate Medicaid and Medicare eligibility</w:t>
      </w:r>
      <w:r w:rsidR="00B3664A">
        <w:t xml:space="preserve"> by using household size,</w:t>
      </w:r>
      <w:r w:rsidR="003A047C">
        <w:t xml:space="preserve"> </w:t>
      </w:r>
      <w:r w:rsidR="00B3664A">
        <w:t xml:space="preserve">income, </w:t>
      </w:r>
      <w:r w:rsidR="00677031">
        <w:t>age, state of residence, along with federal poverty lines and expansion status of the</w:t>
      </w:r>
      <w:r w:rsidR="00194E30">
        <w:t xml:space="preserve"> </w:t>
      </w:r>
      <w:r w:rsidR="00677031">
        <w:t>state’s Medicaid program</w:t>
      </w:r>
      <w:r w:rsidR="00194E30">
        <w:t xml:space="preserve">. </w:t>
      </w:r>
      <w:commentRangeStart w:id="0"/>
      <w:r w:rsidR="00194E30">
        <w:t xml:space="preserve">Respondents were considered to have type 2 diabetes if </w:t>
      </w:r>
      <w:r w:rsidR="00587E62">
        <w:t>they were older than 30, not pregnant, and reported to have diabetes.</w:t>
      </w:r>
      <w:commentRangeEnd w:id="0"/>
      <w:r w:rsidR="00587E62">
        <w:rPr>
          <w:rStyle w:val="CommentReference"/>
        </w:rPr>
        <w:commentReference w:id="0"/>
      </w:r>
    </w:p>
    <w:p w14:paraId="31EDB11C" w14:textId="6366ADA3" w:rsidR="00A74E6C" w:rsidRDefault="00587E62" w:rsidP="00A74E6C">
      <w:pPr>
        <w:spacing w:line="480" w:lineRule="auto"/>
        <w:rPr>
          <w:i/>
          <w:iCs/>
          <w:color w:val="666666"/>
        </w:rPr>
      </w:pPr>
      <w:r>
        <w:rPr>
          <w:i/>
          <w:iCs/>
          <w:color w:val="666666"/>
        </w:rPr>
        <w:t>GLP-1 and SGLT-2 Utilization</w:t>
      </w:r>
    </w:p>
    <w:p w14:paraId="752031F5" w14:textId="4B61437E" w:rsidR="00587E62" w:rsidRDefault="00587E62" w:rsidP="00A74E6C">
      <w:pPr>
        <w:spacing w:line="480" w:lineRule="auto"/>
        <w:rPr>
          <w:i/>
          <w:iCs/>
          <w:color w:val="666666"/>
        </w:rPr>
      </w:pPr>
      <w:r>
        <w:rPr>
          <w:i/>
          <w:iCs/>
          <w:color w:val="666666"/>
        </w:rPr>
        <w:tab/>
      </w:r>
      <w:r>
        <w:t>To calculate GLP-1 and SGLT-2 utilization we</w:t>
      </w:r>
      <w:r w:rsidR="006C5BDA">
        <w:t xml:space="preserve"> used the NDCD, the SDUD, and the Medicare Part D Prescribers dataset. First, we used the pharmaceutical class variable NDCD to select all GLP-1 and SGLT-2 NDCs</w:t>
      </w:r>
      <w:r w:rsidR="00433E15">
        <w:t xml:space="preserve"> and </w:t>
      </w:r>
      <w:r w:rsidR="006C5BDA">
        <w:t>proprietary names</w:t>
      </w:r>
      <w:r w:rsidR="00433E15">
        <w:t xml:space="preserve">. Then we </w:t>
      </w:r>
      <w:r w:rsidR="0098409F">
        <w:t>used publicly available days supplied counts by NDC to calculate the days supplied by each of the GLP-1s and SGLT-2s. Next, we used the list of NDCs, proprietary names, and days supplied to subset the Medicaid and Medicare utilization data. Because the Medicare Part D Prescribers dataset does not contain NDC codes, we selected relevant observations</w:t>
      </w:r>
      <w:r w:rsidR="00521CE5">
        <w:t xml:space="preserve"> in both datasets</w:t>
      </w:r>
      <w:r w:rsidR="0098409F">
        <w:t xml:space="preserve"> using proprietary name</w:t>
      </w:r>
      <w:r w:rsidR="00521CE5">
        <w:t xml:space="preserve">s. Medicare Part D Prescribers dataset includes the number of 30-day refills supplied, which we multiplied by 30 to create days supplied. The SDUD is merged to our days supplied crosswalk and filtered to dosages that we consider 30-day refills. An NDC is considered a 30-day refill if the days supplied are a multiple of 30. </w:t>
      </w:r>
      <w:r w:rsidR="00674133">
        <w:t>Lastly, we divide these utilization numbers by the prior type 2 diabetes estimates to create utilization rates.</w:t>
      </w:r>
      <w:r w:rsidR="00521CE5">
        <w:t xml:space="preserve"> </w:t>
      </w:r>
    </w:p>
    <w:p w14:paraId="3511A83F" w14:textId="77777777" w:rsidR="00A74E6C" w:rsidRDefault="00A74E6C" w:rsidP="00A74E6C">
      <w:pPr>
        <w:spacing w:line="480" w:lineRule="auto"/>
        <w:rPr>
          <w:i/>
          <w:iCs/>
          <w:color w:val="666666"/>
        </w:rPr>
      </w:pPr>
    </w:p>
    <w:p w14:paraId="1B54B7A9" w14:textId="7E0A3AFB" w:rsidR="00A74E6C" w:rsidRDefault="00A74E6C" w:rsidP="00A74E6C">
      <w:pPr>
        <w:spacing w:line="480" w:lineRule="auto"/>
        <w:rPr>
          <w:b/>
        </w:rPr>
      </w:pPr>
      <w:r>
        <w:rPr>
          <w:b/>
        </w:rPr>
        <w:t>Result</w:t>
      </w:r>
    </w:p>
    <w:p w14:paraId="1A617779" w14:textId="3DA0738A" w:rsidR="001E3009" w:rsidRDefault="001E3009" w:rsidP="001E3009">
      <w:r>
        <w:fldChar w:fldCharType="begin"/>
      </w:r>
      <w:r>
        <w:instrText xml:space="preserve"> INCLUDEPICTURE "http://127.0.0.1:13763/graphics/e90a7794-3f2e-40b1-87dc-5e479062e5c7.png"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8FE99DD" wp14:editId="222D4443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rect w14:anchorId="4214207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3859656" w14:textId="38BE919C" w:rsidR="001E3009" w:rsidRDefault="00F8779C" w:rsidP="00A74E6C">
      <w:pPr>
        <w:spacing w:line="480" w:lineRule="auto"/>
      </w:pPr>
      <w:commentRangeStart w:id="1"/>
      <w:r>
        <w:rPr>
          <w:noProof/>
        </w:rPr>
        <w:lastRenderedPageBreak/>
        <w:drawing>
          <wp:inline distT="0" distB="0" distL="0" distR="0" wp14:anchorId="01E4E3EB" wp14:editId="04851C50">
            <wp:extent cx="5943600" cy="5342255"/>
            <wp:effectExtent l="0" t="0" r="0" b="4445"/>
            <wp:docPr id="10" name="Picture 10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o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C2359E">
        <w:rPr>
          <w:rStyle w:val="CommentReference"/>
          <w:rFonts w:ascii="Arial" w:eastAsia="Arial" w:hAnsi="Arial" w:cs="Arial"/>
          <w:lang w:val="en"/>
        </w:rPr>
        <w:commentReference w:id="1"/>
      </w:r>
      <w:bookmarkStart w:id="2" w:name="_GoBack"/>
      <w:bookmarkEnd w:id="2"/>
    </w:p>
    <w:p w14:paraId="1E1F10AD" w14:textId="1C8B7637" w:rsidR="002F0A3A" w:rsidRDefault="00F8779C" w:rsidP="00A74E6C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F044F5B" wp14:editId="531CF3C4">
            <wp:extent cx="5943600" cy="494474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E38A" w14:textId="77777777" w:rsidR="00F8779C" w:rsidRDefault="00F8779C" w:rsidP="00A74E6C">
      <w:pPr>
        <w:spacing w:line="480" w:lineRule="auto"/>
      </w:pPr>
    </w:p>
    <w:tbl>
      <w:tblPr>
        <w:tblW w:w="10401" w:type="dxa"/>
        <w:tblLook w:val="04A0" w:firstRow="1" w:lastRow="0" w:firstColumn="1" w:lastColumn="0" w:noHBand="0" w:noVBand="1"/>
      </w:tblPr>
      <w:tblGrid>
        <w:gridCol w:w="3503"/>
        <w:gridCol w:w="1379"/>
        <w:gridCol w:w="1379"/>
        <w:gridCol w:w="1379"/>
        <w:gridCol w:w="1379"/>
        <w:gridCol w:w="1382"/>
      </w:tblGrid>
      <w:tr w:rsidR="00F8779C" w:rsidRPr="00F8779C" w14:paraId="6DAB2F74" w14:textId="77777777" w:rsidTr="00F8779C">
        <w:trPr>
          <w:trHeight w:val="311"/>
        </w:trPr>
        <w:tc>
          <w:tcPr>
            <w:tcW w:w="10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5081BD"/>
            <w:noWrap/>
            <w:vAlign w:val="center"/>
            <w:hideMark/>
          </w:tcPr>
          <w:p w14:paraId="76B3E027" w14:textId="77777777" w:rsidR="00F8779C" w:rsidRPr="00F8779C" w:rsidRDefault="00F8779C" w:rsidP="00F8779C">
            <w:pPr>
              <w:jc w:val="center"/>
              <w:rPr>
                <w:rFonts w:ascii="Calibri" w:hAnsi="Calibri" w:cs="Calibri"/>
                <w:color w:val="F3F6F4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F3F6F4"/>
                <w:sz w:val="22"/>
                <w:szCs w:val="22"/>
              </w:rPr>
              <w:t>Table 1: Program Qualities by Quintile of Rate (2013-2019)</w:t>
            </w:r>
          </w:p>
        </w:tc>
      </w:tr>
      <w:tr w:rsidR="00F8779C" w:rsidRPr="00F8779C" w14:paraId="19367D96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5B485592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Variable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0107B98E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Top Quintile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20662533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Second Quintile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09ADDA3E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Third Quintile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6D9A2ACA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Fourth Quintile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14:paraId="4E687AA9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Bottom </w:t>
            </w:r>
            <w:commentRangeStart w:id="3"/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Quintile</w:t>
            </w:r>
            <w:commentRangeEnd w:id="3"/>
            <w:r w:rsidR="00C2359E">
              <w:rPr>
                <w:rStyle w:val="CommentReference"/>
                <w:rFonts w:ascii="Arial" w:eastAsia="Arial" w:hAnsi="Arial" w:cs="Arial"/>
                <w:lang w:val="en"/>
              </w:rPr>
              <w:commentReference w:id="3"/>
            </w:r>
          </w:p>
        </w:tc>
      </w:tr>
      <w:tr w:rsidR="00F8779C" w:rsidRPr="00F8779C" w14:paraId="09EBE56E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B550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Medicaid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A563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B350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D0B7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CF5A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C76857E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</w:tr>
      <w:tr w:rsidR="00F8779C" w:rsidRPr="00F8779C" w14:paraId="1CAB62A7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5858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Rate of Days Supplied per 1000 Enrollees (GLP-1 &amp; SGLT-2)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0854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4851.27 (2913.91)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489E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3015.52 (1879.55)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C7E4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2023.61 (1265.03)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3E48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1316.58 (849.72)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44C42C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604.84 (523.54)</w:t>
            </w:r>
          </w:p>
        </w:tc>
      </w:tr>
      <w:tr w:rsidR="00F8779C" w:rsidRPr="00F8779C" w14:paraId="1CE4A618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72A3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Population of Program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CC7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209924.67 (285114.79)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4880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109967.2 (164785.28)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2AB8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137551.05 (141628.2)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B4F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152790.84 (195932.59)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25FB662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104515.87 (91039.55)</w:t>
            </w:r>
          </w:p>
        </w:tc>
      </w:tr>
      <w:tr w:rsidR="00F8779C" w:rsidRPr="00F8779C" w14:paraId="52C3A022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AE0E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Percent Diabetic in Program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FF91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9.92 (2.44)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2529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10.34 (2.15)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544E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10.68 (2.27)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404D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10.59 (2.6)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872AF81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11.81 (2.32)</w:t>
            </w:r>
          </w:p>
        </w:tc>
      </w:tr>
      <w:tr w:rsidR="00F8779C" w:rsidRPr="00F8779C" w14:paraId="5F56FF9F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2200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Medicare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382F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4947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F957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628F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C86EDA0" w14:textId="77777777" w:rsidR="00F8779C" w:rsidRPr="00F8779C" w:rsidRDefault="00F8779C" w:rsidP="00F8779C">
            <w:pPr>
              <w:rPr>
                <w:sz w:val="20"/>
                <w:szCs w:val="20"/>
              </w:rPr>
            </w:pPr>
          </w:p>
        </w:tc>
      </w:tr>
      <w:tr w:rsidR="00F8779C" w:rsidRPr="00F8779C" w14:paraId="0BF10886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5134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Rate of Days Supplied per 1000 Enrollees (GLP-1 &amp; SGLT-2)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F495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17454.61 (9849.54)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D6E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15000.36 (8666.71)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A03B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13083.49 (7852.09)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CD61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11684.06 (7207.02)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35AC2D4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9559.49 (6140.84)</w:t>
            </w:r>
          </w:p>
        </w:tc>
      </w:tr>
      <w:tr w:rsidR="00F8779C" w:rsidRPr="00F8779C" w14:paraId="50898B22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B76D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Population of Program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93A9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275157.3 (225669.69)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83A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241176.22 (248919.28)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500D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303782.49 (341169.92)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D225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208194.27 (224878.24)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8ABC3F6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158641.36 (185623.53)</w:t>
            </w:r>
          </w:p>
        </w:tc>
      </w:tr>
      <w:tr w:rsidR="00F8779C" w:rsidRPr="00F8779C" w14:paraId="7A1897FB" w14:textId="77777777" w:rsidTr="00F8779C">
        <w:trPr>
          <w:trHeight w:val="311"/>
        </w:trPr>
        <w:tc>
          <w:tcPr>
            <w:tcW w:w="3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47AB7E3A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Percent Diabetic in Program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9165FF9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21.26 (2.69)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0A6C9253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22.2 (3.05)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02363CD8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21.4 (3.04)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75C8D0E7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20.58 (2.81)</w:t>
            </w:r>
          </w:p>
        </w:tc>
        <w:tc>
          <w:tcPr>
            <w:tcW w:w="1379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4033518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20.09 (2.29)</w:t>
            </w:r>
          </w:p>
        </w:tc>
      </w:tr>
    </w:tbl>
    <w:p w14:paraId="68F23221" w14:textId="1CF02049" w:rsidR="002F0A3A" w:rsidRDefault="002F0A3A" w:rsidP="00A74E6C">
      <w:pPr>
        <w:spacing w:line="480" w:lineRule="auto"/>
      </w:pPr>
    </w:p>
    <w:tbl>
      <w:tblPr>
        <w:tblW w:w="10089" w:type="dxa"/>
        <w:tblLook w:val="04A0" w:firstRow="1" w:lastRow="0" w:firstColumn="1" w:lastColumn="0" w:noHBand="0" w:noVBand="1"/>
      </w:tblPr>
      <w:tblGrid>
        <w:gridCol w:w="663"/>
        <w:gridCol w:w="1976"/>
        <w:gridCol w:w="1859"/>
        <w:gridCol w:w="1859"/>
        <w:gridCol w:w="1976"/>
        <w:gridCol w:w="1859"/>
      </w:tblGrid>
      <w:tr w:rsidR="00F8779C" w:rsidRPr="00F8779C" w14:paraId="39B7ECA5" w14:textId="77777777" w:rsidTr="00F8779C">
        <w:trPr>
          <w:trHeight w:val="315"/>
        </w:trPr>
        <w:tc>
          <w:tcPr>
            <w:tcW w:w="100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5081BD"/>
            <w:noWrap/>
            <w:vAlign w:val="center"/>
            <w:hideMark/>
          </w:tcPr>
          <w:p w14:paraId="4904016F" w14:textId="77777777" w:rsidR="00F8779C" w:rsidRPr="00F8779C" w:rsidRDefault="00F8779C" w:rsidP="00F8779C">
            <w:pPr>
              <w:jc w:val="center"/>
              <w:rPr>
                <w:rFonts w:ascii="Calibri" w:hAnsi="Calibri" w:cs="Calibri"/>
                <w:color w:val="F3F6F4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F3F6F4"/>
                <w:sz w:val="22"/>
                <w:szCs w:val="22"/>
              </w:rPr>
              <w:t>Table 1: Days Supplied Per 1000 Eligible Enrollees (GLP-1 &amp; SGLT-</w:t>
            </w:r>
            <w:commentRangeStart w:id="4"/>
            <w:r w:rsidRPr="00F8779C">
              <w:rPr>
                <w:rFonts w:ascii="Calibri" w:hAnsi="Calibri" w:cs="Calibri"/>
                <w:color w:val="F3F6F4"/>
                <w:sz w:val="22"/>
                <w:szCs w:val="22"/>
              </w:rPr>
              <w:t>2</w:t>
            </w:r>
            <w:commentRangeEnd w:id="4"/>
            <w:r w:rsidR="00C2359E">
              <w:rPr>
                <w:rStyle w:val="CommentReference"/>
                <w:rFonts w:ascii="Arial" w:eastAsia="Arial" w:hAnsi="Arial" w:cs="Arial"/>
                <w:lang w:val="en"/>
              </w:rPr>
              <w:commentReference w:id="4"/>
            </w:r>
            <w:r w:rsidRPr="00F8779C">
              <w:rPr>
                <w:rFonts w:ascii="Calibri" w:hAnsi="Calibri" w:cs="Calibri"/>
                <w:color w:val="F3F6F4"/>
                <w:sz w:val="22"/>
                <w:szCs w:val="22"/>
              </w:rPr>
              <w:t>)</w:t>
            </w:r>
          </w:p>
        </w:tc>
      </w:tr>
      <w:tr w:rsidR="00F8779C" w:rsidRPr="00F8779C" w14:paraId="5CF493DB" w14:textId="77777777" w:rsidTr="00F8779C">
        <w:trPr>
          <w:trHeight w:val="315"/>
        </w:trPr>
        <w:tc>
          <w:tcPr>
            <w:tcW w:w="5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5FFE504E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Year</w:t>
            </w:r>
          </w:p>
        </w:tc>
        <w:tc>
          <w:tcPr>
            <w:tcW w:w="19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3A5B9C6C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Top Quintile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678CBE23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Second Quintile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1D673BEE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Third Quintile</w:t>
            </w:r>
          </w:p>
        </w:tc>
        <w:tc>
          <w:tcPr>
            <w:tcW w:w="19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1C72CC91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Fourth Quintile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7B1E8581" w14:textId="77777777" w:rsidR="00F8779C" w:rsidRPr="00F8779C" w:rsidRDefault="00F8779C" w:rsidP="00F8779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Bottom Quintile</w:t>
            </w:r>
          </w:p>
        </w:tc>
      </w:tr>
      <w:tr w:rsidR="00F8779C" w:rsidRPr="00F8779C" w14:paraId="7E2C37B0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2DD92B46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5DF9C9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3597.81 (2064.19)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44A0A9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2753.84 (1889.92)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D44AFD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2218.54 (1684.32)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4D8C5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1890.71 (1573.7)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0E1443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1406.07 (1326.03)</w:t>
            </w:r>
          </w:p>
        </w:tc>
      </w:tr>
      <w:tr w:rsidR="00F8779C" w:rsidRPr="00F8779C" w14:paraId="73745899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016143C4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2014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6E2E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4795.36 (3002.26)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8221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3737.27 (2783.57)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D96F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3096.22 (2485.01)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4450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2587.69 (2172.84)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901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1875.22 (1833.83)</w:t>
            </w:r>
          </w:p>
        </w:tc>
      </w:tr>
      <w:tr w:rsidR="00F8779C" w:rsidRPr="00F8779C" w14:paraId="0CB68EC1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5177E6A5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D83050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7440.75 (4701.5)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C26E3E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5819.38 (4187.83)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0BF9B1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4871.97 (3713.86)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76EBD7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4115.72 (3348.16)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4290B7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3009.78 (2853.54)</w:t>
            </w:r>
          </w:p>
        </w:tc>
      </w:tr>
      <w:tr w:rsidR="00F8779C" w:rsidRPr="00F8779C" w14:paraId="6B2176C4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528F4686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2016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564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10084.3 (6106.52)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96B9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8008.91 (5569.89)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0D5F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6534.64 (4860.48)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F15F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5460.46 (4395.28)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86BB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4221.54 (3853.85)</w:t>
            </w:r>
          </w:p>
        </w:tc>
      </w:tr>
      <w:tr w:rsidR="00F8779C" w:rsidRPr="00F8779C" w14:paraId="62ABA387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7DD63E4D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210EF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13747.77 (7216.39)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48622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10870.87 (7149.17)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EABAD4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8972.25 (6634.71)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0E1B1F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7693.46 (6324.62)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3378B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6278.32 (5755.86)</w:t>
            </w:r>
          </w:p>
        </w:tc>
      </w:tr>
      <w:tr w:rsidR="00F8779C" w:rsidRPr="00F8779C" w14:paraId="375A6D1C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6DAD6D13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2018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557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16842.38 (8764.92)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38F5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13529.07 (8902.85)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F0B6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11282.9 (8439.22)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4A8F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9934.55 (8172.25)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44FC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7877.62 (7178.14)</w:t>
            </w:r>
          </w:p>
        </w:tc>
      </w:tr>
      <w:tr w:rsidR="00F8779C" w:rsidRPr="00F8779C" w14:paraId="47B3153B" w14:textId="77777777" w:rsidTr="00F8779C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2318A4DD" w14:textId="77777777" w:rsidR="00F8779C" w:rsidRPr="00F8779C" w:rsidRDefault="00F8779C" w:rsidP="00F8779C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F877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2019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797606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21844.82 (14573.03)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17F72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18336.22 (12689)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732C40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15898.33 (11990.9)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758C6A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13819.66 (11350.12)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9866F8" w14:textId="77777777" w:rsidR="00F8779C" w:rsidRPr="00F8779C" w:rsidRDefault="00F8779C" w:rsidP="00F877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779C">
              <w:rPr>
                <w:rFonts w:ascii="Calibri" w:hAnsi="Calibri" w:cs="Calibri"/>
                <w:color w:val="000000"/>
                <w:sz w:val="22"/>
                <w:szCs w:val="22"/>
              </w:rPr>
              <w:t>10906.62 (9853.33)</w:t>
            </w:r>
          </w:p>
        </w:tc>
      </w:tr>
    </w:tbl>
    <w:p w14:paraId="431349B1" w14:textId="77777777" w:rsidR="00F8779C" w:rsidRPr="00A74E6C" w:rsidRDefault="00F8779C" w:rsidP="00A74E6C">
      <w:pPr>
        <w:spacing w:line="480" w:lineRule="auto"/>
      </w:pPr>
    </w:p>
    <w:sectPr w:rsidR="00F8779C" w:rsidRPr="00A74E6C" w:rsidSect="00DA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avallee, Matthew" w:date="2022-07-01T12:21:00Z" w:initials="LM">
    <w:p w14:paraId="0B5B2CAF" w14:textId="43A48CBA" w:rsidR="00587E62" w:rsidRDefault="00587E62">
      <w:pPr>
        <w:pStyle w:val="CommentText"/>
      </w:pPr>
      <w:r>
        <w:rPr>
          <w:rStyle w:val="CommentReference"/>
        </w:rPr>
        <w:annotationRef/>
      </w:r>
      <w:r w:rsidRPr="00587E62">
        <w:t>https://www.cdc.gov/pcd/issues/2019/19_0109.htm</w:t>
      </w:r>
    </w:p>
  </w:comment>
  <w:comment w:id="1" w:author="Ndumele, Chima" w:date="2022-07-15T15:45:00Z" w:initials="NC">
    <w:p w14:paraId="457C19D1" w14:textId="77777777" w:rsidR="00C2359E" w:rsidRDefault="00C2359E">
      <w:pPr>
        <w:pStyle w:val="CommentText"/>
      </w:pPr>
      <w:r>
        <w:rPr>
          <w:rStyle w:val="CommentReference"/>
        </w:rPr>
        <w:annotationRef/>
      </w:r>
      <w:r>
        <w:t>Need some additional descriptions here.</w:t>
      </w:r>
    </w:p>
    <w:p w14:paraId="5A9F4657" w14:textId="77777777" w:rsidR="00C2359E" w:rsidRDefault="00C2359E">
      <w:pPr>
        <w:pStyle w:val="CommentText"/>
      </w:pPr>
    </w:p>
    <w:p w14:paraId="77CEFFC0" w14:textId="77777777" w:rsidR="00C2359E" w:rsidRDefault="00C2359E" w:rsidP="00C2359E">
      <w:pPr>
        <w:pStyle w:val="CommentText"/>
        <w:numPr>
          <w:ilvl w:val="0"/>
          <w:numId w:val="1"/>
        </w:numPr>
      </w:pPr>
      <w:r>
        <w:t>Don’t know which quartile is good or bad?</w:t>
      </w:r>
    </w:p>
    <w:p w14:paraId="4EECC6D7" w14:textId="77777777" w:rsidR="00C2359E" w:rsidRDefault="00C2359E" w:rsidP="00C2359E">
      <w:pPr>
        <w:pStyle w:val="CommentText"/>
      </w:pPr>
    </w:p>
    <w:p w14:paraId="4C1639E6" w14:textId="77777777" w:rsidR="00C2359E" w:rsidRDefault="00C2359E" w:rsidP="00C2359E">
      <w:pPr>
        <w:pStyle w:val="CommentText"/>
      </w:pPr>
      <w:r>
        <w:t xml:space="preserve">Would add legend giving the mean value and range for each quartile. </w:t>
      </w:r>
    </w:p>
    <w:p w14:paraId="2DFF80AF" w14:textId="77777777" w:rsidR="00C2359E" w:rsidRDefault="00C2359E" w:rsidP="00C2359E">
      <w:pPr>
        <w:pStyle w:val="CommentText"/>
      </w:pPr>
    </w:p>
    <w:p w14:paraId="2A65FCF8" w14:textId="77777777" w:rsidR="00C2359E" w:rsidRDefault="00C2359E" w:rsidP="00C2359E">
      <w:pPr>
        <w:pStyle w:val="CommentText"/>
        <w:numPr>
          <w:ilvl w:val="0"/>
          <w:numId w:val="1"/>
        </w:numPr>
      </w:pPr>
      <w:r>
        <w:t>We need these titles and descriptors to be more descriptive (i.e., days supplied per estimated adult diabetic recipient).</w:t>
      </w:r>
    </w:p>
    <w:p w14:paraId="00152AB6" w14:textId="77777777" w:rsidR="00C2359E" w:rsidRDefault="00C2359E" w:rsidP="00C2359E">
      <w:pPr>
        <w:pStyle w:val="CommentText"/>
      </w:pPr>
    </w:p>
    <w:p w14:paraId="6BFA6203" w14:textId="77777777" w:rsidR="00C2359E" w:rsidRDefault="00C2359E" w:rsidP="00C2359E">
      <w:pPr>
        <w:pStyle w:val="CommentText"/>
      </w:pPr>
    </w:p>
    <w:p w14:paraId="2E3D0526" w14:textId="77777777" w:rsidR="00C2359E" w:rsidRDefault="00C2359E" w:rsidP="00C2359E">
      <w:pPr>
        <w:pStyle w:val="CommentText"/>
      </w:pPr>
    </w:p>
    <w:p w14:paraId="4604444A" w14:textId="77777777" w:rsidR="00C2359E" w:rsidRDefault="00C2359E" w:rsidP="00C2359E">
      <w:pPr>
        <w:pStyle w:val="CommentText"/>
      </w:pPr>
    </w:p>
    <w:p w14:paraId="593F3EF3" w14:textId="77777777" w:rsidR="00C2359E" w:rsidRDefault="00C2359E" w:rsidP="00C2359E">
      <w:pPr>
        <w:pStyle w:val="CommentText"/>
      </w:pPr>
    </w:p>
    <w:p w14:paraId="5EECC290" w14:textId="77777777" w:rsidR="00C2359E" w:rsidRDefault="00C2359E" w:rsidP="00C2359E">
      <w:pPr>
        <w:pStyle w:val="CommentText"/>
      </w:pPr>
      <w:r>
        <w:t xml:space="preserve">This also reminds me that we want to do something indicating the consistency of state performance over time. </w:t>
      </w:r>
    </w:p>
    <w:p w14:paraId="27AA47F1" w14:textId="77777777" w:rsidR="00C2359E" w:rsidRDefault="00C2359E" w:rsidP="00C2359E">
      <w:pPr>
        <w:pStyle w:val="CommentText"/>
      </w:pPr>
    </w:p>
    <w:p w14:paraId="2718C373" w14:textId="584F763E" w:rsidR="00C2359E" w:rsidRDefault="00C2359E" w:rsidP="00C2359E">
      <w:pPr>
        <w:pStyle w:val="CommentText"/>
      </w:pPr>
      <w:r>
        <w:t>Can we bring back that transition matrix graph (or something like it), where we take the 50 states and compare their performance in 2013 and 2019?</w:t>
      </w:r>
    </w:p>
  </w:comment>
  <w:comment w:id="3" w:author="Ndumele, Chima" w:date="2022-07-15T15:49:00Z" w:initials="NC">
    <w:p w14:paraId="694C37B3" w14:textId="77777777" w:rsidR="00C2359E" w:rsidRDefault="00C2359E">
      <w:pPr>
        <w:pStyle w:val="CommentText"/>
      </w:pPr>
      <w:r>
        <w:rPr>
          <w:rStyle w:val="CommentReference"/>
        </w:rPr>
        <w:annotationRef/>
      </w:r>
      <w:r>
        <w:t xml:space="preserve">I like this a lot, but let’s change the variables. </w:t>
      </w:r>
    </w:p>
    <w:p w14:paraId="579D154B" w14:textId="77777777" w:rsidR="00C2359E" w:rsidRDefault="00C2359E">
      <w:pPr>
        <w:pStyle w:val="CommentText"/>
      </w:pPr>
    </w:p>
    <w:p w14:paraId="549F9D88" w14:textId="6B48E136" w:rsidR="00C2359E" w:rsidRDefault="00C2359E">
      <w:pPr>
        <w:pStyle w:val="CommentText"/>
      </w:pPr>
      <w:r>
        <w:t xml:space="preserve">For Medicaid, let’s get features about state finances (annual spending per capita, total spending) and percent population Medicaid and Medicare. </w:t>
      </w:r>
    </w:p>
    <w:p w14:paraId="5A666384" w14:textId="77777777" w:rsidR="00C2359E" w:rsidRDefault="00C2359E">
      <w:pPr>
        <w:pStyle w:val="CommentText"/>
      </w:pPr>
    </w:p>
    <w:p w14:paraId="3E3260BA" w14:textId="77777777" w:rsidR="00C2359E" w:rsidRDefault="00C2359E">
      <w:pPr>
        <w:pStyle w:val="CommentText"/>
      </w:pPr>
    </w:p>
    <w:p w14:paraId="1E125A59" w14:textId="3B042230" w:rsidR="00C2359E" w:rsidRDefault="00C2359E">
      <w:pPr>
        <w:pStyle w:val="CommentText"/>
      </w:pPr>
      <w:r>
        <w:t>I think we want to get at overall state resources. Anything else you think we can grab?</w:t>
      </w:r>
    </w:p>
  </w:comment>
  <w:comment w:id="4" w:author="Ndumele, Chima" w:date="2022-07-15T15:48:00Z" w:initials="NC">
    <w:p w14:paraId="104556C8" w14:textId="2BD4CEE8" w:rsidR="00C2359E" w:rsidRDefault="00C2359E">
      <w:pPr>
        <w:pStyle w:val="CommentText"/>
      </w:pPr>
      <w:r>
        <w:rPr>
          <w:rStyle w:val="CommentReference"/>
        </w:rPr>
        <w:annotationRef/>
      </w:r>
      <w:r>
        <w:t>Can’t quite remember why we did this, but worth keeping for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5B2CAF" w15:done="0"/>
  <w15:commentEx w15:paraId="2718C373" w15:done="0"/>
  <w15:commentEx w15:paraId="1E125A59" w15:done="0"/>
  <w15:commentEx w15:paraId="104556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696539" w16cex:dateUtc="2022-07-01T1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5B2CAF" w16cid:durableId="26696539"/>
  <w16cid:commentId w16cid:paraId="2718C373" w16cid:durableId="267C09FC"/>
  <w16cid:commentId w16cid:paraId="1E125A59" w16cid:durableId="267C0B21"/>
  <w16cid:commentId w16cid:paraId="104556C8" w16cid:durableId="267C0A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6690A"/>
    <w:multiLevelType w:val="hybridMultilevel"/>
    <w:tmpl w:val="FB34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vallee, Matthew">
    <w15:presenceInfo w15:providerId="AD" w15:userId="S::matthew.lavallee@yale.edu::12299975-7cda-45b2-8e68-2e8bba592f61"/>
  </w15:person>
  <w15:person w15:author="Ndumele, Chima">
    <w15:presenceInfo w15:providerId="AD" w15:userId="S::chima.ndumele@yale.edu::3aafb0d5-39d4-4359-83e4-6ee42bd200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8A"/>
    <w:rsid w:val="000F7E6F"/>
    <w:rsid w:val="00194E30"/>
    <w:rsid w:val="00196A8A"/>
    <w:rsid w:val="001C40A7"/>
    <w:rsid w:val="001E3009"/>
    <w:rsid w:val="002B3D43"/>
    <w:rsid w:val="002D70E5"/>
    <w:rsid w:val="002F0A3A"/>
    <w:rsid w:val="003A047C"/>
    <w:rsid w:val="00427C2E"/>
    <w:rsid w:val="00433E15"/>
    <w:rsid w:val="004A1010"/>
    <w:rsid w:val="004E1357"/>
    <w:rsid w:val="00521CE5"/>
    <w:rsid w:val="00532416"/>
    <w:rsid w:val="00587E62"/>
    <w:rsid w:val="00674133"/>
    <w:rsid w:val="00677031"/>
    <w:rsid w:val="006C5BDA"/>
    <w:rsid w:val="008A05F1"/>
    <w:rsid w:val="008A208F"/>
    <w:rsid w:val="008B5D5F"/>
    <w:rsid w:val="0098409F"/>
    <w:rsid w:val="00A70B2D"/>
    <w:rsid w:val="00A74E6C"/>
    <w:rsid w:val="00AC465A"/>
    <w:rsid w:val="00AE0371"/>
    <w:rsid w:val="00B3664A"/>
    <w:rsid w:val="00B702DE"/>
    <w:rsid w:val="00C2359E"/>
    <w:rsid w:val="00C43963"/>
    <w:rsid w:val="00CE1258"/>
    <w:rsid w:val="00DA5688"/>
    <w:rsid w:val="00E95CAC"/>
    <w:rsid w:val="00EA4FA1"/>
    <w:rsid w:val="00F8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7B69"/>
  <w15:chartTrackingRefBased/>
  <w15:docId w15:val="{2E2136AB-E296-1447-A01E-2E0367E7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7C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0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0E5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0E5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0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0E5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5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9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0F3F959F7B54FA7FCE30722B1B6F8" ma:contentTypeVersion="10" ma:contentTypeDescription="Create a new document." ma:contentTypeScope="" ma:versionID="53d9854f786e51c572e150ec466314e9">
  <xsd:schema xmlns:xsd="http://www.w3.org/2001/XMLSchema" xmlns:xs="http://www.w3.org/2001/XMLSchema" xmlns:p="http://schemas.microsoft.com/office/2006/metadata/properties" xmlns:ns3="00322280-27d9-4892-9707-e858f27931da" targetNamespace="http://schemas.microsoft.com/office/2006/metadata/properties" ma:root="true" ma:fieldsID="be3e1212bf5b0b2b430414d363cdcd01" ns3:_="">
    <xsd:import namespace="00322280-27d9-4892-9707-e858f27931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22280-27d9-4892-9707-e858f2793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C4B230-8A92-4CB0-B204-68FF8A671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22280-27d9-4892-9707-e858f2793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D7FAA-5F5B-4E8E-A498-4C588D6D56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5A1C0-ABF6-461C-BB08-C330DD1CEA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667</Words>
  <Characters>3802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Lavallee, Matthew</dc:creator>
  <cp:keywords/>
  <dc:description/>
  <cp:lastModifiedBy>Ndumele, Chima</cp:lastModifiedBy>
  <cp:revision>2</cp:revision>
  <dcterms:created xsi:type="dcterms:W3CDTF">2022-07-15T19:56:00Z</dcterms:created>
  <dcterms:modified xsi:type="dcterms:W3CDTF">2022-07-15T19:56:00Z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0x0101003120F3F959F7B54FA7FCE30722B1B6F8</vt:lpwstr>
  </property>
</Properties>
</file>