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2.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Life-Saving</w:t>
      </w:r>
      <w:r>
        <w:t xml:space="preserve"> </w:t>
      </w:r>
      <w:r>
        <w:t xml:space="preserve">Drugs,</w:t>
      </w:r>
      <w:r>
        <w:t xml:space="preserve"> </w:t>
      </w:r>
      <w:r>
        <w:t xml:space="preserve">V3</w:t>
      </w:r>
    </w:p>
    <w:p>
      <w:pPr>
        <w:pStyle w:val="Author"/>
      </w:pPr>
      <w:r>
        <w:t xml:space="preserve">Chima</w:t>
      </w:r>
      <w:r>
        <w:t xml:space="preserve"> </w:t>
      </w:r>
      <w:r>
        <w:t xml:space="preserve">D.</w:t>
      </w:r>
      <w:r>
        <w:t xml:space="preserve"> </w:t>
      </w:r>
      <w:r>
        <w:t xml:space="preserve">Ndumele,</w:t>
      </w:r>
      <w:r>
        <w:t xml:space="preserve"> </w:t>
      </w:r>
      <w:r>
        <w:t xml:space="preserve">PhD;</w:t>
      </w:r>
      <w:r>
        <w:t xml:space="preserve"> </w:t>
      </w:r>
      <w:r>
        <w:t xml:space="preserve">Matthew</w:t>
      </w:r>
      <w:r>
        <w:t xml:space="preserve"> </w:t>
      </w:r>
      <w:r>
        <w:t xml:space="preserve">P.</w:t>
      </w:r>
      <w:r>
        <w:t xml:space="preserve"> </w:t>
      </w:r>
      <w:r>
        <w:t xml:space="preserve">Lavallee,</w:t>
      </w:r>
      <w:r>
        <w:t xml:space="preserve"> </w:t>
      </w:r>
      <w:r>
        <w:t xml:space="preserve">BA;</w:t>
      </w:r>
      <w:r>
        <w:t xml:space="preserve"> </w:t>
      </w:r>
      <w:r>
        <w:t xml:space="preserve">Anthony</w:t>
      </w:r>
      <w:r>
        <w:t xml:space="preserve"> </w:t>
      </w:r>
      <w:r>
        <w:t xml:space="preserve">Lollo,</w:t>
      </w:r>
      <w:r>
        <w:t xml:space="preserve"> </w:t>
      </w:r>
      <w:r>
        <w:t xml:space="preserve">PhD;</w:t>
      </w:r>
      <w:r>
        <w:t xml:space="preserve"> </w:t>
      </w:r>
      <w:r>
        <w:t xml:space="preserve">Joseph</w:t>
      </w:r>
      <w:r>
        <w:t xml:space="preserve"> </w:t>
      </w:r>
      <w:r>
        <w:t xml:space="preserve">S.</w:t>
      </w:r>
      <w:r>
        <w:t xml:space="preserve"> </w:t>
      </w:r>
      <w:r>
        <w:t xml:space="preserve">Ross,</w:t>
      </w:r>
      <w:r>
        <w:t xml:space="preserve"> </w:t>
      </w:r>
      <w:r>
        <w:t xml:space="preserve">MD,MS;</w:t>
      </w:r>
      <w:r>
        <w:t xml:space="preserve"> </w:t>
      </w:r>
      <w:r>
        <w:t xml:space="preserve">Erica</w:t>
      </w:r>
      <w:r>
        <w:t xml:space="preserve"> </w:t>
      </w:r>
      <w:r>
        <w:t xml:space="preserve">Spatz,</w:t>
      </w:r>
      <w:r>
        <w:t xml:space="preserve"> </w:t>
      </w:r>
      <w:r>
        <w:t xml:space="preserve">PhD;</w:t>
      </w:r>
      <w:r>
        <w:t xml:space="preserve"> </w:t>
      </w:r>
      <w:r>
        <w:t xml:space="preserve">Mark</w:t>
      </w:r>
      <w:r>
        <w:t xml:space="preserve"> </w:t>
      </w:r>
      <w:r>
        <w:t xml:space="preserve">Schlesinger,</w:t>
      </w:r>
      <w:r>
        <w:t xml:space="preserve"> </w:t>
      </w:r>
      <w:r>
        <w:t xml:space="preserve">PhD;</w:t>
      </w:r>
      <w:r>
        <w:t xml:space="preserve"> </w:t>
      </w:r>
      <w:r>
        <w:t xml:space="preserve">Reza</w:t>
      </w:r>
      <w:r>
        <w:t xml:space="preserve"> </w:t>
      </w:r>
      <w:r>
        <w:t xml:space="preserve">Yousebi,</w:t>
      </w:r>
      <w:r>
        <w:t xml:space="preserve"> </w:t>
      </w:r>
      <w:r>
        <w:t xml:space="preserve">PhD;</w:t>
      </w:r>
      <w:r>
        <w:t xml:space="preserve"> </w:t>
      </w:r>
      <w:r>
        <w:t xml:space="preserve">and</w:t>
      </w:r>
      <w:r>
        <w:t xml:space="preserve"> </w:t>
      </w:r>
      <w:r>
        <w:t xml:space="preserve">Jacob</w:t>
      </w:r>
      <w:r>
        <w:t xml:space="preserve"> </w:t>
      </w:r>
      <w:r>
        <w:t xml:space="preserve">Wallace,</w:t>
      </w:r>
      <w:r>
        <w:t xml:space="preserve"> </w:t>
      </w:r>
      <w:r>
        <w:t xml:space="preserve">PhD;</w:t>
      </w:r>
    </w:p>
    <w:p>
      <w:pPr>
        <w:pStyle w:val="Date"/>
      </w:pPr>
      <w:r>
        <w:t xml:space="preserve">From</w:t>
      </w:r>
      <w:r>
        <w:t xml:space="preserve"> </w:t>
      </w:r>
      <w:r>
        <w:t xml:space="preserve">the</w:t>
      </w:r>
      <w:r>
        <w:t xml:space="preserve"> </w:t>
      </w:r>
      <w:r>
        <w:t xml:space="preserve">Department</w:t>
      </w:r>
      <w:r>
        <w:t xml:space="preserve"> </w:t>
      </w:r>
      <w:r>
        <w:t xml:space="preserve">of</w:t>
      </w:r>
      <w:r>
        <w:t xml:space="preserve"> </w:t>
      </w:r>
      <w:r>
        <w:t xml:space="preserve">Health</w:t>
      </w:r>
      <w:r>
        <w:t xml:space="preserve"> </w:t>
      </w:r>
      <w:r>
        <w:t xml:space="preserve">Policy</w:t>
      </w:r>
      <w:r>
        <w:t xml:space="preserve"> </w:t>
      </w:r>
      <w:r>
        <w:t xml:space="preserve">and</w:t>
      </w:r>
      <w:r>
        <w:t xml:space="preserve"> </w:t>
      </w:r>
      <w:r>
        <w:t xml:space="preserve">Management,</w:t>
      </w:r>
      <w:r>
        <w:t xml:space="preserve"> </w:t>
      </w:r>
      <w:r>
        <w:t xml:space="preserve">Yale</w:t>
      </w:r>
      <w:r>
        <w:t xml:space="preserve"> </w:t>
      </w:r>
      <w:r>
        <w:t xml:space="preserve">School</w:t>
      </w:r>
      <w:r>
        <w:t xml:space="preserve"> </w:t>
      </w:r>
      <w:r>
        <w:t xml:space="preserve">of</w:t>
      </w:r>
      <w:r>
        <w:t xml:space="preserve"> </w:t>
      </w:r>
      <w:r>
        <w:t xml:space="preserve">Public</w:t>
      </w:r>
      <w:r>
        <w:t xml:space="preserve"> </w:t>
      </w:r>
      <w:r>
        <w:t xml:space="preserve">Health</w:t>
      </w:r>
      <w:r>
        <w:t xml:space="preserve"> </w:t>
      </w:r>
      <w:r>
        <w:t xml:space="preserve">(Ndumele,</w:t>
      </w:r>
      <w:r>
        <w:t xml:space="preserve"> </w:t>
      </w:r>
      <w:r>
        <w:t xml:space="preserve">Lavallee,</w:t>
      </w:r>
      <w:r>
        <w:t xml:space="preserve"> </w:t>
      </w:r>
      <w:r>
        <w:t xml:space="preserve">Lollo,</w:t>
      </w:r>
      <w:r>
        <w:t xml:space="preserve"> </w:t>
      </w:r>
      <w:r>
        <w:t xml:space="preserve">Ross,</w:t>
      </w:r>
      <w:r>
        <w:t xml:space="preserve"> </w:t>
      </w:r>
      <w:r>
        <w:t xml:space="preserve">Schlesinger,</w:t>
      </w:r>
      <w:r>
        <w:t xml:space="preserve"> </w:t>
      </w:r>
      <w:r>
        <w:t xml:space="preserve">Yousebi,</w:t>
      </w:r>
      <w:r>
        <w:t xml:space="preserve"> </w:t>
      </w:r>
      <w:r>
        <w:t xml:space="preserve">Wallace);</w:t>
      </w:r>
      <w:r>
        <w:t xml:space="preserve"> </w:t>
      </w:r>
      <w:r>
        <w:t xml:space="preserve">the</w:t>
      </w:r>
      <w:r>
        <w:t xml:space="preserve"> </w:t>
      </w:r>
      <w:r>
        <w:t xml:space="preserve">Tobin</w:t>
      </w:r>
      <w:r>
        <w:t xml:space="preserve"> </w:t>
      </w:r>
      <w:r>
        <w:t xml:space="preserve">Center</w:t>
      </w:r>
      <w:r>
        <w:t xml:space="preserve"> </w:t>
      </w:r>
      <w:r>
        <w:t xml:space="preserve">for</w:t>
      </w:r>
      <w:r>
        <w:t xml:space="preserve"> </w:t>
      </w:r>
      <w:r>
        <w:t xml:space="preserve">Economic</w:t>
      </w:r>
      <w:r>
        <w:t xml:space="preserve"> </w:t>
      </w:r>
      <w:r>
        <w:t xml:space="preserve">Policy,</w:t>
      </w:r>
      <w:r>
        <w:t xml:space="preserve"> </w:t>
      </w:r>
      <w:r>
        <w:t xml:space="preserve">Yale</w:t>
      </w:r>
      <w:r>
        <w:t xml:space="preserve"> </w:t>
      </w:r>
      <w:r>
        <w:t xml:space="preserve">University</w:t>
      </w:r>
      <w:r>
        <w:t xml:space="preserve"> </w:t>
      </w:r>
      <w:r>
        <w:t xml:space="preserve">(Lavallee);</w:t>
      </w:r>
      <w:r>
        <w:t xml:space="preserve"> </w:t>
      </w:r>
      <w:r>
        <w:t xml:space="preserve">Center</w:t>
      </w:r>
      <w:r>
        <w:t xml:space="preserve"> </w:t>
      </w:r>
      <w:r>
        <w:t xml:space="preserve">for</w:t>
      </w:r>
      <w:r>
        <w:t xml:space="preserve"> </w:t>
      </w:r>
      <w:r>
        <w:t xml:space="preserve">Outcomes</w:t>
      </w:r>
      <w:r>
        <w:t xml:space="preserve"> </w:t>
      </w:r>
      <w:r>
        <w:t xml:space="preserve">Research</w:t>
      </w:r>
      <w:r>
        <w:t xml:space="preserve"> </w:t>
      </w:r>
      <w:r>
        <w:t xml:space="preserve">and</w:t>
      </w:r>
      <w:r>
        <w:t xml:space="preserve"> </w:t>
      </w:r>
      <w:r>
        <w:t xml:space="preserve">Evaluation,</w:t>
      </w:r>
      <w:r>
        <w:t xml:space="preserve"> </w:t>
      </w:r>
      <w:r>
        <w:t xml:space="preserve">Yale-New</w:t>
      </w:r>
      <w:r>
        <w:t xml:space="preserve"> </w:t>
      </w:r>
      <w:r>
        <w:t xml:space="preserve">Haven</w:t>
      </w:r>
      <w:r>
        <w:t xml:space="preserve"> </w:t>
      </w:r>
      <w:r>
        <w:t xml:space="preserve">Hospital</w:t>
      </w:r>
      <w:r>
        <w:t xml:space="preserve"> </w:t>
      </w:r>
      <w:r>
        <w:t xml:space="preserve">(Ross,</w:t>
      </w:r>
      <w:r>
        <w:t xml:space="preserve"> </w:t>
      </w:r>
      <w:r>
        <w:t xml:space="preserve">Spatz);</w:t>
      </w:r>
      <w:r>
        <w:t xml:space="preserve"> </w:t>
      </w:r>
      <w:r>
        <w:t xml:space="preserve">Section</w:t>
      </w:r>
      <w:r>
        <w:t xml:space="preserve"> </w:t>
      </w:r>
      <w:r>
        <w:t xml:space="preserve">of</w:t>
      </w:r>
      <w:r>
        <w:t xml:space="preserve"> </w:t>
      </w:r>
      <w:r>
        <w:t xml:space="preserve">General</w:t>
      </w:r>
      <w:r>
        <w:t xml:space="preserve"> </w:t>
      </w:r>
      <w:r>
        <w:t xml:space="preserve">Internal</w:t>
      </w:r>
      <w:r>
        <w:t xml:space="preserve"> </w:t>
      </w:r>
      <w:r>
        <w:t xml:space="preserve">Medicine</w:t>
      </w:r>
      <w:r>
        <w:t xml:space="preserve"> </w:t>
      </w:r>
      <w:r>
        <w:t xml:space="preserve">(Ross)</w:t>
      </w:r>
      <w:r>
        <w:t xml:space="preserve"> </w:t>
      </w:r>
      <w:r>
        <w:t xml:space="preserve">and</w:t>
      </w:r>
      <w:r>
        <w:t xml:space="preserve"> </w:t>
      </w:r>
      <w:r>
        <w:t xml:space="preserve">Section</w:t>
      </w:r>
      <w:r>
        <w:t xml:space="preserve"> </w:t>
      </w:r>
      <w:r>
        <w:t xml:space="preserve">of</w:t>
      </w:r>
      <w:r>
        <w:t xml:space="preserve"> </w:t>
      </w:r>
      <w:r>
        <w:t xml:space="preserve">Cardiology(Spatz),and</w:t>
      </w:r>
      <w:r>
        <w:t xml:space="preserve"> </w:t>
      </w:r>
      <w:r>
        <w:t xml:space="preserve">Yale</w:t>
      </w:r>
      <w:r>
        <w:t xml:space="preserve"> </w:t>
      </w:r>
      <w:r>
        <w:t xml:space="preserve">School</w:t>
      </w:r>
      <w:r>
        <w:t xml:space="preserve"> </w:t>
      </w:r>
      <w:r>
        <w:t xml:space="preserve">of</w:t>
      </w:r>
      <w:r>
        <w:t xml:space="preserve"> </w:t>
      </w:r>
      <w:r>
        <w:t xml:space="preserve">Medicine;</w:t>
      </w:r>
      <w:r>
        <w:t xml:space="preserve"> </w:t>
      </w:r>
      <w:r>
        <w:t xml:space="preserve">all</w:t>
      </w:r>
      <w:r>
        <w:t xml:space="preserve"> </w:t>
      </w:r>
      <w:r>
        <w:t xml:space="preserve">in</w:t>
      </w:r>
      <w:r>
        <w:t xml:space="preserve"> </w:t>
      </w:r>
      <w:r>
        <w:t xml:space="preserve">New</w:t>
      </w:r>
      <w:r>
        <w:t xml:space="preserve"> </w:t>
      </w:r>
      <w:r>
        <w:t xml:space="preserve">Haven,</w:t>
      </w:r>
      <w:r>
        <w:t xml:space="preserve"> </w:t>
      </w:r>
      <w:r>
        <w:t xml:space="preserve">Connecticut</w:t>
      </w:r>
    </w:p>
    <w:p>
      <w:r>
        <w:br w:type="page"/>
      </w:r>
    </w:p>
    <w:bookmarkStart w:id="20" w:name="introduction"/>
    <w:p>
      <w:pPr>
        <w:pStyle w:val="Heading1"/>
      </w:pPr>
      <w:r>
        <w:t xml:space="preserve">Introduction</w:t>
      </w:r>
    </w:p>
    <w:bookmarkEnd w:id="20"/>
    <w:bookmarkStart w:id="23" w:name="methods"/>
    <w:p>
      <w:pPr>
        <w:pStyle w:val="Heading1"/>
      </w:pPr>
      <w:r>
        <w:t xml:space="preserve">Methods</w:t>
      </w:r>
    </w:p>
    <w:bookmarkStart w:id="21" w:name="overview"/>
    <w:p>
      <w:pPr>
        <w:pStyle w:val="Heading2"/>
      </w:pPr>
      <w:r>
        <w:t xml:space="preserve">Overview</w:t>
      </w:r>
    </w:p>
    <w:bookmarkEnd w:id="21"/>
    <w:bookmarkStart w:id="22" w:name="data-sources"/>
    <w:p>
      <w:pPr>
        <w:pStyle w:val="Heading2"/>
      </w:pPr>
      <w:r>
        <w:t xml:space="preserve">Data Sources</w:t>
      </w:r>
    </w:p>
    <w:p>
      <w:pPr>
        <w:pStyle w:val="FirstParagraph"/>
      </w:pPr>
      <w:r>
        <w:t xml:space="preserve">We drew from five publicly available sources</w:t>
      </w:r>
      <w:hyperlink w:anchor="ref-mcwilliams2023">
        <w:r>
          <w:rPr>
            <w:rStyle w:val="Hyperlink"/>
            <w:vertAlign w:val="superscript"/>
          </w:rPr>
          <w:t xml:space="preserve">1</w:t>
        </w:r>
      </w:hyperlink>
      <w:r>
        <w:t xml:space="preserve">. First, we use annual reports from the Center of Medicare &amp; Medicaid Services (CMS) to collect state-level enrollment numbers for Medicaid and Medicare from 2004 to 2020. Second, we use the Behavioral Risk Factor Surveillance System (BRFSS) from the Centers for Disease Control and Prevention to estimate the proportion of individuals in each program with type 2 diabetes. Third, we use the National Drug Code Directory (NDCD) from the Food &amp; Drug Administration to flag SGLT-2 and GLP-1 NDC codes. Finally, we use the State Drug Utilization Data (SDUD) and the Medicare Part D Prescribers dataset both made available by CMS, which provided state-by-year drug utilization numbers.</w:t>
      </w:r>
    </w:p>
    <w:bookmarkEnd w:id="22"/>
    <w:bookmarkEnd w:id="23"/>
    <w:bookmarkStart w:id="24" w:name="results"/>
    <w:p>
      <w:pPr>
        <w:pStyle w:val="Heading1"/>
      </w:pPr>
      <w:r>
        <w:t xml:space="preserve">Results</w:t>
      </w:r>
    </w:p>
    <w:bookmarkEnd w:id="24"/>
    <w:bookmarkStart w:id="25" w:name="discussion"/>
    <w:p>
      <w:pPr>
        <w:pStyle w:val="Heading1"/>
      </w:pPr>
      <w:r>
        <w:t xml:space="preserve">Discussion</w:t>
      </w:r>
    </w:p>
    <w:bookmarkEnd w:id="25"/>
    <w:bookmarkStart w:id="38" w:name="x"/>
    <w:p>
      <w:pPr>
        <w:pStyle w:val="Heading1"/>
      </w:pPr>
      <w:r>
        <w:t xml:space="preserve">X</w:t>
      </w:r>
    </w:p>
    <w:p>
      <w:pPr>
        <w:pStyle w:val="SourceCode"/>
      </w:pPr>
      <w:r>
        <w:rPr>
          <w:rStyle w:val="VerbatimChar"/>
        </w:rPr>
        <w:t xml:space="preserve">## here() starts at /Users/mpl48/Documents/work/Drugs, Negligence, and Death</w:t>
      </w:r>
    </w:p>
    <w:p>
      <w:pPr>
        <w:pStyle w:val="CaptionedFigure"/>
      </w:pPr>
      <w:r>
        <w:drawing>
          <wp:inline>
            <wp:extent cx="5943600" cy="4944970"/>
            <wp:effectExtent b="0" l="0" r="0" t="0"/>
            <wp:docPr descr="this is a caption" title="" id="27" name="Picture"/>
            <a:graphic>
              <a:graphicData uri="http://schemas.openxmlformats.org/drawingml/2006/picture">
                <pic:pic>
                  <pic:nvPicPr>
                    <pic:cNvPr descr="../trunk/analysis/figures/Figure%201/fig1.3.png" id="28" name="Picture"/>
                    <pic:cNvPicPr>
                      <a:picLocks noChangeArrowheads="1" noChangeAspect="1"/>
                    </pic:cNvPicPr>
                  </pic:nvPicPr>
                  <pic:blipFill>
                    <a:blip r:embed="rId26"/>
                    <a:stretch>
                      <a:fillRect/>
                    </a:stretch>
                  </pic:blipFill>
                  <pic:spPr bwMode="auto">
                    <a:xfrm>
                      <a:off x="0" y="0"/>
                      <a:ext cx="5943600" cy="4944970"/>
                    </a:xfrm>
                    <a:prstGeom prst="rect">
                      <a:avLst/>
                    </a:prstGeom>
                    <a:noFill/>
                    <a:ln w="9525">
                      <a:noFill/>
                      <a:headEnd/>
                      <a:tailEnd/>
                    </a:ln>
                  </pic:spPr>
                </pic:pic>
              </a:graphicData>
            </a:graphic>
          </wp:inline>
        </w:drawing>
      </w:r>
    </w:p>
    <w:p>
      <w:pPr>
        <w:pStyle w:val="ImageCaption"/>
      </w:pPr>
      <w:r>
        <w:t xml:space="preserve">this is a caption</w:t>
      </w:r>
    </w:p>
    <w:p>
      <w:pPr>
        <w:pStyle w:val="CaptionedFigure"/>
      </w:pPr>
      <w:r>
        <w:drawing>
          <wp:inline>
            <wp:extent cx="5943600" cy="3148927"/>
            <wp:effectExtent b="0" l="0" r="0" t="0"/>
            <wp:docPr descr="this is a caption" title="" id="30" name="Picture"/>
            <a:graphic>
              <a:graphicData uri="http://schemas.openxmlformats.org/drawingml/2006/picture">
                <pic:pic>
                  <pic:nvPicPr>
                    <pic:cNvPr descr="../trunk/analysis/figures/Figure%203/fig3.2.png" id="31" name="Picture"/>
                    <pic:cNvPicPr>
                      <a:picLocks noChangeArrowheads="1" noChangeAspect="1"/>
                    </pic:cNvPicPr>
                  </pic:nvPicPr>
                  <pic:blipFill>
                    <a:blip r:embed="rId29"/>
                    <a:stretch>
                      <a:fillRect/>
                    </a:stretch>
                  </pic:blipFill>
                  <pic:spPr bwMode="auto">
                    <a:xfrm>
                      <a:off x="0" y="0"/>
                      <a:ext cx="5943600" cy="3148927"/>
                    </a:xfrm>
                    <a:prstGeom prst="rect">
                      <a:avLst/>
                    </a:prstGeom>
                    <a:noFill/>
                    <a:ln w="9525">
                      <a:noFill/>
                      <a:headEnd/>
                      <a:tailEnd/>
                    </a:ln>
                  </pic:spPr>
                </pic:pic>
              </a:graphicData>
            </a:graphic>
          </wp:inline>
        </w:drawing>
      </w:r>
    </w:p>
    <w:p>
      <w:pPr>
        <w:pStyle w:val="ImageCaption"/>
      </w:pPr>
      <w:r>
        <w:t xml:space="preserve">this is a caption</w:t>
      </w:r>
    </w:p>
    <w:p>
      <w:pPr>
        <w:pStyle w:val="CaptionedFigure"/>
      </w:pPr>
      <w:r>
        <w:drawing>
          <wp:inline>
            <wp:extent cx="5943600" cy="6439658"/>
            <wp:effectExtent b="0" l="0" r="0" t="0"/>
            <wp:docPr descr="this is a caption" title="" id="33" name="Picture"/>
            <a:graphic>
              <a:graphicData uri="http://schemas.openxmlformats.org/drawingml/2006/picture">
                <pic:pic>
                  <pic:nvPicPr>
                    <pic:cNvPr descr="../trunk/analysis/figures/Figure%202/fig2.2.png" id="34" name="Picture"/>
                    <pic:cNvPicPr>
                      <a:picLocks noChangeArrowheads="1" noChangeAspect="1"/>
                    </pic:cNvPicPr>
                  </pic:nvPicPr>
                  <pic:blipFill>
                    <a:blip r:embed="rId32"/>
                    <a:stretch>
                      <a:fillRect/>
                    </a:stretch>
                  </pic:blipFill>
                  <pic:spPr bwMode="auto">
                    <a:xfrm>
                      <a:off x="0" y="0"/>
                      <a:ext cx="5943600" cy="6439658"/>
                    </a:xfrm>
                    <a:prstGeom prst="rect">
                      <a:avLst/>
                    </a:prstGeom>
                    <a:noFill/>
                    <a:ln w="9525">
                      <a:noFill/>
                      <a:headEnd/>
                      <a:tailEnd/>
                    </a:ln>
                  </pic:spPr>
                </pic:pic>
              </a:graphicData>
            </a:graphic>
          </wp:inline>
        </w:drawing>
      </w:r>
    </w:p>
    <w:p>
      <w:pPr>
        <w:pStyle w:val="ImageCaption"/>
      </w:pPr>
      <w:r>
        <w:t xml:space="preserve">this is a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389"/>
        <w:gridCol w:w="1267"/>
        <w:gridCol w:w="1389"/>
        <w:gridCol w:w="1389"/>
      </w:tblGrid>
      <w:tr>
        <w:trPr>
          <w:cantSplit/>
          <w:trHeight w:val="360" w:hRule="auto"/>
          <w:tblHeader/>
        </w:trPr>
        header 1
        <w:tc>
          <w:tcPr>
            <w:gridSpan w:val="5"/>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Table X: GLP-1 &amp; SGLT-2 Days Supplied</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Medicaid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Medicare</w:t>
            </w:r>
          </w:p>
        </w:tc>
      </w:tr>
      <w:tr>
        <w:trPr>
          <w:cantSplit/>
          <w:trHeight w:val="360" w:hRule="auto"/>
          <w:tblHeader/>
        </w:trPr>
        header 3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Bottom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Bottom Quintile</w:t>
            </w:r>
          </w:p>
        </w:tc>
      </w:tr>
      <w:tr>
        <w:trPr>
          <w:cantSplit/>
          <w:trHeight w:val="57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168.37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56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56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56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59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59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59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2,396.02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59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2,686.69</w:t>
            </w:r>
          </w:p>
        </w:tc>
      </w:tr>
      <w:tr>
        <w:trPr>
          <w:cantSplit/>
          <w:trHeight w:val="59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7,549.49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3,629.49</w:t>
            </w:r>
          </w:p>
        </w:tc>
      </w:tr>
      <w:tr>
        <w:trPr>
          <w:cantSplit/>
          <w:trHeight w:val="59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11,975.44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5,743.98</w:t>
            </w:r>
          </w:p>
        </w:tc>
      </w:tr>
      <w:tr>
        <w:trPr>
          <w:cantSplit/>
          <w:trHeight w:val="598"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4,172.17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15,996.42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7,913.61</w:t>
            </w:r>
          </w:p>
        </w:tc>
      </w:tr>
      <w:tr>
        <w:trPr>
          <w:cantSplit/>
          <w:trHeight w:val="59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6,812.94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20,682.61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11,784.82</w:t>
            </w:r>
          </w:p>
        </w:tc>
      </w:tr>
      <w:tr>
        <w:trPr>
          <w:cantSplit/>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25,154.99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14,724.97</w:t>
            </w:r>
          </w:p>
        </w:tc>
      </w:tr>
      <w:tr>
        <w:trPr>
          <w:cantSplit/>
          <w:trHeight w:val="59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7,838.45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35,851.19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20,432.88</w:t>
            </w:r>
          </w:p>
        </w:tc>
      </w:tr>
      <w:tr>
        <w:trPr>
          <w:cantSplit/>
          <w:trHeight w:val="598" w:hRule="auto"/>
        </w:trPr>
        body16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12,427.55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2,199.14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209"/>
        <w:gridCol w:w="2331"/>
      </w:tblGrid>
      <w:tr>
        <w:trPr>
          <w:cantSplit/>
          <w:trHeight w:val="360" w:hRule="auto"/>
          <w:tblHeader/>
        </w:trPr>
        header 1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Table X: GLP-1 &amp; SGLT-2 Days Supplied</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r>
      <w:tr>
        <w:trPr>
          <w:cantSplit/>
          <w:trHeight w:val="360" w:hRule="auto"/>
          <w:tblHeader/>
        </w:trPr>
        header 3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Medicare</w:t>
            </w:r>
          </w:p>
        </w:tc>
      </w:tr>
      <w:tr>
        <w:trPr>
          <w:cantSplit/>
          <w:trHeight w:val="616"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59.53 (66.64)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260.98 (291.09)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243.18 (164.35)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274.17 (229.46)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210.01 (169.99)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646.15 (416.76)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993.76 (549.07)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1009.22 (840.7)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724 (569.23)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4022.79 (1030.05)</w:t>
            </w:r>
          </w:p>
        </w:tc>
      </w:tr>
      <w:tr>
        <w:trPr>
          <w:cantSplit/>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841.83 (615.03)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5604.57 (1443.51)</w:t>
            </w:r>
          </w:p>
        </w:tc>
      </w:tr>
      <w:tr>
        <w:trPr>
          <w:cantSplit/>
          <w:trHeight w:val="61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1443.24 (944.51)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8753.49 (2273.94)</w:t>
            </w:r>
          </w:p>
        </w:tc>
      </w:tr>
      <w:tr>
        <w:trPr>
          <w:cantSplit/>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2103.56 (1363.75)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11746.74 (2971.8)</w:t>
            </w:r>
          </w:p>
        </w:tc>
      </w:tr>
      <w:tr>
        <w:trPr>
          <w:cantSplit/>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3186.49 (2260.46)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16004.66 (3338.64)</w:t>
            </w:r>
          </w:p>
        </w:tc>
      </w:tr>
      <w:tr>
        <w:trPr>
          <w:cantSplit/>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3990.88 (2923.16)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19989.81 (3909.21)</w:t>
            </w:r>
          </w:p>
        </w:tc>
      </w:tr>
      <w:tr>
        <w:trPr>
          <w:cantSplit/>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4446.04 (2437.61)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27876.22 (5545.62)</w:t>
            </w:r>
          </w:p>
        </w:tc>
      </w:tr>
      <w:tr>
        <w:trPr>
          <w:cantSplit/>
          <w:trHeight w:val="616" w:hRule="auto"/>
        </w:trPr>
        body16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6706.73 (3986.11)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475"/>
        <w:gridCol w:w="1352"/>
        <w:gridCol w:w="1352"/>
        <w:gridCol w:w="1475"/>
        <w:gridCol w:w="1352"/>
      </w:tblGrid>
      <w:tr>
        <w:trPr>
          <w:cantSplit/>
          <w:trHeight w:val="360" w:hRule="auto"/>
          <w:tblHeader/>
        </w:trPr>
        header1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Table X: GLP-1 &amp; SGLT-2 Days Supplied</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Second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Third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Fourth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Bottom Quintile</w:t>
            </w:r>
          </w:p>
        </w:tc>
      </w:tr>
      <w:tr>
        <w:trPr>
          <w:cantSplit/>
          <w:trHeight w:val="775"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3597.81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(2064.19)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2753.84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(1889.92)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2218.54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(1684.32)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(1573.7)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1406.07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(1326.03)</w:t>
            </w:r>
          </w:p>
        </w:tc>
      </w:tr>
      <w:tr>
        <w:trPr>
          <w:cantSplit/>
          <w:trHeight w:val="77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4674.46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(2984.28)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3737.27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(2783.57)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3096.22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2587.69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1875.22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(1833.83)</w:t>
            </w:r>
          </w:p>
        </w:tc>
      </w:tr>
      <w:tr>
        <w:trPr>
          <w:cantSplit/>
          <w:trHeight w:val="77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7440.75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5819.38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(4187.83)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4871.97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(3713.86)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4115.72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(3348.16)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3009.78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(2853.54)</w:t>
            </w:r>
          </w:p>
        </w:tc>
      </w:tr>
      <w:tr>
        <w:trPr>
          <w:cantSplit/>
          <w:trHeight w:val="77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10084.3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(6106.52)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8008.91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6534.64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(4860.48)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5460.46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4221.54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(3853.85)</w:t>
            </w:r>
          </w:p>
        </w:tc>
      </w:tr>
      <w:tr>
        <w:trPr>
          <w:cantSplit/>
          <w:trHeight w:val="77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13747.77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(7216.39)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10870.87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(7149.17)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8972.25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(6634.71)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7693.46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(6324.62)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6278.32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(5755.86)</w:t>
            </w:r>
          </w:p>
        </w:tc>
      </w:tr>
      <w:tr>
        <w:trPr>
          <w:cantSplit/>
          <w:trHeight w:val="77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16842.38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(8764.92)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13529.07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(8902.85)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11282.9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(8439.22)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9934.55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(8172.25)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7877.62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(7178.14)</w:t>
            </w:r>
          </w:p>
        </w:tc>
      </w:tr>
      <w:tr>
        <w:trPr>
          <w:cantSplit/>
          <w:trHeight w:val="775"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21844.82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(14573.03)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18336.22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(12689)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15898.33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(11990.9)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13819.66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(11350.12)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10906.62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(9853.33)</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15"/>
        <w:gridCol w:w="2600"/>
        <w:gridCol w:w="1597"/>
        <w:gridCol w:w="1597"/>
        <w:gridCol w:w="1597"/>
        <w:gridCol w:w="1597"/>
        <w:gridCol w:w="1597"/>
      </w:tblGrid>
      <w:tr>
        <w:trPr>
          <w:cantSplit/>
          <w:trHeight w:val="360" w:hRule="auto"/>
          <w:tblHeader/>
        </w:trPr>
        header1
        <w:tc>
          <w:tcPr>
            <w:gridSpan w:val="7"/>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Table X: Program Characteristics by Quintile</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Program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Second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Third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Fourth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Bottom Quintile</w:t>
            </w:r>
          </w:p>
        </w:tc>
      </w:tr>
      <w:tr>
        <w:trPr>
          <w:cantSplit/>
          <w:trHeight w:val="824" w:hRule="auto"/>
        </w:trPr>
        body1
        <w:tc>
          <w:tcPr>
            <w:vMerge w:val="restart"/>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Medicaid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Days Supplied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 1000 Enrollees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4815.06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(2911.09)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3015.52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(1879.55)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2023.61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(1265.03)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1316.58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(849.72)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604.84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(523.54)</w:t>
            </w:r>
          </w:p>
        </w:tc>
      </w:tr>
      <w:tr>
        <w:trPr>
          <w:cantSplit/>
          <w:trHeight w:val="775"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 of Program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207211.57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(284154.87)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109967.2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(164785.28)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137551.05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(141628.2)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152790.84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(195932.59)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104515.87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(91039.55)</w:t>
            </w:r>
          </w:p>
        </w:tc>
      </w:tr>
      <w:tr>
        <w:trPr>
          <w:cantSplit/>
          <w:trHeight w:val="78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 Diabetic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Program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w:t>
            </w:r>
          </w:p>
        </w:tc>
      </w:tr>
      <w:tr>
        <w:trPr>
          <w:cantSplit/>
          <w:trHeight w:val="824" w:hRule="auto"/>
        </w:trPr>
        body4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Days Supplied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 1000 Enrollees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17454.61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(9849.54)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15000.36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(8666.71)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13083.49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(7852.09)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11684.06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(7207.02)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9559.49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(6140.84)</w:t>
            </w:r>
          </w:p>
        </w:tc>
      </w:tr>
      <w:tr>
        <w:trPr>
          <w:cantSplit/>
          <w:trHeight w:val="775"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 of Program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275157.3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(225669.69)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241176.22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(248919.28)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303782.49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(341169.92)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208194.27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(224878.24)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158641.36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(185623.53)</w:t>
            </w:r>
          </w:p>
        </w:tc>
      </w:tr>
      <w:tr>
        <w:trPr>
          <w:cantSplit/>
          <w:trHeight w:val="780" w:hRule="auto"/>
        </w:trPr>
        body6
        <w:tc>
          <w:tcPr>
            <w:vMerge/>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 Diabetic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Program</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20.58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15"/>
        <w:gridCol w:w="3345"/>
        <w:gridCol w:w="1597"/>
        <w:gridCol w:w="1597"/>
        <w:gridCol w:w="1597"/>
        <w:gridCol w:w="1597"/>
        <w:gridCol w:w="1597"/>
      </w:tblGrid>
      <w:tr>
        <w:trPr>
          <w:cantSplit/>
          <w:trHeight w:val="360" w:hRule="auto"/>
          <w:tblHeader/>
        </w:trPr>
        header 1
        <w:tc>
          <w:tcPr>
            <w:gridSpan w:val="7"/>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Table X: Program Characteristics by Quintile</w:t>
            </w:r>
          </w:p>
        </w:tc>
      </w:tr>
      <w:tr>
        <w:trPr>
          <w:cantSplit/>
          <w:trHeight w:val="360" w:hRule="auto"/>
          <w:tblHeader/>
        </w:trPr>
        header 2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5"/>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w:t>
            </w:r>
          </w:p>
        </w:tc>
      </w:tr>
      <w:tr>
        <w:trPr>
          <w:cantSplit/>
          <w:trHeight w:val="360" w:hRule="auto"/>
          <w:tblHeader/>
        </w:trPr>
        header 3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Program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Second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Third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Fourth Quintile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Bottom Quintile</w:t>
            </w:r>
          </w:p>
        </w:tc>
      </w:tr>
      <w:tr>
        <w:trPr>
          <w:cantSplit/>
          <w:trHeight w:val="837" w:hRule="auto"/>
        </w:trPr>
        body 1
        <w:tc>
          <w:tcPr>
            <w:vMerge w:val="restart"/>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Medicaid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Medicaid Spending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Millions of $)</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11616.31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(14971.96)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6024.86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(8368.19)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7261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(6823.53)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7146.19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(8260.81)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4824.56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(4303.41)</w:t>
            </w:r>
          </w:p>
        </w:tc>
      </w:tr>
      <w:tr>
        <w:trPr>
          <w:cantSplit/>
          <w:trHeight w:val="837"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Medicare Spending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Millions of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13258.45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(14225.28)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8199.21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11513.91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(12682.75)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10297.85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(11219.05)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7335.82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(6581.42)</w:t>
            </w:r>
          </w:p>
        </w:tc>
      </w:tr>
      <w:tr>
        <w:trPr>
          <w:cantSplit/>
          <w:trHeight w:val="838"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Medicaid Spending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 Capita,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7988.53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(1648.84)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7344.01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7420.76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6681.31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6568.4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(1530.72)</w:t>
            </w:r>
          </w:p>
        </w:tc>
      </w:tr>
      <w:tr>
        <w:trPr>
          <w:cantSplit/>
          <w:trHeight w:val="838"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Medicare Spending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 Capita,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10013.24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9613.51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10131.13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9768.3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9804.77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(862.86)</w:t>
            </w:r>
          </w:p>
        </w:tc>
      </w:tr>
      <w:tr>
        <w:trPr>
          <w:cantSplit/>
          <w:trHeight w:val="775"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Enrollment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207211.57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(284154.87)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109967.2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(164785.28)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137551.05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(141628.2)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152790.84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(195932.59)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111725.99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(91968.61)</w:t>
            </w:r>
          </w:p>
        </w:tc>
      </w:tr>
      <w:tr>
        <w:trPr>
          <w:cantSplit/>
          <w:trHeight w:val="829"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Federally Qualified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Community Health Clinics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131.87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118.77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134.77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(63.78)</w:t>
            </w:r>
          </w:p>
        </w:tc>
      </w:tr>
      <w:tr>
        <w:trPr>
          <w:cantSplit/>
          <w:trHeight w:val="775"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Federal Medical Doctors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546.39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380.67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593.41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550.64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382.55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(409.07)</w:t>
            </w:r>
          </w:p>
        </w:tc>
      </w:tr>
      <w:tr>
        <w:trPr>
          <w:cantSplit/>
          <w:trHeight w:val="837" w:hRule="auto"/>
        </w:trPr>
        body 8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Medicaid Spending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Millions of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10571.81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(13341.53)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6251.9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(6708.96)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8916.91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(11621.02)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6681.68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4594.99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(3806.72)</w:t>
            </w:r>
          </w:p>
        </w:tc>
      </w:tr>
      <w:tr>
        <w:trPr>
          <w:cantSplit/>
          <w:trHeight w:val="837"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Medicare Spending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Millions of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12143.8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(10596.92)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9404.26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(9689.68)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13193.99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(15878.44)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9416.04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6583.68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(7774.37)</w:t>
            </w:r>
          </w:p>
        </w:tc>
      </w:tr>
      <w:tr>
        <w:trPr>
          <w:cantSplit/>
          <w:trHeight w:val="838"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Medicaid Spending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 Capita,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7943.49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6890.71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6890.9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6862.43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7469.93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(1961.41)</w:t>
            </w:r>
          </w:p>
        </w:tc>
      </w:tr>
      <w:tr>
        <w:trPr>
          <w:cantSplit/>
          <w:trHeight w:val="838"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Medicare Spending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 Capita,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10329.83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9896.48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(1115.08)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9987.18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9792.19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9279.61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(1032.51)</w:t>
            </w:r>
          </w:p>
        </w:tc>
      </w:tr>
      <w:tr>
        <w:trPr>
          <w:cantSplit/>
          <w:trHeight w:val="775" w:hRule="auto"/>
        </w:trPr>
        body12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Enrollment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275157.3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(225669.69)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241176.22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(248919.28)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303782.49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(341169.92)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216708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(226167.83)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164974.11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(187275.99)</w:t>
            </w:r>
          </w:p>
        </w:tc>
      </w:tr>
      <w:tr>
        <w:trPr>
          <w:cantSplit/>
          <w:trHeight w:val="829" w:hRule="auto"/>
        </w:trPr>
        body13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Federally Qualified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Community Health Clinics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108.91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116.04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151.44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115.75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86.57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(62.99)</w:t>
            </w:r>
          </w:p>
        </w:tc>
      </w:tr>
      <w:tr>
        <w:trPr>
          <w:cantSplit/>
          <w:trHeight w:val="775" w:hRule="auto"/>
        </w:trPr>
        body14
        <w:tc>
          <w:tcPr>
            <w:vMerge/>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Federal Medical Doctors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455.21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(391.14)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(513.69)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595.17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(756.54)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571.24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(630.06)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425.69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(438.14)</w:t>
            </w:r>
          </w:p>
        </w:tc>
      </w:tr>
    </w:tbl>
    <w:bookmarkStart w:id="37" w:name="refs"/>
    <w:bookmarkStart w:id="36" w:name="ref-mcwilliams2023"/>
    <w:p>
      <w:pPr>
        <w:pStyle w:val="Bibliography"/>
      </w:pPr>
      <w:r>
        <w:t xml:space="preserve">1</w:t>
      </w:r>
      <w:r>
        <w:t xml:space="preserve"> </w:t>
      </w:r>
      <w:r>
        <w:t xml:space="preserve">	</w:t>
      </w:r>
      <w:r>
        <w:t xml:space="preserve">McWilliams JM, Weinreb G, Ding L, Ndumele CD, Wallace J.</w:t>
      </w:r>
      <w:r>
        <w:t xml:space="preserve"> </w:t>
      </w:r>
      <w:hyperlink r:id="rId35">
        <w:r>
          <w:rPr>
            <w:rStyle w:val="Hyperlink"/>
          </w:rPr>
          <w:t xml:space="preserve">Risk</w:t>
        </w:r>
        <w:r>
          <w:rPr>
            <w:rStyle w:val="Hyperlink"/>
          </w:rPr>
          <w:t xml:space="preserve"> </w:t>
        </w:r>
        <w:r>
          <w:rPr>
            <w:rStyle w:val="Hyperlink"/>
          </w:rPr>
          <w:t xml:space="preserve">Adjustment And Promoting Health Equity In Population-Based Payment</w:t>
        </w:r>
        <w:r>
          <w:rPr>
            <w:rStyle w:val="Hyperlink"/>
          </w:rPr>
          <w:t xml:space="preserve">:</w:t>
        </w:r>
        <w:r>
          <w:rPr>
            <w:rStyle w:val="Hyperlink"/>
          </w:rPr>
          <w:t xml:space="preserve"> </w:t>
        </w:r>
        <w:r>
          <w:rPr>
            <w:rStyle w:val="Hyperlink"/>
          </w:rPr>
          <w:t xml:space="preserve">Concepts And Evidence</w:t>
        </w:r>
      </w:hyperlink>
      <w:r>
        <w:t xml:space="preserve">.</w:t>
      </w:r>
      <w:r>
        <w:t xml:space="preserve"> </w:t>
      </w:r>
      <w:r>
        <w:rPr>
          <w:iCs/>
          <w:i/>
        </w:rPr>
        <w:t xml:space="preserve">Health Affairs</w:t>
      </w:r>
      <w:r>
        <w:t xml:space="preserve"> </w:t>
      </w:r>
      <w:r>
        <w:t xml:space="preserve">2023;</w:t>
      </w:r>
      <w:r>
        <w:t xml:space="preserve"> </w:t>
      </w:r>
      <w:r>
        <w:rPr>
          <w:bCs/>
          <w:b/>
        </w:rPr>
        <w:t xml:space="preserve">42</w:t>
      </w:r>
      <w:r>
        <w:t xml:space="preserve">: 105–14.</w:t>
      </w:r>
    </w:p>
    <w:bookmarkEnd w:id="36"/>
    <w:bookmarkEnd w:id="37"/>
    <w:bookmarkEnd w:id="38"/>
    <w:sectPr w:rsidR="006F2048">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A4304E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384A03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50A27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FACD9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72E070C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56A96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FC5FE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F36AC0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A277E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324BDB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A6C155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6354E0"/>
    <w:pPr>
      <w:keepNext/>
      <w:keepLines/>
      <w:spacing w:after="0" w:before="480"/>
      <w:outlineLvl w:val="0"/>
    </w:pPr>
    <w:rPr>
      <w:rFonts w:ascii="Times New Roman" w:cstheme="majorBidi" w:eastAsiaTheme="majorEastAsia" w:hAnsi="Times New Roman"/>
      <w:b/>
      <w:bCs/>
      <w:color w:themeColor="text1" w:themeTint="BF" w:val="404040"/>
      <w:szCs w:val="32"/>
      <w:u w:val="single"/>
    </w:rPr>
  </w:style>
  <w:style w:styleId="Heading2" w:type="paragraph">
    <w:name w:val="heading 2"/>
    <w:basedOn w:val="Normal"/>
    <w:next w:val="BodyText"/>
    <w:uiPriority w:val="9"/>
    <w:unhideWhenUsed/>
    <w:qFormat/>
    <w:rsid w:val="005A4F81"/>
    <w:pPr>
      <w:keepNext/>
      <w:keepLines/>
      <w:spacing w:after="0" w:before="200"/>
      <w:outlineLvl w:val="1"/>
    </w:pPr>
    <w:rPr>
      <w:rFonts w:ascii="Times New Roman" w:cstheme="majorBidi" w:eastAsiaTheme="majorEastAsia" w:hAnsi="Times New Roman"/>
      <w:bCs/>
      <w:i/>
      <w:color w:themeColor="background1" w:themeShade="80" w:val="808080"/>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A76A7"/>
    <w:pPr>
      <w:spacing w:after="180" w:before="180" w:line="480" w:lineRule="auto"/>
      <w:ind w:firstLine="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D326A"/>
    <w:pPr>
      <w:keepNext/>
      <w:keepLines/>
      <w:spacing w:after="600" w:before="840"/>
      <w:jc w:val="center"/>
    </w:pPr>
    <w:rPr>
      <w:rFonts w:ascii="Times New Roman" w:cstheme="majorBidi" w:eastAsiaTheme="majorEastAsia" w:hAnsi="Times New Roman"/>
      <w:bCs/>
      <w:color w:themeColor="text1" w:themeTint="BF" w:val="4040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75E14"/>
    <w:pPr>
      <w:keepNext/>
      <w:keepLines/>
      <w:spacing w:line="480" w:lineRule="auto"/>
      <w:jc w:val="center"/>
    </w:pPr>
    <w:rPr>
      <w:rFonts w:ascii="Times New Roman" w:hAnsi="Times New Roman"/>
      <w:color w:themeColor="text1" w:themeTint="BF" w:val="404040"/>
    </w:rPr>
  </w:style>
  <w:style w:styleId="Date" w:type="paragraph">
    <w:name w:val="Date"/>
    <w:next w:val="BodyText"/>
    <w:qFormat/>
    <w:rsid w:val="00875E14"/>
    <w:pPr>
      <w:keepNext/>
      <w:keepLines/>
      <w:spacing w:line="480" w:lineRule="auto"/>
      <w:jc w:val="center"/>
    </w:pPr>
    <w:rPr>
      <w:rFonts w:ascii="Times New Roman" w:hAnsi="Times New Roman"/>
      <w:color w:themeColor="text1" w:themeTint="BF" w:val="40404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892A59"/>
    <w:pPr>
      <w:spacing w:after="120"/>
    </w:pPr>
    <w:rPr>
      <w:rFonts w:ascii="Times New Roman" w:hAnsi="Times New Roman"/>
      <w:i/>
      <w:color w:themeColor="text1" w:themeTint="BF" w:val="404040"/>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892A59"/>
    <w:rPr>
      <w:rFonts w:ascii="Times New Roman" w:hAnsi="Times New Roman"/>
      <w:i/>
      <w:color w:themeColor="text1" w:themeTint="BF" w:val="404040"/>
    </w:rPr>
  </w:style>
  <w:style w:customStyle="1" w:styleId="VerbatimChar" w:type="character">
    <w:name w:val="Verbatim Char"/>
    <w:basedOn w:val="CaptionChar"/>
    <w:link w:val="SourceCode"/>
    <w:rPr>
      <w:rFonts w:ascii="Consolas" w:hAnsi="Consolas"/>
      <w:i/>
      <w:color w:themeColor="text1" w:themeTint="BF" w:val="404040"/>
      <w:sz w:val="22"/>
    </w:rPr>
  </w:style>
  <w:style w:styleId="FootnoteReference" w:type="character">
    <w:name w:val="footnote reference"/>
    <w:basedOn w:val="CaptionChar"/>
    <w:rPr>
      <w:rFonts w:ascii="Times New Roman" w:hAnsi="Times New Roman"/>
      <w:i/>
      <w:color w:themeColor="text1" w:themeTint="BF" w:val="404040"/>
      <w:vertAlign w:val="superscript"/>
    </w:rPr>
  </w:style>
  <w:style w:styleId="Hyperlink" w:type="character">
    <w:name w:val="Hyperlink"/>
    <w:basedOn w:val="CaptionChar"/>
    <w:rPr>
      <w:rFonts w:ascii="Times New Roman" w:hAnsi="Times New Roman"/>
      <w:i/>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i/>
      <w:color w:val="204A87"/>
      <w:sz w:val="22"/>
      <w:shd w:color="auto" w:fill="F8F8F8" w:val="clear"/>
    </w:rPr>
  </w:style>
  <w:style w:customStyle="1" w:styleId="DataTypeTok" w:type="character">
    <w:name w:val="DataTypeTok"/>
    <w:basedOn w:val="VerbatimChar"/>
    <w:rPr>
      <w:rFonts w:ascii="Consolas" w:hAnsi="Consolas"/>
      <w:i/>
      <w:color w:val="204A87"/>
      <w:sz w:val="22"/>
      <w:shd w:color="auto" w:fill="F8F8F8" w:val="clear"/>
    </w:rPr>
  </w:style>
  <w:style w:customStyle="1" w:styleId="DecValTok" w:type="character">
    <w:name w:val="DecValTok"/>
    <w:basedOn w:val="VerbatimChar"/>
    <w:rPr>
      <w:rFonts w:ascii="Consolas" w:hAnsi="Consolas"/>
      <w:i/>
      <w:color w:val="0000CF"/>
      <w:sz w:val="22"/>
      <w:shd w:color="auto" w:fill="F8F8F8" w:val="clear"/>
    </w:rPr>
  </w:style>
  <w:style w:customStyle="1" w:styleId="BaseNTok" w:type="character">
    <w:name w:val="BaseNTok"/>
    <w:basedOn w:val="VerbatimChar"/>
    <w:rPr>
      <w:rFonts w:ascii="Consolas" w:hAnsi="Consolas"/>
      <w:i/>
      <w:color w:val="0000CF"/>
      <w:sz w:val="22"/>
      <w:shd w:color="auto" w:fill="F8F8F8" w:val="clear"/>
    </w:rPr>
  </w:style>
  <w:style w:customStyle="1" w:styleId="FloatTok" w:type="character">
    <w:name w:val="FloatTok"/>
    <w:basedOn w:val="VerbatimChar"/>
    <w:rPr>
      <w:rFonts w:ascii="Consolas" w:hAnsi="Consolas"/>
      <w:i/>
      <w:color w:val="0000CF"/>
      <w:sz w:val="22"/>
      <w:shd w:color="auto" w:fill="F8F8F8" w:val="clear"/>
    </w:rPr>
  </w:style>
  <w:style w:customStyle="1" w:styleId="ConstantTok" w:type="character">
    <w:name w:val="ConstantTok"/>
    <w:basedOn w:val="VerbatimChar"/>
    <w:rPr>
      <w:rFonts w:ascii="Consolas" w:hAnsi="Consolas"/>
      <w:i/>
      <w:color w:val="000000"/>
      <w:sz w:val="22"/>
      <w:shd w:color="auto" w:fill="F8F8F8" w:val="clear"/>
    </w:rPr>
  </w:style>
  <w:style w:customStyle="1" w:styleId="CharTok" w:type="character">
    <w:name w:val="CharTok"/>
    <w:basedOn w:val="VerbatimChar"/>
    <w:rPr>
      <w:rFonts w:ascii="Consolas" w:hAnsi="Consolas"/>
      <w:i/>
      <w:color w:val="4E9A06"/>
      <w:sz w:val="22"/>
      <w:shd w:color="auto" w:fill="F8F8F8" w:val="clear"/>
    </w:rPr>
  </w:style>
  <w:style w:customStyle="1" w:styleId="SpecialCharTok" w:type="character">
    <w:name w:val="SpecialCharTok"/>
    <w:basedOn w:val="VerbatimChar"/>
    <w:rPr>
      <w:rFonts w:ascii="Consolas" w:hAnsi="Consolas"/>
      <w:i/>
      <w:color w:val="000000"/>
      <w:sz w:val="22"/>
      <w:shd w:color="auto" w:fill="F8F8F8" w:val="clear"/>
    </w:rPr>
  </w:style>
  <w:style w:customStyle="1" w:styleId="StringTok" w:type="character">
    <w:name w:val="StringTok"/>
    <w:basedOn w:val="VerbatimChar"/>
    <w:rPr>
      <w:rFonts w:ascii="Consolas" w:hAnsi="Consolas"/>
      <w:i/>
      <w:color w:val="4E9A06"/>
      <w:sz w:val="22"/>
      <w:shd w:color="auto" w:fill="F8F8F8" w:val="clear"/>
    </w:rPr>
  </w:style>
  <w:style w:customStyle="1" w:styleId="VerbatimStringTok" w:type="character">
    <w:name w:val="VerbatimStringTok"/>
    <w:basedOn w:val="VerbatimChar"/>
    <w:rPr>
      <w:rFonts w:ascii="Consolas" w:hAnsi="Consolas"/>
      <w:i/>
      <w:color w:val="4E9A06"/>
      <w:sz w:val="22"/>
      <w:shd w:color="auto" w:fill="F8F8F8" w:val="clear"/>
    </w:rPr>
  </w:style>
  <w:style w:customStyle="1" w:styleId="SpecialStringTok" w:type="character">
    <w:name w:val="SpecialStringTok"/>
    <w:basedOn w:val="VerbatimChar"/>
    <w:rPr>
      <w:rFonts w:ascii="Consolas" w:hAnsi="Consolas"/>
      <w:i/>
      <w:color w:val="4E9A06"/>
      <w:sz w:val="22"/>
      <w:shd w:color="auto" w:fill="F8F8F8" w:val="clear"/>
    </w:rPr>
  </w:style>
  <w:style w:customStyle="1" w:styleId="ImportTok" w:type="character">
    <w:name w:val="ImportTok"/>
    <w:basedOn w:val="VerbatimChar"/>
    <w:rPr>
      <w:rFonts w:ascii="Consolas" w:hAnsi="Consolas"/>
      <w:i/>
      <w:color w:themeColor="text1" w:themeTint="BF" w:val="404040"/>
      <w:sz w:val="22"/>
      <w:shd w:color="auto" w:fill="F8F8F8" w:val="clear"/>
    </w:rPr>
  </w:style>
  <w:style w:customStyle="1" w:styleId="CommentTok" w:type="character">
    <w:name w:val="CommentTok"/>
    <w:basedOn w:val="VerbatimChar"/>
    <w:rPr>
      <w:rFonts w:ascii="Consolas" w:hAnsi="Consolas"/>
      <w:i w:val="0"/>
      <w:color w:val="8F5902"/>
      <w:sz w:val="22"/>
      <w:shd w:color="auto" w:fill="F8F8F8" w:val="clear"/>
    </w:rPr>
  </w:style>
  <w:style w:customStyle="1" w:styleId="DocumentationTok" w:type="character">
    <w:name w:val="DocumentationTok"/>
    <w:basedOn w:val="VerbatimChar"/>
    <w:rPr>
      <w:rFonts w:ascii="Consolas" w:hAnsi="Consolas"/>
      <w:b/>
      <w:i w:val="0"/>
      <w:color w:val="8F5902"/>
      <w:sz w:val="22"/>
      <w:shd w:color="auto" w:fill="F8F8F8" w:val="clear"/>
    </w:rPr>
  </w:style>
  <w:style w:customStyle="1" w:styleId="AnnotationTok" w:type="character">
    <w:name w:val="AnnotationTok"/>
    <w:basedOn w:val="VerbatimChar"/>
    <w:rPr>
      <w:rFonts w:ascii="Consolas" w:hAnsi="Consolas"/>
      <w:b/>
      <w:i w:val="0"/>
      <w:color w:val="8F5902"/>
      <w:sz w:val="22"/>
      <w:shd w:color="auto" w:fill="F8F8F8" w:val="clear"/>
    </w:rPr>
  </w:style>
  <w:style w:customStyle="1" w:styleId="CommentVarTok" w:type="character">
    <w:name w:val="CommentVarTok"/>
    <w:basedOn w:val="VerbatimChar"/>
    <w:rPr>
      <w:rFonts w:ascii="Consolas" w:hAnsi="Consolas"/>
      <w:b/>
      <w:i w:val="0"/>
      <w:color w:val="8F5902"/>
      <w:sz w:val="22"/>
      <w:shd w:color="auto" w:fill="F8F8F8" w:val="clear"/>
    </w:rPr>
  </w:style>
  <w:style w:customStyle="1" w:styleId="OtherTok" w:type="character">
    <w:name w:val="OtherTok"/>
    <w:basedOn w:val="VerbatimChar"/>
    <w:rPr>
      <w:rFonts w:ascii="Consolas" w:hAnsi="Consolas"/>
      <w:i/>
      <w:color w:val="8F5902"/>
      <w:sz w:val="22"/>
      <w:shd w:color="auto" w:fill="F8F8F8" w:val="clear"/>
    </w:rPr>
  </w:style>
  <w:style w:customStyle="1" w:styleId="FunctionTok" w:type="character">
    <w:name w:val="FunctionTok"/>
    <w:basedOn w:val="VerbatimChar"/>
    <w:rPr>
      <w:rFonts w:ascii="Consolas" w:hAnsi="Consolas"/>
      <w:i/>
      <w:color w:val="000000"/>
      <w:sz w:val="22"/>
      <w:shd w:color="auto" w:fill="F8F8F8" w:val="clear"/>
    </w:rPr>
  </w:style>
  <w:style w:customStyle="1" w:styleId="VariableTok" w:type="character">
    <w:name w:val="VariableTok"/>
    <w:basedOn w:val="VerbatimChar"/>
    <w:rPr>
      <w:rFonts w:ascii="Consolas" w:hAnsi="Consolas"/>
      <w:i/>
      <w:color w:val="000000"/>
      <w:sz w:val="22"/>
      <w:shd w:color="auto" w:fill="F8F8F8" w:val="clear"/>
    </w:rPr>
  </w:style>
  <w:style w:customStyle="1" w:styleId="ControlFlowTok" w:type="character">
    <w:name w:val="ControlFlowTok"/>
    <w:basedOn w:val="VerbatimChar"/>
    <w:rPr>
      <w:rFonts w:ascii="Consolas" w:hAnsi="Consolas"/>
      <w:b/>
      <w:i/>
      <w:color w:val="204A87"/>
      <w:sz w:val="22"/>
      <w:shd w:color="auto" w:fill="F8F8F8" w:val="clear"/>
    </w:rPr>
  </w:style>
  <w:style w:customStyle="1" w:styleId="OperatorTok" w:type="character">
    <w:name w:val="OperatorTok"/>
    <w:basedOn w:val="VerbatimChar"/>
    <w:rPr>
      <w:rFonts w:ascii="Consolas" w:hAnsi="Consolas"/>
      <w:b/>
      <w:i/>
      <w:color w:val="CE5C00"/>
      <w:sz w:val="22"/>
      <w:shd w:color="auto" w:fill="F8F8F8" w:val="clear"/>
    </w:rPr>
  </w:style>
  <w:style w:customStyle="1" w:styleId="BuiltInTok" w:type="character">
    <w:name w:val="BuiltInTok"/>
    <w:basedOn w:val="VerbatimChar"/>
    <w:rPr>
      <w:rFonts w:ascii="Consolas" w:hAnsi="Consolas"/>
      <w:i/>
      <w:color w:themeColor="text1" w:themeTint="BF" w:val="404040"/>
      <w:sz w:val="22"/>
      <w:shd w:color="auto" w:fill="F8F8F8" w:val="clear"/>
    </w:rPr>
  </w:style>
  <w:style w:customStyle="1" w:styleId="ExtensionTok" w:type="character">
    <w:name w:val="ExtensionTok"/>
    <w:basedOn w:val="VerbatimChar"/>
    <w:rPr>
      <w:rFonts w:ascii="Consolas" w:hAnsi="Consolas"/>
      <w:i/>
      <w:color w:themeColor="text1" w:themeTint="BF" w:val="404040"/>
      <w:sz w:val="22"/>
      <w:shd w:color="auto" w:fill="F8F8F8" w:val="clear"/>
    </w:rPr>
  </w:style>
  <w:style w:customStyle="1" w:styleId="PreprocessorTok" w:type="character">
    <w:name w:val="PreprocessorTok"/>
    <w:basedOn w:val="VerbatimChar"/>
    <w:rPr>
      <w:rFonts w:ascii="Consolas" w:hAnsi="Consolas"/>
      <w:i w:val="0"/>
      <w:color w:val="8F5902"/>
      <w:sz w:val="22"/>
      <w:shd w:color="auto" w:fill="F8F8F8" w:val="clear"/>
    </w:rPr>
  </w:style>
  <w:style w:customStyle="1" w:styleId="AttributeTok" w:type="character">
    <w:name w:val="AttributeTok"/>
    <w:basedOn w:val="VerbatimChar"/>
    <w:rPr>
      <w:rFonts w:ascii="Consolas" w:hAnsi="Consolas"/>
      <w:i/>
      <w:color w:val="C4A000"/>
      <w:sz w:val="22"/>
      <w:shd w:color="auto" w:fill="F8F8F8" w:val="clear"/>
    </w:rPr>
  </w:style>
  <w:style w:customStyle="1" w:styleId="RegionMarkerTok" w:type="character">
    <w:name w:val="RegionMarkerTok"/>
    <w:basedOn w:val="VerbatimChar"/>
    <w:rPr>
      <w:rFonts w:ascii="Consolas" w:hAnsi="Consolas"/>
      <w:i/>
      <w:color w:themeColor="text1" w:themeTint="BF" w:val="404040"/>
      <w:sz w:val="22"/>
      <w:shd w:color="auto" w:fill="F8F8F8" w:val="clear"/>
    </w:rPr>
  </w:style>
  <w:style w:customStyle="1" w:styleId="InformationTok" w:type="character">
    <w:name w:val="InformationTok"/>
    <w:basedOn w:val="VerbatimChar"/>
    <w:rPr>
      <w:rFonts w:ascii="Consolas" w:hAnsi="Consolas"/>
      <w:b/>
      <w:i w:val="0"/>
      <w:color w:val="8F5902"/>
      <w:sz w:val="22"/>
      <w:shd w:color="auto" w:fill="F8F8F8" w:val="clear"/>
    </w:rPr>
  </w:style>
  <w:style w:customStyle="1" w:styleId="WarningTok" w:type="character">
    <w:name w:val="WarningTok"/>
    <w:basedOn w:val="VerbatimChar"/>
    <w:rPr>
      <w:rFonts w:ascii="Consolas" w:hAnsi="Consolas"/>
      <w:b/>
      <w:i w:val="0"/>
      <w:color w:val="8F5902"/>
      <w:sz w:val="22"/>
      <w:shd w:color="auto" w:fill="F8F8F8" w:val="clear"/>
    </w:rPr>
  </w:style>
  <w:style w:customStyle="1" w:styleId="AlertTok" w:type="character">
    <w:name w:val="AlertTok"/>
    <w:basedOn w:val="VerbatimChar"/>
    <w:rPr>
      <w:rFonts w:ascii="Consolas" w:hAnsi="Consolas"/>
      <w:i/>
      <w:color w:val="EF2929"/>
      <w:sz w:val="22"/>
      <w:shd w:color="auto" w:fill="F8F8F8" w:val="clear"/>
    </w:rPr>
  </w:style>
  <w:style w:customStyle="1" w:styleId="ErrorTok" w:type="character">
    <w:name w:val="ErrorTok"/>
    <w:basedOn w:val="VerbatimChar"/>
    <w:rPr>
      <w:rFonts w:ascii="Consolas" w:hAnsi="Consolas"/>
      <w:b/>
      <w:i/>
      <w:color w:val="A40000"/>
      <w:sz w:val="22"/>
      <w:shd w:color="auto" w:fill="F8F8F8" w:val="clear"/>
    </w:rPr>
  </w:style>
  <w:style w:customStyle="1" w:styleId="NormalTok" w:type="character">
    <w:name w:val="NormalTok"/>
    <w:basedOn w:val="VerbatimChar"/>
    <w:rPr>
      <w:rFonts w:ascii="Consolas" w:hAnsi="Consolas"/>
      <w:i/>
      <w:color w:themeColor="text1" w:themeTint="BF" w:val="404040"/>
      <w:sz w:val="22"/>
      <w:shd w:color="auto" w:fill="F8F8F8" w:val="clear"/>
    </w:rPr>
  </w:style>
  <w:style w:customStyle="1" w:styleId="BodyTextChar" w:type="character">
    <w:name w:val="Body Text Char"/>
    <w:basedOn w:val="DefaultParagraphFont"/>
    <w:link w:val="BodyText"/>
    <w:rsid w:val="000A76A7"/>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hyperlink" Id="rId35" Target="https://doi.org/10.1377/hlthaff.2022.00916" TargetMode="External" /></Relationships>
</file>

<file path=word/_rels/footnotes.xml.rels><?xml version="1.0" encoding="UTF-8"?><Relationships xmlns="http://schemas.openxmlformats.org/package/2006/relationships"><Relationship Type="http://schemas.openxmlformats.org/officeDocument/2006/relationships/hyperlink" Id="rId35" Target="https://doi.org/10.1377/hlthaff.2022.0091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25</Words>
  <Characters>145</Characters>
  <Application>Microsoft Office Word</Application>
  <DocSecurity>0</DocSecurity>
  <Lines>1</Lines>
  <Paragraphs>1</Paragraphs>
  <ScaleCrop>false</ScaleCrop>
  <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Life-Saving Drugs, V3</dc:title>
  <dc:creator>Chima D. Ndumele, PhD; Matthew P. Lavallee, BA; Anthony Lollo, PhD; Joseph S. Ross, MD,MS; Erica Spatz, PhD; Mark Schlesinger, PhD; Reza Yousebi, PhD; and Jacob Wallace, PhD;</dc:creator>
  <cp:keywords/>
  <dcterms:created xsi:type="dcterms:W3CDTF">2023-01-13T18:01:30Z</dcterms:created>
  <dcterms:modified xsi:type="dcterms:W3CDTF">2023-01-13T18:01:30Z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ref.bib</vt:lpwstr>
  </property>
  <property fmtid="{D5CDD505-2E9C-101B-9397-08002B2CF9AE}" pid="3" name="csl">
    <vt:lpwstr>the-lancet.csl</vt:lpwstr>
  </property>
  <property fmtid="{D5CDD505-2E9C-101B-9397-08002B2CF9AE}" pid="4" name="date">
    <vt:lpwstr>From the Department of Health Policy and Management, Yale School of Public Health (Ndumele, Lavallee, Lollo, Ross, Schlesinger, Yousebi, Wallace); the Tobin Center for Economic Policy, Yale University (Lavallee); Center for Outcomes Research and Evaluation, Yale-New Haven Hospital (Ross, Spatz); Section of General Internal Medicine (Ross) and Section of Cardiology(Spatz),and Yale School of Medicine; all in New Haven, Connecticut</vt:lpwstr>
  </property>
  <property fmtid="{D5CDD505-2E9C-101B-9397-08002B2CF9AE}" pid="5" name="indent">
    <vt:lpwstr/>
  </property>
  <property fmtid="{D5CDD505-2E9C-101B-9397-08002B2CF9AE}" pid="6" name="link-citations">
    <vt:lpwstr>True</vt:lpwstr>
  </property>
  <property fmtid="{D5CDD505-2E9C-101B-9397-08002B2CF9AE}" pid="7" name="output">
    <vt:lpwstr/>
  </property>
</Properties>
</file>