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The company uses employee equipment, internet, data centers, and badge readers, all of which use power from the U.S. and North American power grid, and if any of which were to be compromised it would negatively affect the power grid, breaking compliance of the FERC-NERC</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company, though small, does have a growing online presence that has reached customers abroad, which may include E.U. citizens. A compromise would endanger the safety of the data and privacy of E.U. citizens, violating compliance of the GDPR</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Utilizing management of systems, software, and services in regards to accounting, in addition to data and storage, the company may contain customer credit card information. An incident in which this information is stolen would result in a violation of PCI DSS.</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Being an online business, the company’s data centers will contain user information. An incident leaking personally identifiable information customers would result in violation of HIPAA</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Being an online business, the Botium Toys’ data centers will contain user information. An incident leaking personally identifiable information customers would result in violation of SOC1 and SOC2.</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