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Project1-Rivera</w:t>
      </w:r>
    </w:p>
    <w:p>
      <w:pPr>
        <w:pStyle w:val="Author"/>
      </w:pPr>
      <w:r>
        <w:t xml:space="preserve">M.Rivera</w:t>
      </w:r>
    </w:p>
    <w:bookmarkStart w:id="35" w:name="X0711aa7f467ca312bdb9121bc31667f9adcb64f"/>
    <w:p>
      <w:pPr>
        <w:pStyle w:val="Heading1"/>
      </w:pPr>
      <w:r>
        <w:t xml:space="preserve">Life Expectancy Trends in Kuwait Compared to the United States</w:t>
      </w:r>
    </w:p>
    <w:bookmarkStart w:id="20" w:name="section-1-introduction"/>
    <w:p>
      <w:pPr>
        <w:pStyle w:val="Heading2"/>
      </w:pPr>
      <w:r>
        <w:t xml:space="preserve">Section 1: Introduction</w:t>
      </w:r>
    </w:p>
    <w:p>
      <w:pPr>
        <w:pStyle w:val="FirstParagraph"/>
      </w:pPr>
      <w:r>
        <w:t xml:space="preserve">Found in the Middle East, Kuwait has gone through quick social and economic change in recent years (WHO, 2023; Mokdad et al., 2016). Despite its economic prosperity and oil wealth, the country faces public health issues due to a high and rising prevalence of noncommunicable diseases, such as obesity, diabetes, and cardiovascular disease (Mokdad et al., 2016; Ng et al., 2014). Even while health care spending is high, its economic benefits are not always matched by health results (Anderson et al., 2003; Deaton, 2013).</w:t>
      </w:r>
    </w:p>
    <w:p>
      <w:pPr>
        <w:pStyle w:val="BodyText"/>
      </w:pPr>
      <w:r>
        <w:t xml:space="preserve">We examine the relationship between economic prosperity and population health in various social and health system contexts, especially looking at GDP per capita and life expectancy, in comparison to the United States.</w:t>
      </w:r>
    </w:p>
    <w:bookmarkEnd w:id="20"/>
    <w:bookmarkStart w:id="31" w:name="Xd41417adf345118ec41c681f7f380526f295c23"/>
    <w:p>
      <w:pPr>
        <w:pStyle w:val="Heading2"/>
      </w:pPr>
      <w:r>
        <w:t xml:space="preserve">Section 2: Data Preparation &amp; Descriptive Exploration</w:t>
      </w:r>
    </w:p>
    <w:bookmarkStart w:id="21" w:name="filter-the-data"/>
    <w:p>
      <w:pPr>
        <w:pStyle w:val="Heading3"/>
      </w:pPr>
      <w:r>
        <w:t xml:space="preserve">Filter the Data</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1.6.0</w:t>
      </w:r>
      <w:r>
        <w:br/>
      </w:r>
      <w:r>
        <w:rPr>
          <w:rStyle w:val="VerbatimChar"/>
        </w:rPr>
        <w:t xml:space="preserve">✔ ggplot2   4.0.1     ✔ tibble    3.3.1</w:t>
      </w:r>
      <w:r>
        <w:br/>
      </w:r>
      <w:r>
        <w:rPr>
          <w:rStyle w:val="VerbatimChar"/>
        </w:rPr>
        <w:t xml:space="preserve">✔ lubridate 1.9.4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(gapminder)</w:t>
      </w:r>
      <w:r>
        <w:br/>
      </w:r>
      <w:r>
        <w:br/>
      </w:r>
      <w:r>
        <w:rPr>
          <w:rStyle w:val="NormalTok"/>
        </w:rPr>
        <w:t xml:space="preserve">gapminder</w:t>
      </w:r>
    </w:p>
    <w:p>
      <w:pPr>
        <w:pStyle w:val="SourceCode"/>
      </w:pPr>
      <w:r>
        <w:rPr>
          <w:rStyle w:val="VerbatimChar"/>
        </w:rPr>
        <w:t xml:space="preserve"># A tibble: 1,704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Afghanistan Asia       1952    28.8  8425333      779.</w:t>
      </w:r>
      <w:r>
        <w:br/>
      </w:r>
      <w:r>
        <w:rPr>
          <w:rStyle w:val="VerbatimChar"/>
        </w:rPr>
        <w:t xml:space="preserve"> 2 Afghanistan Asia       1957    30.3  9240934      821.</w:t>
      </w:r>
      <w:r>
        <w:br/>
      </w:r>
      <w:r>
        <w:rPr>
          <w:rStyle w:val="VerbatimChar"/>
        </w:rPr>
        <w:t xml:space="preserve"> 3 Afghanistan Asia       1962    32.0 10267083      853.</w:t>
      </w:r>
      <w:r>
        <w:br/>
      </w:r>
      <w:r>
        <w:rPr>
          <w:rStyle w:val="VerbatimChar"/>
        </w:rPr>
        <w:t xml:space="preserve"> 4 Afghanistan Asia       1967    34.0 11537966      836.</w:t>
      </w:r>
      <w:r>
        <w:br/>
      </w:r>
      <w:r>
        <w:rPr>
          <w:rStyle w:val="VerbatimChar"/>
        </w:rPr>
        <w:t xml:space="preserve"> 5 Afghanistan Asia       1972    36.1 13079460      740.</w:t>
      </w:r>
      <w:r>
        <w:br/>
      </w:r>
      <w:r>
        <w:rPr>
          <w:rStyle w:val="VerbatimChar"/>
        </w:rPr>
        <w:t xml:space="preserve"> 6 Afghanistan Asia       1977    38.4 14880372      786.</w:t>
      </w:r>
      <w:r>
        <w:br/>
      </w:r>
      <w:r>
        <w:rPr>
          <w:rStyle w:val="VerbatimChar"/>
        </w:rPr>
        <w:t xml:space="preserve"> 7 Afghanistan Asia       1982    39.9 12881816      978.</w:t>
      </w:r>
      <w:r>
        <w:br/>
      </w:r>
      <w:r>
        <w:rPr>
          <w:rStyle w:val="VerbatimChar"/>
        </w:rPr>
        <w:t xml:space="preserve"> 8 Afghanistan Asia       1987    40.8 13867957      852.</w:t>
      </w:r>
      <w:r>
        <w:br/>
      </w:r>
      <w:r>
        <w:rPr>
          <w:rStyle w:val="VerbatimChar"/>
        </w:rPr>
        <w:t xml:space="preserve"> 9 Afghanistan Asia       1992    41.7 16317921      649.</w:t>
      </w:r>
      <w:r>
        <w:br/>
      </w:r>
      <w:r>
        <w:rPr>
          <w:rStyle w:val="VerbatimChar"/>
        </w:rPr>
        <w:t xml:space="preserve">10 Afghanistan Asia       1997    41.8 22227415      635.</w:t>
      </w:r>
      <w:r>
        <w:br/>
      </w:r>
      <w:r>
        <w:rPr>
          <w:rStyle w:val="VerbatimChar"/>
        </w:rPr>
        <w:t xml:space="preserve"># ℹ 1,694 more rows</w:t>
      </w:r>
    </w:p>
    <w:p>
      <w:pPr>
        <w:pStyle w:val="SourceCode"/>
      </w:pPr>
      <w:r>
        <w:rPr>
          <w:rStyle w:val="CommentTok"/>
        </w:rPr>
        <w:t xml:space="preserve"># Filter data for Kuwait</w:t>
      </w:r>
      <w:r>
        <w:br/>
      </w:r>
      <w:r>
        <w:rPr>
          <w:rStyle w:val="NormalTok"/>
        </w:rPr>
        <w:t xml:space="preserve">kuwait_df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"Kuwait"</w:t>
      </w:r>
      <w:r>
        <w:rPr>
          <w:rStyle w:val="NormalTok"/>
        </w:rPr>
        <w:t xml:space="preserve">)</w:t>
      </w:r>
      <w:r>
        <w:br/>
      </w:r>
      <w:r>
        <w:rPr>
          <w:rStyle w:val="NormalTok"/>
        </w:rPr>
        <w:t xml:space="preserve">kuwait_df</w:t>
      </w:r>
    </w:p>
    <w:p>
      <w:pPr>
        <w:pStyle w:val="SourceCode"/>
      </w:pPr>
      <w:r>
        <w:rPr>
          <w:rStyle w:val="VerbatimChar"/>
        </w:rPr>
        <w:t xml:space="preserve"># A tibble: 12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Kuwait  Asia       1952    55.6  160000   108382.</w:t>
      </w:r>
      <w:r>
        <w:br/>
      </w:r>
      <w:r>
        <w:rPr>
          <w:rStyle w:val="VerbatimChar"/>
        </w:rPr>
        <w:t xml:space="preserve"> 2 Kuwait  Asia       1957    58.0  212846   113523.</w:t>
      </w:r>
      <w:r>
        <w:br/>
      </w:r>
      <w:r>
        <w:rPr>
          <w:rStyle w:val="VerbatimChar"/>
        </w:rPr>
        <w:t xml:space="preserve"> 3 Kuwait  Asia       1962    60.5  358266    95458.</w:t>
      </w:r>
      <w:r>
        <w:br/>
      </w:r>
      <w:r>
        <w:rPr>
          <w:rStyle w:val="VerbatimChar"/>
        </w:rPr>
        <w:t xml:space="preserve"> 4 Kuwait  Asia       1967    64.6  575003    80895.</w:t>
      </w:r>
      <w:r>
        <w:br/>
      </w:r>
      <w:r>
        <w:rPr>
          <w:rStyle w:val="VerbatimChar"/>
        </w:rPr>
        <w:t xml:space="preserve"> 5 Kuwait  Asia       1972    67.7  841934   109348.</w:t>
      </w:r>
      <w:r>
        <w:br/>
      </w:r>
      <w:r>
        <w:rPr>
          <w:rStyle w:val="VerbatimChar"/>
        </w:rPr>
        <w:t xml:space="preserve"> 6 Kuwait  Asia       1977    69.3 1140357    59265.</w:t>
      </w:r>
      <w:r>
        <w:br/>
      </w:r>
      <w:r>
        <w:rPr>
          <w:rStyle w:val="VerbatimChar"/>
        </w:rPr>
        <w:t xml:space="preserve"> 7 Kuwait  Asia       1982    71.3 1497494    31354.</w:t>
      </w:r>
      <w:r>
        <w:br/>
      </w:r>
      <w:r>
        <w:rPr>
          <w:rStyle w:val="VerbatimChar"/>
        </w:rPr>
        <w:t xml:space="preserve"> 8 Kuwait  Asia       1987    74.2 1891487    28118.</w:t>
      </w:r>
      <w:r>
        <w:br/>
      </w:r>
      <w:r>
        <w:rPr>
          <w:rStyle w:val="VerbatimChar"/>
        </w:rPr>
        <w:t xml:space="preserve"> 9 Kuwait  Asia       1992    75.2 1418095    34933.</w:t>
      </w:r>
      <w:r>
        <w:br/>
      </w:r>
      <w:r>
        <w:rPr>
          <w:rStyle w:val="VerbatimChar"/>
        </w:rPr>
        <w:t xml:space="preserve">10 Kuwait  Asia       1997    76.2 1765345    40301.</w:t>
      </w:r>
      <w:r>
        <w:br/>
      </w:r>
      <w:r>
        <w:rPr>
          <w:rStyle w:val="VerbatimChar"/>
        </w:rPr>
        <w:t xml:space="preserve">11 Kuwait  Asia       2002    76.9 2111561    35110.</w:t>
      </w:r>
      <w:r>
        <w:br/>
      </w:r>
      <w:r>
        <w:rPr>
          <w:rStyle w:val="VerbatimChar"/>
        </w:rPr>
        <w:t xml:space="preserve">12 Kuwait  Asia       2007    77.6 2505559    47307.</w:t>
      </w:r>
    </w:p>
    <w:p>
      <w:pPr>
        <w:pStyle w:val="SourceCode"/>
      </w:pPr>
      <w:r>
        <w:rPr>
          <w:rStyle w:val="CommentTok"/>
        </w:rPr>
        <w:t xml:space="preserve"># Filter data for United States</w:t>
      </w:r>
      <w:r>
        <w:br/>
      </w:r>
      <w:r>
        <w:rPr>
          <w:rStyle w:val="NormalTok"/>
        </w:rPr>
        <w:t xml:space="preserve">us_df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w:t>
      </w:r>
      <w:r>
        <w:br/>
      </w:r>
      <w:r>
        <w:rPr>
          <w:rStyle w:val="NormalTok"/>
        </w:rPr>
        <w:t xml:space="preserve">us_df</w:t>
      </w:r>
    </w:p>
    <w:p>
      <w:pPr>
        <w:pStyle w:val="SourceCode"/>
      </w:pPr>
      <w:r>
        <w:rPr>
          <w:rStyle w:val="VerbatimChar"/>
        </w:rPr>
        <w:t xml:space="preserve"># A tibble: 12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United States Americas   1952    68.4 157553000    13990.</w:t>
      </w:r>
      <w:r>
        <w:br/>
      </w:r>
      <w:r>
        <w:rPr>
          <w:rStyle w:val="VerbatimChar"/>
        </w:rPr>
        <w:t xml:space="preserve"> 2 United States Americas   1957    69.5 171984000    14847.</w:t>
      </w:r>
      <w:r>
        <w:br/>
      </w:r>
      <w:r>
        <w:rPr>
          <w:rStyle w:val="VerbatimChar"/>
        </w:rPr>
        <w:t xml:space="preserve"> 3 United States Americas   1962    70.2 186538000    16173.</w:t>
      </w:r>
      <w:r>
        <w:br/>
      </w:r>
      <w:r>
        <w:rPr>
          <w:rStyle w:val="VerbatimChar"/>
        </w:rPr>
        <w:t xml:space="preserve"> 4 United States Americas   1967    70.8 198712000    19530.</w:t>
      </w:r>
      <w:r>
        <w:br/>
      </w:r>
      <w:r>
        <w:rPr>
          <w:rStyle w:val="VerbatimChar"/>
        </w:rPr>
        <w:t xml:space="preserve"> 5 United States Americas   1972    71.3 209896000    21806.</w:t>
      </w:r>
      <w:r>
        <w:br/>
      </w:r>
      <w:r>
        <w:rPr>
          <w:rStyle w:val="VerbatimChar"/>
        </w:rPr>
        <w:t xml:space="preserve"> 6 United States Americas   1977    73.4 220239000    24073.</w:t>
      </w:r>
      <w:r>
        <w:br/>
      </w:r>
      <w:r>
        <w:rPr>
          <w:rStyle w:val="VerbatimChar"/>
        </w:rPr>
        <w:t xml:space="preserve"> 7 United States Americas   1982    74.6 232187835    25010.</w:t>
      </w:r>
      <w:r>
        <w:br/>
      </w:r>
      <w:r>
        <w:rPr>
          <w:rStyle w:val="VerbatimChar"/>
        </w:rPr>
        <w:t xml:space="preserve"> 8 United States Americas   1987    75.0 242803533    29884.</w:t>
      </w:r>
      <w:r>
        <w:br/>
      </w:r>
      <w:r>
        <w:rPr>
          <w:rStyle w:val="VerbatimChar"/>
        </w:rPr>
        <w:t xml:space="preserve"> 9 United States Americas   1992    76.1 256894189    32004.</w:t>
      </w:r>
      <w:r>
        <w:br/>
      </w:r>
      <w:r>
        <w:rPr>
          <w:rStyle w:val="VerbatimChar"/>
        </w:rPr>
        <w:t xml:space="preserve">10 United States Americas   1997    76.8 272911760    35767.</w:t>
      </w:r>
      <w:r>
        <w:br/>
      </w:r>
      <w:r>
        <w:rPr>
          <w:rStyle w:val="VerbatimChar"/>
        </w:rPr>
        <w:t xml:space="preserve">11 United States Americas   2002    77.3 287675526    39097.</w:t>
      </w:r>
      <w:r>
        <w:br/>
      </w:r>
      <w:r>
        <w:rPr>
          <w:rStyle w:val="VerbatimChar"/>
        </w:rPr>
        <w:t xml:space="preserve">12 United States Americas   2007    78.2 301139947    42952.</w:t>
      </w:r>
    </w:p>
    <w:p>
      <w:pPr>
        <w:pStyle w:val="SourceCode"/>
      </w:pPr>
      <w:r>
        <w:rPr>
          <w:rStyle w:val="CommentTok"/>
        </w:rPr>
        <w:t xml:space="preserve"># Filter dataset for both</w:t>
      </w:r>
      <w:r>
        <w:br/>
      </w:r>
      <w:r>
        <w:rPr>
          <w:rStyle w:val="NormalTok"/>
        </w:rPr>
        <w:t xml:space="preserve">compare_df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"Kuwait"</w:t>
      </w:r>
      <w:r>
        <w:rPr>
          <w:rStyle w:val="NormalTok"/>
        </w:rPr>
        <w:t xml:space="preserve">, </w:t>
      </w:r>
      <w:r>
        <w:rPr>
          <w:rStyle w:val="StringTok"/>
        </w:rPr>
        <w:t xml:space="preserve">"United States"</w:t>
      </w:r>
      <w:r>
        <w:rPr>
          <w:rStyle w:val="NormalTok"/>
        </w:rPr>
        <w:t xml:space="preserve">))</w:t>
      </w:r>
      <w:r>
        <w:br/>
      </w:r>
      <w:r>
        <w:rPr>
          <w:rStyle w:val="NormalTok"/>
        </w:rPr>
        <w:t xml:space="preserve">compare_df</w:t>
      </w:r>
    </w:p>
    <w:p>
      <w:pPr>
        <w:pStyle w:val="SourceCode"/>
      </w:pPr>
      <w:r>
        <w:rPr>
          <w:rStyle w:val="VerbatimChar"/>
        </w:rPr>
        <w:t xml:space="preserve"># A tibble: 24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Kuwait  Asia       1952    55.6  160000   108382.</w:t>
      </w:r>
      <w:r>
        <w:br/>
      </w:r>
      <w:r>
        <w:rPr>
          <w:rStyle w:val="VerbatimChar"/>
        </w:rPr>
        <w:t xml:space="preserve"> 2 Kuwait  Asia       1957    58.0  212846   113523.</w:t>
      </w:r>
      <w:r>
        <w:br/>
      </w:r>
      <w:r>
        <w:rPr>
          <w:rStyle w:val="VerbatimChar"/>
        </w:rPr>
        <w:t xml:space="preserve"> 3 Kuwait  Asia       1962    60.5  358266    95458.</w:t>
      </w:r>
      <w:r>
        <w:br/>
      </w:r>
      <w:r>
        <w:rPr>
          <w:rStyle w:val="VerbatimChar"/>
        </w:rPr>
        <w:t xml:space="preserve"> 4 Kuwait  Asia       1967    64.6  575003    80895.</w:t>
      </w:r>
      <w:r>
        <w:br/>
      </w:r>
      <w:r>
        <w:rPr>
          <w:rStyle w:val="VerbatimChar"/>
        </w:rPr>
        <w:t xml:space="preserve"> 5 Kuwait  Asia       1972    67.7  841934   109348.</w:t>
      </w:r>
      <w:r>
        <w:br/>
      </w:r>
      <w:r>
        <w:rPr>
          <w:rStyle w:val="VerbatimChar"/>
        </w:rPr>
        <w:t xml:space="preserve"> 6 Kuwait  Asia       1977    69.3 1140357    59265.</w:t>
      </w:r>
      <w:r>
        <w:br/>
      </w:r>
      <w:r>
        <w:rPr>
          <w:rStyle w:val="VerbatimChar"/>
        </w:rPr>
        <w:t xml:space="preserve"> 7 Kuwait  Asia       1982    71.3 1497494    31354.</w:t>
      </w:r>
      <w:r>
        <w:br/>
      </w:r>
      <w:r>
        <w:rPr>
          <w:rStyle w:val="VerbatimChar"/>
        </w:rPr>
        <w:t xml:space="preserve"> 8 Kuwait  Asia       1987    74.2 1891487    28118.</w:t>
      </w:r>
      <w:r>
        <w:br/>
      </w:r>
      <w:r>
        <w:rPr>
          <w:rStyle w:val="VerbatimChar"/>
        </w:rPr>
        <w:t xml:space="preserve"> 9 Kuwait  Asia       1992    75.2 1418095    34933.</w:t>
      </w:r>
      <w:r>
        <w:br/>
      </w:r>
      <w:r>
        <w:rPr>
          <w:rStyle w:val="VerbatimChar"/>
        </w:rPr>
        <w:t xml:space="preserve">10 Kuwait  Asia       1997    76.2 1765345    40301.</w:t>
      </w:r>
      <w:r>
        <w:br/>
      </w:r>
      <w:r>
        <w:rPr>
          <w:rStyle w:val="VerbatimChar"/>
        </w:rPr>
        <w:t xml:space="preserve"># ℹ 14 more rows</w:t>
      </w:r>
    </w:p>
    <w:bookmarkEnd w:id="21"/>
    <w:bookmarkStart w:id="22" w:name="descriptive-statistics"/>
    <w:p>
      <w:pPr>
        <w:pStyle w:val="Heading3"/>
      </w:pPr>
      <w:r>
        <w:t xml:space="preserve">Descriptive Statistics</w:t>
      </w:r>
    </w:p>
    <w:p>
      <w:pPr>
        <w:pStyle w:val="SourceCode"/>
      </w:pPr>
      <w:r>
        <w:rPr>
          <w:rStyle w:val="CommentTok"/>
        </w:rPr>
        <w:t xml:space="preserve"># Kuwait</w:t>
      </w:r>
      <w:r>
        <w:br/>
      </w:r>
      <w:r>
        <w:rPr>
          <w:rStyle w:val="NormalTok"/>
        </w:rPr>
        <w:t xml:space="preserve">mean_lifeExp_kw </w:t>
      </w:r>
      <w:r>
        <w:rPr>
          <w:rStyle w:val="OtherTok"/>
        </w:rPr>
        <w:t xml:space="preserve">&lt;-</w:t>
      </w:r>
      <w:r>
        <w:rPr>
          <w:rStyle w:val="NormalTok"/>
        </w:rPr>
        <w:t xml:space="preserve"> </w:t>
      </w:r>
      <w:r>
        <w:rPr>
          <w:rStyle w:val="FunctionTok"/>
        </w:rPr>
        <w:t xml:space="preserve">mean</w:t>
      </w:r>
      <w:r>
        <w:rPr>
          <w:rStyle w:val="NormalTok"/>
        </w:rPr>
        <w:t xml:space="preserve">(kuwait_df</w:t>
      </w:r>
      <w:r>
        <w:rPr>
          <w:rStyle w:val="SpecialCharTok"/>
        </w:rPr>
        <w:t xml:space="preserve">$</w:t>
      </w:r>
      <w:r>
        <w:rPr>
          <w:rStyle w:val="NormalTok"/>
        </w:rPr>
        <w:t xml:space="preserve">lifeExp)</w:t>
      </w:r>
      <w:r>
        <w:br/>
      </w:r>
      <w:r>
        <w:rPr>
          <w:rStyle w:val="NormalTok"/>
        </w:rPr>
        <w:t xml:space="preserve">sd_lifeExp_kw </w:t>
      </w:r>
      <w:r>
        <w:rPr>
          <w:rStyle w:val="OtherTok"/>
        </w:rPr>
        <w:t xml:space="preserve">&lt;-</w:t>
      </w:r>
      <w:r>
        <w:rPr>
          <w:rStyle w:val="NormalTok"/>
        </w:rPr>
        <w:t xml:space="preserve"> </w:t>
      </w:r>
      <w:r>
        <w:rPr>
          <w:rStyle w:val="FunctionTok"/>
        </w:rPr>
        <w:t xml:space="preserve">sd</w:t>
      </w:r>
      <w:r>
        <w:rPr>
          <w:rStyle w:val="NormalTok"/>
        </w:rPr>
        <w:t xml:space="preserve">(kuwait_df</w:t>
      </w:r>
      <w:r>
        <w:rPr>
          <w:rStyle w:val="SpecialCharTok"/>
        </w:rPr>
        <w:t xml:space="preserve">$</w:t>
      </w:r>
      <w:r>
        <w:rPr>
          <w:rStyle w:val="NormalTok"/>
        </w:rPr>
        <w:t xml:space="preserve">lifeExp)</w:t>
      </w:r>
      <w:r>
        <w:br/>
      </w:r>
      <w:r>
        <w:rPr>
          <w:rStyle w:val="NormalTok"/>
        </w:rPr>
        <w:t xml:space="preserve">n_years_kw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(kuwait_df</w:t>
      </w:r>
      <w:r>
        <w:rPr>
          <w:rStyle w:val="SpecialCharTok"/>
        </w:rPr>
        <w:t xml:space="preserve">$</w:t>
      </w:r>
      <w:r>
        <w:rPr>
          <w:rStyle w:val="NormalTok"/>
        </w:rPr>
        <w:t xml:space="preserve">year))</w:t>
      </w:r>
    </w:p>
    <w:p>
      <w:pPr>
        <w:pStyle w:val="FirstParagraph"/>
      </w:pPr>
      <w:r>
        <w:t xml:space="preserve">Across</w:t>
      </w:r>
      <w:r>
        <w:t xml:space="preserve"> </w:t>
      </w:r>
      <w:r>
        <w:t xml:space="preserve">‘r n_years_kw’</w:t>
      </w:r>
      <w:r>
        <w:t xml:space="preserve"> </w:t>
      </w:r>
      <w:r>
        <w:t xml:space="preserve">years of available data, the mean life expectancy in Kuwait was</w:t>
      </w:r>
      <w:r>
        <w:t xml:space="preserve"> </w:t>
      </w:r>
      <w:r>
        <w:t xml:space="preserve">‘r mean_lifeExp_kw’</w:t>
      </w:r>
      <w:r>
        <w:t xml:space="preserve"> </w:t>
      </w:r>
      <w:r>
        <w:t xml:space="preserve">years (SD =</w:t>
      </w:r>
      <w:r>
        <w:t xml:space="preserve"> </w:t>
      </w:r>
      <w:r>
        <w:t xml:space="preserve">‘r sd_lifeExp_kw’</w:t>
      </w:r>
      <w:r>
        <w:t xml:space="preserve">).</w:t>
      </w:r>
    </w:p>
    <w:p>
      <w:pPr>
        <w:pStyle w:val="SourceCode"/>
      </w:pPr>
      <w:r>
        <w:rPr>
          <w:rStyle w:val="NormalTok"/>
        </w:rPr>
        <w:t xml:space="preserve">mean_lifeExp_us </w:t>
      </w:r>
      <w:r>
        <w:rPr>
          <w:rStyle w:val="OtherTok"/>
        </w:rPr>
        <w:t xml:space="preserve">&lt;-</w:t>
      </w:r>
      <w:r>
        <w:rPr>
          <w:rStyle w:val="NormalTok"/>
        </w:rPr>
        <w:t xml:space="preserve"> </w:t>
      </w:r>
      <w:r>
        <w:rPr>
          <w:rStyle w:val="FunctionTok"/>
        </w:rPr>
        <w:t xml:space="preserve">mean</w:t>
      </w:r>
      <w:r>
        <w:rPr>
          <w:rStyle w:val="NormalTok"/>
        </w:rPr>
        <w:t xml:space="preserve">(us_df</w:t>
      </w:r>
      <w:r>
        <w:rPr>
          <w:rStyle w:val="SpecialCharTok"/>
        </w:rPr>
        <w:t xml:space="preserve">$</w:t>
      </w:r>
      <w:r>
        <w:rPr>
          <w:rStyle w:val="NormalTok"/>
        </w:rPr>
        <w:t xml:space="preserve">lifeExp)</w:t>
      </w:r>
      <w:r>
        <w:br/>
      </w:r>
      <w:r>
        <w:rPr>
          <w:rStyle w:val="NormalTok"/>
        </w:rPr>
        <w:t xml:space="preserve">sd_lifeExp_us </w:t>
      </w:r>
      <w:r>
        <w:rPr>
          <w:rStyle w:val="OtherTok"/>
        </w:rPr>
        <w:t xml:space="preserve">&lt;-</w:t>
      </w:r>
      <w:r>
        <w:rPr>
          <w:rStyle w:val="NormalTok"/>
        </w:rPr>
        <w:t xml:space="preserve"> </w:t>
      </w:r>
      <w:r>
        <w:rPr>
          <w:rStyle w:val="FunctionTok"/>
        </w:rPr>
        <w:t xml:space="preserve">sd</w:t>
      </w:r>
      <w:r>
        <w:rPr>
          <w:rStyle w:val="NormalTok"/>
        </w:rPr>
        <w:t xml:space="preserve">(us_df</w:t>
      </w:r>
      <w:r>
        <w:rPr>
          <w:rStyle w:val="SpecialCharTok"/>
        </w:rPr>
        <w:t xml:space="preserve">$</w:t>
      </w:r>
      <w:r>
        <w:rPr>
          <w:rStyle w:val="NormalTok"/>
        </w:rPr>
        <w:t xml:space="preserve">lifeExp)</w:t>
      </w:r>
      <w:r>
        <w:br/>
      </w:r>
      <w:r>
        <w:rPr>
          <w:rStyle w:val="NormalTok"/>
        </w:rPr>
        <w:t xml:space="preserve">n_years_us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(us_df</w:t>
      </w:r>
      <w:r>
        <w:rPr>
          <w:rStyle w:val="SpecialCharTok"/>
        </w:rPr>
        <w:t xml:space="preserve">$</w:t>
      </w:r>
      <w:r>
        <w:rPr>
          <w:rStyle w:val="NormalTok"/>
        </w:rPr>
        <w:t xml:space="preserve">year))</w:t>
      </w:r>
    </w:p>
    <w:p>
      <w:pPr>
        <w:pStyle w:val="FirstParagraph"/>
      </w:pPr>
      <w:r>
        <w:t xml:space="preserve">Across</w:t>
      </w:r>
      <w:r>
        <w:t xml:space="preserve"> </w:t>
      </w:r>
      <w:r>
        <w:t xml:space="preserve">‘r n_years_us’</w:t>
      </w:r>
      <w:r>
        <w:t xml:space="preserve"> </w:t>
      </w:r>
      <w:r>
        <w:t xml:space="preserve">years of available data, the mean life expectancy in the United States was</w:t>
      </w:r>
      <w:r>
        <w:t xml:space="preserve"> </w:t>
      </w:r>
      <w:r>
        <w:t xml:space="preserve">‘r mean_lifeExp_us’</w:t>
      </w:r>
      <w:r>
        <w:t xml:space="preserve"> </w:t>
      </w:r>
      <w:r>
        <w:t xml:space="preserve">years (SD = `r sd_lifeExp_us’).</w:t>
      </w:r>
    </w:p>
    <w:p>
      <w:pPr>
        <w:pStyle w:val="BodyText"/>
      </w:pPr>
      <w:r>
        <w:t xml:space="preserve">##Section 3: Visualizations</w:t>
      </w:r>
    </w:p>
    <w:bookmarkEnd w:id="22"/>
    <w:bookmarkStart w:id="26" w:name="X7073618c82bdc85f72008f455c4c2d28f9b0ba3"/>
    <w:p>
      <w:pPr>
        <w:pStyle w:val="Heading3"/>
      </w:pPr>
      <w:r>
        <w:t xml:space="preserve">Life Expectancy Over Time - Kuwait vs U.S.</w:t>
      </w:r>
    </w:p>
    <w:p>
      <w:pPr>
        <w:pStyle w:val="SourceCode"/>
      </w:pPr>
      <w:r>
        <w:rPr>
          <w:rStyle w:val="FunctionTok"/>
        </w:rPr>
        <w:t xml:space="preserve">ggplot</w:t>
      </w:r>
      <w:r>
        <w:rPr>
          <w:rStyle w:val="NormalTok"/>
        </w:rPr>
        <w:t xml:space="preserve">(compare_df,</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year, </w:t>
      </w:r>
      <w:r>
        <w:br/>
      </w:r>
      <w:r>
        <w:rPr>
          <w:rStyle w:val="NormalTok"/>
        </w:rPr>
        <w:t xml:space="preserve">         </w:t>
      </w:r>
      <w:r>
        <w:rPr>
          <w:rStyle w:val="AttributeTok"/>
        </w:rPr>
        <w:t xml:space="preserve">y =</w:t>
      </w:r>
      <w:r>
        <w:rPr>
          <w:rStyle w:val="NormalTok"/>
        </w:rPr>
        <w:t xml:space="preserve"> lifeExp, </w:t>
      </w:r>
      <w:r>
        <w:br/>
      </w:r>
      <w:r>
        <w:rPr>
          <w:rStyle w:val="NormalTok"/>
        </w:rPr>
        <w:t xml:space="preserve">         </w:t>
      </w:r>
      <w:r>
        <w:rPr>
          <w:rStyle w:val="AttributeTok"/>
        </w:rPr>
        <w:t xml:space="preserve">color =</w:t>
      </w:r>
      <w:r>
        <w:rPr>
          <w:rStyle w:val="NormalTok"/>
        </w:rPr>
        <w:t xml:space="preserve"> country)</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Over Time: Kuwait vs United States"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"Country"</w:t>
      </w:r>
      <w:r>
        <w:br/>
      </w:r>
      <w:r>
        <w:rPr>
          <w:rStyle w:val="NormalTok"/>
        </w:rPr>
        <w:t xml:space="preserve">  ) </w:t>
      </w:r>
    </w:p>
    <w:p>
      <w:pPr>
        <w:pStyle w:val="FirstParagraph"/>
      </w:pPr>
      <w:r>
        <w:drawing>
          <wp:inline>
            <wp:extent cx="5334000" cy="4267200"/>
            <wp:effectExtent b="0" l="0" r="0" t="0"/>
            <wp:docPr descr="" title="" id="24" name="Picture"/>
            <a:graphic>
              <a:graphicData uri="http://schemas.openxmlformats.org/drawingml/2006/picture">
                <pic:pic>
                  <pic:nvPicPr>
                    <pic:cNvPr descr="Project1-Rivera_files/figure-docx/unnamed-chunk-5-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Between 1952 and 2007, both Kuwait and the US had steady increases in life expectancy. Kuwait saw faster increases, especially from the 1960s through the 1980s, whereas the United States maintained a steadily greater life expectancy throughout the research period. This trend indicates that Kuwait had a period of rapid health improvement, which was probably brought on by improvements in living circumstances, increased access to healthcare, and economic prosperity (Cutler et al., 2006; Marmot, 2005). Even with these improvements, Kuwait’s life expectancy by 2007 did not completely match that of the United States.</w:t>
      </w:r>
    </w:p>
    <w:bookmarkEnd w:id="26"/>
    <w:bookmarkStart w:id="30" w:name="gdp-per-capita-vs-life-expectancy"/>
    <w:p>
      <w:pPr>
        <w:pStyle w:val="Heading3"/>
      </w:pPr>
      <w:r>
        <w:t xml:space="preserve">GDP Per Capita vs Life Expectancy</w:t>
      </w:r>
    </w:p>
    <w:p>
      <w:pPr>
        <w:pStyle w:val="SourceCode"/>
      </w:pPr>
      <w:r>
        <w:rPr>
          <w:rStyle w:val="FunctionTok"/>
        </w:rPr>
        <w:t xml:space="preserve">ggplot</w:t>
      </w:r>
      <w:r>
        <w:rPr>
          <w:rStyle w:val="NormalTok"/>
        </w:rPr>
        <w:t xml:space="preserve">(compare_df, </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gdpPercap,</w:t>
      </w:r>
      <w:r>
        <w:br/>
      </w:r>
      <w:r>
        <w:rPr>
          <w:rStyle w:val="NormalTok"/>
        </w:rPr>
        <w:t xml:space="preserve">         </w:t>
      </w:r>
      <w:r>
        <w:rPr>
          <w:rStyle w:val="AttributeTok"/>
        </w:rPr>
        <w:t xml:space="preserve">y =</w:t>
      </w:r>
      <w:r>
        <w:rPr>
          <w:rStyle w:val="NormalTok"/>
        </w:rPr>
        <w:t xml:space="preserve"> lifeExp,</w:t>
      </w:r>
      <w:r>
        <w:br/>
      </w:r>
      <w:r>
        <w:rPr>
          <w:rStyle w:val="NormalTok"/>
        </w:rPr>
        <w:t xml:space="preserve">         </w:t>
      </w:r>
      <w:r>
        <w:rPr>
          <w:rStyle w:val="AttributeTok"/>
        </w:rPr>
        <w:t xml:space="preserve">color =</w:t>
      </w:r>
      <w:r>
        <w:rPr>
          <w:rStyle w:val="NormalTok"/>
        </w:rPr>
        <w:t xml:space="preserve"> country)</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scale_x_log10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vs GDP per Capita: Kuwait vs United States"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"GDP per Capita (log scale)"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"Country"</w:t>
      </w:r>
      <w:r>
        <w:br/>
      </w:r>
      <w:r>
        <w:rPr>
          <w:rStyle w:val="NormalTok"/>
        </w:rPr>
        <w:t xml:space="preserve">  ) </w:t>
      </w:r>
    </w:p>
    <w:p>
      <w:pPr>
        <w:pStyle w:val="FirstParagraph"/>
      </w:pPr>
      <w:r>
        <w:drawing>
          <wp:inline>
            <wp:extent cx="5334000" cy="4267200"/>
            <wp:effectExtent b="0" l="0" r="0" t="0"/>
            <wp:docPr descr="" title="" id="28" name="Picture"/>
            <a:graphic>
              <a:graphicData uri="http://schemas.openxmlformats.org/drawingml/2006/picture">
                <pic:pic>
                  <pic:nvPicPr>
                    <pic:cNvPr descr="Project1-Rivera_files/figure-docx/unnamed-chunk-6-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For both Kuwait and the US, life expectancy is often greater in countries with higher GDP per capita. At equivalent or greater levels of economic production, Kuwait’s life expectancy is still lower than that of the US, suggesting that population health is not only determined by economic well-being (Marmot, 2005; Deaton, 2013). This research emphasizes the significance of the allocation and investment of resources in social services, health systems, and preventative care. The observed disparity may also be caused by variations in healthcare access, chronic illness load, and health practices (Mokdad et al., 2016).</w:t>
      </w:r>
    </w:p>
    <w:bookmarkEnd w:id="30"/>
    <w:bookmarkEnd w:id="31"/>
    <w:bookmarkStart w:id="32" w:name="section-4-data-quality-limitations"/>
    <w:p>
      <w:pPr>
        <w:pStyle w:val="Heading2"/>
      </w:pPr>
      <w:r>
        <w:t xml:space="preserve">Section 4: Data Quality &amp; Limitations</w:t>
      </w:r>
    </w:p>
    <w:p>
      <w:pPr>
        <w:pStyle w:val="FirstParagraph"/>
      </w:pPr>
      <w:r>
        <w:t xml:space="preserve">Life expectancy, population, and GDP per capita for Kuwait and the US are all complete in the Gapminder data-set utilized in this research, allowing for reliable descriptive comparisons over time; however, the capacity to analyze current trends in population health or short-term changes is limited because the data are only available for observations made every five years between 1952 and 2007.</w:t>
      </w:r>
    </w:p>
    <w:p>
      <w:pPr>
        <w:pStyle w:val="BodyText"/>
      </w:pPr>
      <w:r>
        <w:t xml:space="preserve">Furthermore, because all metrics are presented as national averages, within-country differences in socioeconomic level, gender, race, or immigration status are not captured (Deaton, 2013; Marmot, 2005). The dataset’s capacity to explain observed variations in life expectancy is further limited by its absence of data on healthcare systems, disease-specific mortality, and policy initiatives; therefore, rather than being causative, the results of this research should be understood as descriptive.</w:t>
      </w:r>
    </w:p>
    <w:bookmarkEnd w:id="32"/>
    <w:bookmarkStart w:id="33" w:name="section-5-reflection"/>
    <w:p>
      <w:pPr>
        <w:pStyle w:val="Heading2"/>
      </w:pPr>
      <w:r>
        <w:t xml:space="preserve">Section 5: Reflection</w:t>
      </w:r>
    </w:p>
    <w:p>
      <w:pPr>
        <w:pStyle w:val="FirstParagraph"/>
      </w:pPr>
      <w:r>
        <w:t xml:space="preserve">Being able to accurately relay information in R and convert descriptive data and visuals into understandable public health findings was a rewarding experience. One interesting finding was that despite Kuwait’s high GDP per capita, life expectancy increased quickly during times of economic boom and the country continued to lag behind the US. This somewhat unexpected conclusion supports the notion that economic expansion by itself does not provide the best possible outcomes for population health (Marmot, 2005; Deaton, 2013). If more information were available, I would like to investigate the ways in which the structure of the healthcare system, the frequency of chronic diseases, and the dynamics of the population affect the variations in life expectancy among high-income nations. The importance of descriptive research as a starting point for more complex analysis was understood well doing this project.</w:t>
      </w:r>
    </w:p>
    <w:bookmarkEnd w:id="33"/>
    <w:bookmarkStart w:id="34" w:name="references"/>
    <w:p>
      <w:pPr>
        <w:pStyle w:val="Heading2"/>
      </w:pPr>
      <w:r>
        <w:t xml:space="preserve">References</w:t>
      </w:r>
    </w:p>
    <w:p>
      <w:pPr>
        <w:pStyle w:val="FirstParagraph"/>
      </w:pPr>
      <w:r>
        <w:t xml:space="preserve">Anderson, G. F., Reinhardt, U. E., Hussey, P. S., &amp; Petrosyan, V. (2003). It’s the prices, stupid: Why the United States is so different from other countries. Health Affairs, 22(3), 89–105. https://www.healthaffairs.org/doi/10.1377/hlthaff.22.3.89</w:t>
      </w:r>
    </w:p>
    <w:p>
      <w:pPr>
        <w:pStyle w:val="BodyText"/>
      </w:pPr>
      <w:r>
        <w:t xml:space="preserve">The determinants of mortality. Journal of Economic Perspectives, 20(3), 97–120. https://www.aeaweb.org/articles?id=10.1257/jep.20.3.97</w:t>
      </w:r>
    </w:p>
    <w:p>
      <w:pPr>
        <w:pStyle w:val="BodyText"/>
      </w:pPr>
      <w:r>
        <w:t xml:space="preserve">Deaton, A. (2013). The great escape: Health, wealth, and the origins of inequality. Princeton University Press.</w:t>
      </w:r>
    </w:p>
    <w:p>
      <w:pPr>
        <w:pStyle w:val="BodyText"/>
      </w:pPr>
      <w:r>
        <w:t xml:space="preserve">Marmot, M. (2005). Social determinants of health inequalities. The Lancet, 365(9464), 1099–1104. https://www.thelancet.com/journals/lancet/article/PIIS0140-6736(05)71146-6/abstract</w:t>
      </w:r>
    </w:p>
    <w:p>
      <w:pPr>
        <w:pStyle w:val="BodyText"/>
      </w:pPr>
      <w:r>
        <w:t xml:space="preserve">Mokdad, A. H., et al. (2016). Health in times of uncertainty in the Eastern Mediterranean Region, 1990–2013. The Lancet Global Health, 4(10), e704–e713. https://www.thelancet.com/journals/langlo/article/PIIS2214-109X(16)30168-1/fulltext</w:t>
      </w:r>
    </w:p>
    <w:p>
      <w:pPr>
        <w:pStyle w:val="BodyText"/>
      </w:pPr>
      <w:r>
        <w:t xml:space="preserve">Ng, M., et al. (2014). Global, regional, and national prevalence of overweight and obesity in adults. The Lancet, 384(9945), 766–781. https://www.thelancet.com/journals/lancet/article/PIIS0140-6736(14)60460-8/abstract</w:t>
      </w:r>
    </w:p>
    <w:p>
      <w:pPr>
        <w:pStyle w:val="BodyText"/>
      </w:pPr>
      <w:r>
        <w:t xml:space="preserve">World Health Organization. (2023). World health statistics 2023: Monitoring health for the SDGs. WHO Press.</w:t>
      </w:r>
    </w:p>
    <w:p>
      <w:pPr>
        <w:pStyle w:val="BodyText"/>
      </w:pPr>
      <w:r>
        <w:t xml:space="preserve">Gapminder Foundation. (2024). Gapminder data documentation.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Project1-Rivera</dc:title>
  <dc:creator>M.Rivera</dc:creator>
  <cp:keywords/>
  <dcterms:created xsi:type="dcterms:W3CDTF">2026-02-11T20:07:17Z</dcterms:created>
  <dcterms:modified xsi:type="dcterms:W3CDTF">2026-02-11T20:07:17Z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