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ind w:left="0" w:firstLine="0"/>
        <w:rPr>
          <w:color w:val="1f2328"/>
          <w:sz w:val="24"/>
          <w:szCs w:val="24"/>
        </w:rPr>
      </w:pPr>
      <w:r w:rsidDel="00000000" w:rsidR="00000000" w:rsidRPr="00000000">
        <w:rPr>
          <w:color w:val="1f2328"/>
          <w:sz w:val="24"/>
          <w:szCs w:val="24"/>
          <w:rtl w:val="0"/>
        </w:rPr>
        <w:t xml:space="preserve">TOOL: VaxFax App V1</w:t>
      </w:r>
    </w:p>
    <w:p w:rsidR="00000000" w:rsidDel="00000000" w:rsidP="00000000" w:rsidRDefault="00000000" w:rsidRPr="00000000" w14:paraId="00000002">
      <w:pPr>
        <w:shd w:fill="ffffff" w:val="clear"/>
        <w:spacing w:after="240" w:lineRule="auto"/>
        <w:ind w:left="0" w:firstLine="0"/>
        <w:rPr>
          <w:color w:val="1f2328"/>
          <w:sz w:val="24"/>
          <w:szCs w:val="24"/>
        </w:rPr>
      </w:pPr>
      <w:r w:rsidDel="00000000" w:rsidR="00000000" w:rsidRPr="00000000">
        <w:rPr>
          <w:color w:val="1f2328"/>
          <w:sz w:val="24"/>
          <w:szCs w:val="24"/>
          <w:rtl w:val="0"/>
        </w:rPr>
        <w:t xml:space="preserve">March 1, 2026</w:t>
      </w:r>
    </w:p>
    <w:p w:rsidR="00000000" w:rsidDel="00000000" w:rsidP="00000000" w:rsidRDefault="00000000" w:rsidRPr="00000000" w14:paraId="00000003">
      <w:pPr>
        <w:shd w:fill="ffffff" w:val="clear"/>
        <w:spacing w:after="240" w:lineRule="auto"/>
        <w:ind w:left="0" w:firstLine="0"/>
        <w:rPr>
          <w:color w:val="1f2328"/>
          <w:sz w:val="24"/>
          <w:szCs w:val="24"/>
        </w:rPr>
      </w:pPr>
      <w:r w:rsidDel="00000000" w:rsidR="00000000" w:rsidRPr="00000000">
        <w:rPr>
          <w:color w:val="1f2328"/>
          <w:sz w:val="24"/>
          <w:szCs w:val="24"/>
          <w:rtl w:val="0"/>
        </w:rPr>
        <w:t xml:space="preserve">Team W</w:t>
      </w:r>
    </w:p>
    <w:p w:rsidR="00000000" w:rsidDel="00000000" w:rsidP="00000000" w:rsidRDefault="00000000" w:rsidRPr="00000000" w14:paraId="00000004">
      <w:pPr>
        <w:pStyle w:val="Heading3"/>
        <w:shd w:fill="ffffff" w:val="clear"/>
        <w:spacing w:after="240" w:lineRule="auto"/>
        <w:rPr/>
      </w:pPr>
      <w:bookmarkStart w:colFirst="0" w:colLast="0" w:name="_qiawryy9ahqb" w:id="0"/>
      <w:bookmarkEnd w:id="0"/>
      <w:r w:rsidDel="00000000" w:rsidR="00000000" w:rsidRPr="00000000">
        <w:rPr>
          <w:rtl w:val="0"/>
        </w:rPr>
        <w:t xml:space="preserve">Deployed App Link</w:t>
      </w:r>
    </w:p>
    <w:p w:rsidR="00000000" w:rsidDel="00000000" w:rsidP="00000000" w:rsidRDefault="00000000" w:rsidRPr="00000000" w14:paraId="00000005">
      <w:pPr>
        <w:shd w:fill="ffffff" w:val="clear"/>
        <w:spacing w:after="240" w:lineRule="auto"/>
        <w:ind w:left="0" w:firstLine="0"/>
        <w:rPr>
          <w:color w:val="1f2328"/>
          <w:sz w:val="24"/>
          <w:szCs w:val="24"/>
        </w:rPr>
      </w:pPr>
      <w:hyperlink r:id="rId6">
        <w:r w:rsidDel="00000000" w:rsidR="00000000" w:rsidRPr="00000000">
          <w:rPr>
            <w:color w:val="1155cc"/>
            <w:sz w:val="24"/>
            <w:szCs w:val="24"/>
            <w:u w:val="single"/>
            <w:rtl w:val="0"/>
          </w:rPr>
          <w:t xml:space="preserve">https://connect.systems-apps.com/content/7dda0a08-af91-437f-a038-c12b59e3d9df</w:t>
        </w:r>
      </w:hyperlink>
      <w:r w:rsidDel="00000000" w:rsidR="00000000" w:rsidRPr="00000000">
        <w:rPr>
          <w:color w:val="1f2328"/>
          <w:sz w:val="24"/>
          <w:szCs w:val="24"/>
          <w:rtl w:val="0"/>
        </w:rPr>
        <w:t xml:space="preserve"> </w:t>
      </w:r>
    </w:p>
    <w:p w:rsidR="00000000" w:rsidDel="00000000" w:rsidP="00000000" w:rsidRDefault="00000000" w:rsidRPr="00000000" w14:paraId="00000006">
      <w:pPr>
        <w:pStyle w:val="Heading3"/>
        <w:shd w:fill="ffffff" w:val="clear"/>
        <w:spacing w:after="240" w:lineRule="auto"/>
        <w:rPr/>
      </w:pPr>
      <w:bookmarkStart w:colFirst="0" w:colLast="0" w:name="_utuj2ui30huo" w:id="1"/>
      <w:bookmarkEnd w:id="1"/>
      <w:r w:rsidDel="00000000" w:rsidR="00000000" w:rsidRPr="00000000">
        <w:rPr>
          <w:rtl w:val="0"/>
        </w:rPr>
        <w:t xml:space="preserve">App Description</w:t>
      </w:r>
    </w:p>
    <w:p w:rsidR="00000000" w:rsidDel="00000000" w:rsidP="00000000" w:rsidRDefault="00000000" w:rsidRPr="00000000" w14:paraId="00000007">
      <w:pPr>
        <w:shd w:fill="ffffff" w:val="clear"/>
        <w:spacing w:after="240" w:lineRule="auto"/>
        <w:ind w:left="0" w:firstLine="0"/>
        <w:rPr>
          <w:color w:val="1f2328"/>
          <w:sz w:val="24"/>
          <w:szCs w:val="24"/>
        </w:rPr>
      </w:pPr>
      <w:r w:rsidDel="00000000" w:rsidR="00000000" w:rsidRPr="00000000">
        <w:rPr>
          <w:color w:val="1f2328"/>
          <w:sz w:val="24"/>
          <w:szCs w:val="24"/>
          <w:rtl w:val="0"/>
        </w:rPr>
        <w:tab/>
        <w:t xml:space="preserve">The VaxFax app was developed to monitor the risk of measles outbreak in the United States. This app leveraged three APIs and one static database:</w:t>
      </w:r>
    </w:p>
    <w:tbl>
      <w:tblPr>
        <w:tblStyle w:val="Table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915"/>
        <w:gridCol w:w="3450"/>
        <w:tblGridChange w:id="0">
          <w:tblGrid>
            <w:gridCol w:w="2325"/>
            <w:gridCol w:w="3915"/>
            <w:gridCol w:w="345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328"/>
                <w:sz w:val="24"/>
                <w:szCs w:val="24"/>
              </w:rPr>
            </w:pPr>
            <w:r w:rsidDel="00000000" w:rsidR="00000000" w:rsidRPr="00000000">
              <w:rPr>
                <w:b w:val="1"/>
                <w:bCs w:val="1"/>
                <w:color w:val="1f2328"/>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328"/>
                <w:sz w:val="24"/>
                <w:szCs w:val="24"/>
              </w:rPr>
            </w:pPr>
            <w:r w:rsidDel="00000000" w:rsidR="00000000" w:rsidRPr="00000000">
              <w:rPr>
                <w:b w:val="1"/>
                <w:bCs w:val="1"/>
                <w:color w:val="1f2328"/>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328"/>
                <w:sz w:val="24"/>
                <w:szCs w:val="24"/>
              </w:rPr>
            </w:pPr>
            <w:r w:rsidDel="00000000" w:rsidR="00000000" w:rsidRPr="00000000">
              <w:rPr>
                <w:b w:val="1"/>
                <w:bCs w:val="1"/>
                <w:color w:val="1f2328"/>
                <w:sz w:val="24"/>
                <w:szCs w:val="24"/>
                <w:rtl w:val="0"/>
              </w:rPr>
              <w:t xml:space="preserve">Utilization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CDC Kindergarten Vaccination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Vaccination coverage in kindergartners from School Vaccination Assessment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Measles vaccination coverage by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color w:val="1f2328"/>
              </w:rPr>
            </w:pPr>
            <w:r w:rsidDel="00000000" w:rsidR="00000000" w:rsidRPr="00000000">
              <w:rPr>
                <w:color w:val="1f2328"/>
                <w:rtl w:val="0"/>
              </w:rPr>
              <w:t xml:space="preserve">Measles Cases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color w:val="1f2328"/>
              </w:rPr>
            </w:pPr>
            <w:r w:rsidDel="00000000" w:rsidR="00000000" w:rsidRPr="00000000">
              <w:rPr>
                <w:color w:val="1f2328"/>
                <w:rtl w:val="0"/>
              </w:rPr>
              <w:t xml:space="preserve">Count of annual measles cases in US (1985-present)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color w:val="1f2328"/>
              </w:rPr>
            </w:pPr>
            <w:r w:rsidDel="00000000" w:rsidR="00000000" w:rsidRPr="00000000">
              <w:rPr>
                <w:color w:val="1f2328"/>
                <w:rtl w:val="0"/>
              </w:rPr>
              <w:t xml:space="preserve">Historical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National Notifiable Diseases Surveillance System (NNDSS)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Disease case counts at weekly intervals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Filter by weekly measles case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CDC Wastewater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Weekly wastewater data from national surveillance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color w:val="1f2328"/>
                <w:rtl w:val="0"/>
              </w:rPr>
              <w:t xml:space="preserve">Filter by weekly measles indication in wastewater</w:t>
            </w:r>
          </w:p>
        </w:tc>
      </w:tr>
    </w:tbl>
    <w:p w:rsidR="00000000" w:rsidDel="00000000" w:rsidP="00000000" w:rsidRDefault="00000000" w:rsidRPr="00000000" w14:paraId="00000017">
      <w:pPr>
        <w:shd w:fill="ffffff" w:val="clear"/>
        <w:spacing w:after="24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18">
      <w:pPr>
        <w:shd w:fill="ffffff" w:val="clear"/>
        <w:spacing w:after="240" w:lineRule="auto"/>
        <w:ind w:left="0" w:firstLine="720"/>
        <w:rPr>
          <w:color w:val="1f2328"/>
          <w:sz w:val="24"/>
          <w:szCs w:val="24"/>
        </w:rPr>
      </w:pPr>
      <w:r w:rsidDel="00000000" w:rsidR="00000000" w:rsidRPr="00000000">
        <w:rPr>
          <w:color w:val="1f2328"/>
          <w:sz w:val="24"/>
          <w:szCs w:val="24"/>
          <w:rtl w:val="0"/>
        </w:rPr>
        <w:t xml:space="preserve">The app first loads and filters the relevant measles data. This data is used to visualize and report on:</w:t>
      </w:r>
    </w:p>
    <w:p w:rsidR="00000000" w:rsidDel="00000000" w:rsidP="00000000" w:rsidRDefault="00000000" w:rsidRPr="00000000" w14:paraId="00000019">
      <w:pPr>
        <w:numPr>
          <w:ilvl w:val="0"/>
          <w:numId w:val="1"/>
        </w:numPr>
        <w:shd w:fill="ffffff" w:val="clear"/>
        <w:spacing w:after="0" w:afterAutospacing="0" w:lineRule="auto"/>
        <w:ind w:left="1440" w:hanging="360"/>
        <w:rPr>
          <w:color w:val="1f2328"/>
          <w:sz w:val="24"/>
          <w:szCs w:val="24"/>
        </w:rPr>
      </w:pPr>
      <w:r w:rsidDel="00000000" w:rsidR="00000000" w:rsidRPr="00000000">
        <w:rPr>
          <w:color w:val="1f2328"/>
          <w:sz w:val="24"/>
          <w:szCs w:val="24"/>
          <w:rtl w:val="0"/>
        </w:rPr>
        <w:t xml:space="preserve">Overview of measles outbreak risk in US</w:t>
      </w:r>
    </w:p>
    <w:p w:rsidR="00000000" w:rsidDel="00000000" w:rsidP="00000000" w:rsidRDefault="00000000" w:rsidRPr="00000000" w14:paraId="0000001A">
      <w:pPr>
        <w:numPr>
          <w:ilvl w:val="0"/>
          <w:numId w:val="1"/>
        </w:numPr>
        <w:shd w:fill="ffffff" w:val="clear"/>
        <w:spacing w:after="0" w:afterAutospacing="0" w:lineRule="auto"/>
        <w:ind w:left="1440" w:hanging="360"/>
        <w:rPr>
          <w:color w:val="1f2328"/>
          <w:sz w:val="24"/>
          <w:szCs w:val="24"/>
        </w:rPr>
      </w:pPr>
      <w:r w:rsidDel="00000000" w:rsidR="00000000" w:rsidRPr="00000000">
        <w:rPr>
          <w:color w:val="1f2328"/>
          <w:sz w:val="24"/>
          <w:szCs w:val="24"/>
          <w:rtl w:val="0"/>
        </w:rPr>
        <w:t xml:space="preserve">Visualization of measles cases </w:t>
      </w:r>
    </w:p>
    <w:p w:rsidR="00000000" w:rsidDel="00000000" w:rsidP="00000000" w:rsidRDefault="00000000" w:rsidRPr="00000000" w14:paraId="0000001B">
      <w:pPr>
        <w:numPr>
          <w:ilvl w:val="0"/>
          <w:numId w:val="1"/>
        </w:numPr>
        <w:shd w:fill="ffffff" w:val="clear"/>
        <w:spacing w:after="0" w:afterAutospacing="0" w:lineRule="auto"/>
        <w:ind w:left="1440" w:hanging="360"/>
        <w:rPr>
          <w:color w:val="1f2328"/>
          <w:sz w:val="24"/>
          <w:szCs w:val="24"/>
        </w:rPr>
      </w:pPr>
      <w:r w:rsidDel="00000000" w:rsidR="00000000" w:rsidRPr="00000000">
        <w:rPr>
          <w:color w:val="1f2328"/>
          <w:sz w:val="24"/>
          <w:szCs w:val="24"/>
          <w:rtl w:val="0"/>
        </w:rPr>
        <w:t xml:space="preserve">Visualization of vaccination coverage in kindergarteners</w:t>
      </w:r>
    </w:p>
    <w:p w:rsidR="00000000" w:rsidDel="00000000" w:rsidP="00000000" w:rsidRDefault="00000000" w:rsidRPr="00000000" w14:paraId="0000001C">
      <w:pPr>
        <w:numPr>
          <w:ilvl w:val="0"/>
          <w:numId w:val="1"/>
        </w:numPr>
        <w:shd w:fill="ffffff" w:val="clear"/>
        <w:spacing w:after="0" w:afterAutospacing="0" w:lineRule="auto"/>
        <w:ind w:left="1440" w:hanging="360"/>
        <w:rPr>
          <w:color w:val="1f2328"/>
          <w:sz w:val="24"/>
          <w:szCs w:val="24"/>
        </w:rPr>
      </w:pPr>
      <w:r w:rsidDel="00000000" w:rsidR="00000000" w:rsidRPr="00000000">
        <w:rPr>
          <w:color w:val="1f2328"/>
          <w:sz w:val="24"/>
          <w:szCs w:val="24"/>
          <w:rtl w:val="0"/>
        </w:rPr>
        <w:t xml:space="preserve">Analysis of weekly wastewater indicators vs weekly reported cases </w:t>
      </w:r>
    </w:p>
    <w:p w:rsidR="00000000" w:rsidDel="00000000" w:rsidP="00000000" w:rsidRDefault="00000000" w:rsidRPr="00000000" w14:paraId="0000001D">
      <w:pPr>
        <w:numPr>
          <w:ilvl w:val="0"/>
          <w:numId w:val="1"/>
        </w:numPr>
        <w:shd w:fill="ffffff" w:val="clear"/>
        <w:spacing w:after="0" w:afterAutospacing="0" w:lineRule="auto"/>
        <w:ind w:left="1440" w:hanging="360"/>
        <w:rPr>
          <w:color w:val="1f2328"/>
          <w:sz w:val="24"/>
          <w:szCs w:val="24"/>
        </w:rPr>
      </w:pPr>
      <w:r w:rsidDel="00000000" w:rsidR="00000000" w:rsidRPr="00000000">
        <w:rPr>
          <w:color w:val="1f2328"/>
          <w:sz w:val="24"/>
          <w:szCs w:val="24"/>
          <w:rtl w:val="0"/>
        </w:rPr>
        <w:t xml:space="preserve">Analysis of state level risk and outbreak forecast</w:t>
      </w:r>
    </w:p>
    <w:p w:rsidR="00000000" w:rsidDel="00000000" w:rsidP="00000000" w:rsidRDefault="00000000" w:rsidRPr="00000000" w14:paraId="0000001E">
      <w:pPr>
        <w:numPr>
          <w:ilvl w:val="0"/>
          <w:numId w:val="1"/>
        </w:numPr>
        <w:shd w:fill="ffffff" w:val="clear"/>
        <w:spacing w:after="240" w:lineRule="auto"/>
        <w:ind w:left="1440" w:hanging="360"/>
        <w:rPr>
          <w:color w:val="1f2328"/>
          <w:sz w:val="24"/>
          <w:szCs w:val="24"/>
        </w:rPr>
      </w:pPr>
      <w:r w:rsidDel="00000000" w:rsidR="00000000" w:rsidRPr="00000000">
        <w:rPr>
          <w:color w:val="1f2328"/>
          <w:sz w:val="24"/>
          <w:szCs w:val="24"/>
          <w:rtl w:val="0"/>
        </w:rPr>
        <w:t xml:space="preserve">Forecasting of national and state cases </w:t>
      </w:r>
    </w:p>
    <w:p w:rsidR="00000000" w:rsidDel="00000000" w:rsidP="00000000" w:rsidRDefault="00000000" w:rsidRPr="00000000" w14:paraId="0000001F">
      <w:pPr>
        <w:shd w:fill="ffffff" w:val="clear"/>
        <w:spacing w:after="240" w:lineRule="auto"/>
        <w:ind w:left="0" w:firstLine="0"/>
        <w:rPr>
          <w:color w:val="1f2328"/>
          <w:sz w:val="24"/>
          <w:szCs w:val="24"/>
        </w:rPr>
      </w:pPr>
      <w:r w:rsidDel="00000000" w:rsidR="00000000" w:rsidRPr="00000000">
        <w:rPr>
          <w:color w:val="1f2328"/>
          <w:sz w:val="24"/>
          <w:szCs w:val="24"/>
          <w:rtl w:val="0"/>
        </w:rPr>
        <w:tab/>
        <w:t xml:space="preserve">The overview serves as a platform for the key metrics generated by leveraging the APIs and databases discussed. The measles data was used to calculate an outbreak alarm, baseline risk, and risk score. This app provides insights beyond metrics, utilizing historical data to predict outbreaks and provide recommendations to protect from infectious diseases. </w:t>
      </w:r>
    </w:p>
    <w:p w:rsidR="00000000" w:rsidDel="00000000" w:rsidP="00000000" w:rsidRDefault="00000000" w:rsidRPr="00000000" w14:paraId="00000020">
      <w:pPr>
        <w:shd w:fill="ffffff" w:val="clear"/>
        <w:spacing w:after="240" w:lineRule="auto"/>
        <w:ind w:left="0" w:firstLine="720"/>
        <w:rPr>
          <w:color w:val="1f2328"/>
          <w:sz w:val="24"/>
          <w:szCs w:val="24"/>
        </w:rPr>
      </w:pPr>
      <w:r w:rsidDel="00000000" w:rsidR="00000000" w:rsidRPr="00000000">
        <w:rPr>
          <w:color w:val="1f2328"/>
          <w:sz w:val="24"/>
          <w:szCs w:val="24"/>
          <w:rtl w:val="0"/>
        </w:rPr>
        <w:t xml:space="preserve">Outbreak alarm probability </w:t>
      </w:r>
      <w:r w:rsidDel="00000000" w:rsidR="00000000" w:rsidRPr="00000000">
        <w:rPr>
          <w:color w:val="1f2328"/>
          <w:sz w:val="24"/>
          <w:szCs w:val="24"/>
          <w:rtl w:val="0"/>
        </w:rPr>
        <w:t xml:space="preserve">is the probability that nationally reported measles cases in the next four weeks will exceed an outbreak threshold. The threshold is determined by a 4-week rolling window average of the observed case totals to define  “outbreak” as an unusually high level of cases. For each historical National Notifiable Diseases Surveillance System</w:t>
      </w:r>
      <w:r w:rsidDel="00000000" w:rsidR="00000000" w:rsidRPr="00000000">
        <w:rPr>
          <w:color w:val="1f2328"/>
          <w:rtl w:val="0"/>
        </w:rPr>
        <w:t xml:space="preserve"> (</w:t>
      </w:r>
      <w:r w:rsidDel="00000000" w:rsidR="00000000" w:rsidRPr="00000000">
        <w:rPr>
          <w:color w:val="1f2328"/>
          <w:sz w:val="24"/>
          <w:szCs w:val="24"/>
          <w:rtl w:val="0"/>
        </w:rPr>
        <w:t xml:space="preserve">NNDSS) week, the target is binary: 1 if the sum of cases in the following four weeks is above the threshold, and 0 otherwise. The model uses logistic regression with three groups of predictors: (1) the prior 8–12 weeks of wastewater data, (2) week of year (1–53) to capture seasonality, and (3) national kindergarten MMR vaccination coverage. The model is fit on a time-based split, with the last 12 weeks held out as a test set, and performance is summarized by the area under the ROC curve (AUC). The alarm probability shown on the dashboard is the fitted probability of outbreak in the next four weeks for the most recent week, given current wastewater trends, seasonality, and coverage.</w:t>
      </w:r>
      <w:r w:rsidDel="00000000" w:rsidR="00000000" w:rsidRPr="00000000">
        <w:rPr>
          <w:rtl w:val="0"/>
        </w:rPr>
      </w:r>
    </w:p>
    <w:p w:rsidR="00000000" w:rsidDel="00000000" w:rsidP="00000000" w:rsidRDefault="00000000" w:rsidRPr="00000000" w14:paraId="00000021">
      <w:pPr>
        <w:shd w:fill="ffffff" w:val="clear"/>
        <w:spacing w:after="240" w:lineRule="auto"/>
        <w:ind w:left="0" w:firstLine="720"/>
        <w:rPr>
          <w:color w:val="1f2328"/>
          <w:sz w:val="24"/>
          <w:szCs w:val="24"/>
        </w:rPr>
      </w:pPr>
      <w:r w:rsidDel="00000000" w:rsidR="00000000" w:rsidRPr="00000000">
        <w:rPr>
          <w:color w:val="1f2328"/>
          <w:sz w:val="24"/>
          <w:szCs w:val="24"/>
          <w:rtl w:val="0"/>
        </w:rPr>
        <w:t xml:space="preserve">The visualization of measles cases pulls data from the CSV and NNDSS API, and applies appropriate filters to report on only measles cases. The clear visualization exposes historical outbreaks such as the recent (February 2026) measles outbreak and the 1990-1991 Philadelphia measles outbreak. </w:t>
      </w:r>
    </w:p>
    <w:p w:rsidR="00000000" w:rsidDel="00000000" w:rsidP="00000000" w:rsidRDefault="00000000" w:rsidRPr="00000000" w14:paraId="00000022">
      <w:pPr>
        <w:shd w:fill="ffffff" w:val="clear"/>
        <w:spacing w:after="240" w:lineRule="auto"/>
        <w:ind w:left="0" w:firstLine="0"/>
        <w:rPr>
          <w:color w:val="1f2328"/>
          <w:sz w:val="24"/>
          <w:szCs w:val="24"/>
        </w:rPr>
      </w:pPr>
      <w:r w:rsidDel="00000000" w:rsidR="00000000" w:rsidRPr="00000000">
        <w:rPr>
          <w:color w:val="1f2328"/>
          <w:sz w:val="24"/>
          <w:szCs w:val="24"/>
          <w:rtl w:val="0"/>
        </w:rPr>
        <w:tab/>
        <w:t xml:space="preserve">The visualization of kindergarten MMR vaccination coverage by state gives the user a baseline understanding of the differences in vaccination rates across the United States through the use of the CDC API. Some states, such as Connecticut, New York, and California exceeded 98% coverage in 2024, whereas others such as Illinois fell as low as 82%. </w:t>
      </w:r>
    </w:p>
    <w:p w:rsidR="00000000" w:rsidDel="00000000" w:rsidP="00000000" w:rsidRDefault="00000000" w:rsidRPr="00000000" w14:paraId="00000023">
      <w:pPr>
        <w:shd w:fill="ffffff" w:val="clear"/>
        <w:spacing w:after="240" w:lineRule="auto"/>
        <w:ind w:left="0" w:firstLine="0"/>
        <w:rPr>
          <w:color w:val="1f2328"/>
          <w:sz w:val="24"/>
          <w:szCs w:val="24"/>
        </w:rPr>
      </w:pPr>
      <w:r w:rsidDel="00000000" w:rsidR="00000000" w:rsidRPr="00000000">
        <w:rPr>
          <w:color w:val="1f2328"/>
          <w:sz w:val="24"/>
          <w:szCs w:val="24"/>
          <w:rtl w:val="0"/>
        </w:rPr>
        <w:tab/>
        <w:t xml:space="preserve">The analysis of wastewater indicators vs NNDSS reported cases queried the respective APIs to identify trends by interpreting lead times. Pearson correlation was performed between lagged wastewater detection frequency and reported cases. Ollama was leveraged to generate an AI report of a measles surveillance snapshot while cautioning the user of report delays, low case counts, and gaps in wastewater sampling. </w:t>
      </w:r>
    </w:p>
    <w:p w:rsidR="00000000" w:rsidDel="00000000" w:rsidP="00000000" w:rsidRDefault="00000000" w:rsidRPr="00000000" w14:paraId="00000024">
      <w:pPr>
        <w:shd w:fill="ffffff" w:val="clear"/>
        <w:spacing w:after="240" w:lineRule="auto"/>
        <w:ind w:left="0" w:firstLine="720"/>
        <w:rPr>
          <w:color w:val="1f2328"/>
          <w:sz w:val="24"/>
          <w:szCs w:val="24"/>
        </w:rPr>
      </w:pPr>
      <w:r w:rsidDel="00000000" w:rsidR="00000000" w:rsidRPr="00000000">
        <w:rPr>
          <w:color w:val="1f2328"/>
          <w:sz w:val="24"/>
          <w:szCs w:val="24"/>
          <w:rtl w:val="0"/>
        </w:rPr>
        <w:t xml:space="preserve">The state risk considered the vaccination coverage, recent measles cases, and wastewater contamination to determine a high, medium, or low risk of outbreak. Each of the three components was scored independently from 0-50, 0-30, and 0-20, respectively, to derive a total score out of 100. This score out of 100 was then bucketed into three risk tiers (</w:t>
      </w:r>
      <w:r w:rsidDel="00000000" w:rsidR="00000000" w:rsidRPr="00000000">
        <w:rPr>
          <w:rFonts w:ascii="Arial Unicode MS" w:cs="Arial Unicode MS" w:eastAsia="Arial Unicode MS" w:hAnsi="Arial Unicode MS"/>
          <w:color w:val="1f2328"/>
          <w:sz w:val="24"/>
          <w:szCs w:val="24"/>
          <w:rtl w:val="0"/>
        </w:rPr>
        <w:t xml:space="preserve">High ≥ 70, Medium 40–69, Low &lt; 40)</w:t>
      </w:r>
      <w:r w:rsidDel="00000000" w:rsidR="00000000" w:rsidRPr="00000000">
        <w:rPr>
          <w:color w:val="1f2328"/>
          <w:sz w:val="24"/>
          <w:szCs w:val="24"/>
          <w:rtl w:val="0"/>
        </w:rPr>
        <w:t xml:space="preserve">. This process leveraged all the reviewed and visualized data alongside an Ollama AI report to interpret and explain the results. A forecast was developed to summarize the results as a national overview, calling out hotspots and an overall outlook. </w:t>
      </w:r>
    </w:p>
    <w:p w:rsidR="00000000" w:rsidDel="00000000" w:rsidP="00000000" w:rsidRDefault="00000000" w:rsidRPr="00000000" w14:paraId="00000025">
      <w:pPr>
        <w:shd w:fill="ffffff" w:val="clear"/>
        <w:spacing w:after="240" w:lineRule="auto"/>
        <w:ind w:left="0" w:firstLine="720"/>
        <w:rPr>
          <w:color w:val="1f2328"/>
          <w:sz w:val="24"/>
          <w:szCs w:val="24"/>
        </w:rPr>
      </w:pPr>
      <w:r w:rsidDel="00000000" w:rsidR="00000000" w:rsidRPr="00000000">
        <w:rPr>
          <w:color w:val="1f2328"/>
          <w:sz w:val="24"/>
          <w:szCs w:val="24"/>
          <w:rtl w:val="0"/>
        </w:rPr>
        <w:t xml:space="preserve">Case forecasting extrapolates a mean of the last 12 weekly case reports to build a flat forecast of the next 8 weeks. The state outlook differs from national forecast in that it uses the state risk tier and the prime case driver (wastewater, NNDSS). </w:t>
      </w:r>
    </w:p>
    <w:p w:rsidR="00000000" w:rsidDel="00000000" w:rsidP="00000000" w:rsidRDefault="00000000" w:rsidRPr="00000000" w14:paraId="00000026">
      <w:pPr>
        <w:shd w:fill="ffffff" w:val="clear"/>
        <w:spacing w:after="24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27">
      <w:pPr>
        <w:pStyle w:val="Heading3"/>
        <w:shd w:fill="ffffff" w:val="clear"/>
        <w:spacing w:after="240" w:lineRule="auto"/>
        <w:rPr/>
      </w:pPr>
      <w:bookmarkStart w:colFirst="0" w:colLast="0" w:name="_452lozbum7km" w:id="2"/>
      <w:bookmarkEnd w:id="2"/>
      <w:r w:rsidDel="00000000" w:rsidR="00000000" w:rsidRPr="00000000">
        <w:rPr>
          <w:rtl w:val="0"/>
        </w:rPr>
        <w:t xml:space="preserve">Team Members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color w:val="1f2328"/>
                <w:sz w:val="24"/>
                <w:szCs w:val="24"/>
              </w:rPr>
            </w:pPr>
            <w:r w:rsidDel="00000000" w:rsidR="00000000" w:rsidRPr="00000000">
              <w:rPr>
                <w:b w:val="1"/>
                <w:bCs w:val="1"/>
                <w:color w:val="1f2328"/>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color w:val="1f2328"/>
                <w:sz w:val="24"/>
                <w:szCs w:val="24"/>
              </w:rPr>
            </w:pPr>
            <w:r w:rsidDel="00000000" w:rsidR="00000000" w:rsidRPr="00000000">
              <w:rPr>
                <w:b w:val="1"/>
                <w:bCs w:val="1"/>
                <w:color w:val="1f2328"/>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1f2328"/>
                <w:sz w:val="24"/>
                <w:szCs w:val="24"/>
              </w:rPr>
            </w:pPr>
            <w:r w:rsidDel="00000000" w:rsidR="00000000" w:rsidRPr="00000000">
              <w:rPr>
                <w:color w:val="1f2328"/>
                <w:sz w:val="24"/>
                <w:szCs w:val="24"/>
                <w:rtl w:val="0"/>
              </w:rPr>
              <w:t xml:space="preserve">Ian Steigmeyer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1f2328"/>
                <w:sz w:val="24"/>
                <w:szCs w:val="24"/>
              </w:rPr>
            </w:pPr>
            <w:r w:rsidDel="00000000" w:rsidR="00000000" w:rsidRPr="00000000">
              <w:rPr>
                <w:color w:val="1f2328"/>
                <w:sz w:val="24"/>
                <w:szCs w:val="24"/>
                <w:rtl w:val="0"/>
              </w:rPr>
              <w:t xml:space="preserve">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1f2328"/>
                <w:sz w:val="24"/>
                <w:szCs w:val="24"/>
              </w:rPr>
            </w:pPr>
            <w:r w:rsidDel="00000000" w:rsidR="00000000" w:rsidRPr="00000000">
              <w:rPr>
                <w:color w:val="1f2328"/>
                <w:sz w:val="24"/>
                <w:szCs w:val="24"/>
                <w:rtl w:val="0"/>
              </w:rPr>
              <w:t xml:space="preserve">Jonathan Lloyd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1f2328"/>
                <w:sz w:val="24"/>
                <w:szCs w:val="24"/>
              </w:rPr>
            </w:pPr>
            <w:r w:rsidDel="00000000" w:rsidR="00000000" w:rsidRPr="00000000">
              <w:rPr>
                <w:color w:val="1f2328"/>
                <w:sz w:val="24"/>
                <w:szCs w:val="24"/>
                <w:rtl w:val="0"/>
              </w:rPr>
              <w:t xml:space="preserve">Backend Developer / DevOps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1f2328"/>
                <w:sz w:val="24"/>
                <w:szCs w:val="24"/>
              </w:rPr>
            </w:pPr>
            <w:r w:rsidDel="00000000" w:rsidR="00000000" w:rsidRPr="00000000">
              <w:rPr>
                <w:color w:val="1f2328"/>
                <w:sz w:val="24"/>
                <w:szCs w:val="24"/>
                <w:rtl w:val="0"/>
              </w:rPr>
              <w:t xml:space="preserve">Matthew Tirelli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1f2328"/>
                <w:sz w:val="24"/>
                <w:szCs w:val="24"/>
              </w:rPr>
            </w:pPr>
            <w:r w:rsidDel="00000000" w:rsidR="00000000" w:rsidRPr="00000000">
              <w:rPr>
                <w:color w:val="1f2328"/>
                <w:sz w:val="24"/>
                <w:szCs w:val="24"/>
                <w:rtl w:val="0"/>
              </w:rPr>
              <w:t xml:space="preserve">Frontend Developer / Data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1f2328"/>
                <w:sz w:val="24"/>
                <w:szCs w:val="24"/>
              </w:rPr>
            </w:pPr>
            <w:r w:rsidDel="00000000" w:rsidR="00000000" w:rsidRPr="00000000">
              <w:rPr>
                <w:color w:val="1f2328"/>
                <w:sz w:val="24"/>
                <w:szCs w:val="24"/>
                <w:rtl w:val="0"/>
              </w:rPr>
              <w:t xml:space="preserve">Sue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1f2328"/>
                <w:sz w:val="24"/>
                <w:szCs w:val="24"/>
              </w:rPr>
            </w:pPr>
            <w:r w:rsidDel="00000000" w:rsidR="00000000" w:rsidRPr="00000000">
              <w:rPr>
                <w:color w:val="1f2328"/>
                <w:sz w:val="24"/>
                <w:szCs w:val="24"/>
                <w:rtl w:val="0"/>
              </w:rPr>
              <w:t xml:space="preserve">Frontend Developer / Data Engineer</w:t>
            </w:r>
          </w:p>
        </w:tc>
      </w:tr>
    </w:tbl>
    <w:p w:rsidR="00000000" w:rsidDel="00000000" w:rsidP="00000000" w:rsidRDefault="00000000" w:rsidRPr="00000000" w14:paraId="00000032">
      <w:pPr>
        <w:shd w:fill="ffffff" w:val="clear"/>
        <w:spacing w:after="240" w:lineRule="auto"/>
        <w:rPr>
          <w:color w:val="1f2328"/>
          <w:sz w:val="24"/>
          <w:szCs w:val="24"/>
        </w:rPr>
      </w:pPr>
      <w:r w:rsidDel="00000000" w:rsidR="00000000" w:rsidRPr="00000000">
        <w:rPr>
          <w:rtl w:val="0"/>
        </w:rPr>
      </w:r>
    </w:p>
    <w:p w:rsidR="00000000" w:rsidDel="00000000" w:rsidP="00000000" w:rsidRDefault="00000000" w:rsidRPr="00000000" w14:paraId="00000033">
      <w:pPr>
        <w:shd w:fill="ffffff" w:val="clear"/>
        <w:spacing w:after="240" w:lineRule="auto"/>
        <w:ind w:left="0" w:firstLine="0"/>
        <w:rPr>
          <w:color w:val="1f2328"/>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shd w:fill="ffffff" w:val="clear"/>
        <w:spacing w:after="240" w:lineRule="auto"/>
        <w:rPr>
          <w:color w:val="1f2328"/>
          <w:sz w:val="24"/>
          <w:szCs w:val="24"/>
          <w:u w:val="single"/>
        </w:rPr>
      </w:pPr>
      <w:bookmarkStart w:colFirst="0" w:colLast="0" w:name="_82q51lcljmkn" w:id="3"/>
      <w:bookmarkEnd w:id="3"/>
      <w:r w:rsidDel="00000000" w:rsidR="00000000" w:rsidRPr="00000000">
        <w:rPr>
          <w:rtl w:val="0"/>
        </w:rPr>
        <w:t xml:space="preserve">Process Diagram</w:t>
      </w:r>
      <w:r w:rsidDel="00000000" w:rsidR="00000000" w:rsidRPr="00000000">
        <w:rPr>
          <w:rtl w:val="0"/>
        </w:rPr>
      </w:r>
    </w:p>
    <w:p w:rsidR="00000000" w:rsidDel="00000000" w:rsidP="00000000" w:rsidRDefault="00000000" w:rsidRPr="00000000" w14:paraId="00000035">
      <w:pPr>
        <w:shd w:fill="ffffff" w:val="clear"/>
        <w:spacing w:after="240" w:lineRule="auto"/>
        <w:ind w:left="0" w:firstLine="0"/>
        <w:rPr/>
      </w:pPr>
      <w:r w:rsidDel="00000000" w:rsidR="00000000" w:rsidRPr="00000000">
        <w:rPr>
          <w:color w:val="1f2328"/>
          <w:sz w:val="24"/>
          <w:szCs w:val="24"/>
        </w:rPr>
        <w:drawing>
          <wp:inline distB="114300" distT="114300" distL="114300" distR="114300">
            <wp:extent cx="5457051" cy="74247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57051" cy="74247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nect.systems-apps.com/content/7dda0a08-af91-437f-a038-c12b59e3d9df"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