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8616B" w14:textId="77777777" w:rsidR="004F0EB9" w:rsidRDefault="004F0EB9" w:rsidP="004F0EB9">
      <w:r>
        <w:t>MASTER SUPPLY AND SERVICE LEVEL AGREEMENT</w:t>
      </w:r>
    </w:p>
    <w:p w14:paraId="032E13CD" w14:textId="77777777" w:rsidR="004F0EB9" w:rsidRDefault="004F0EB9" w:rsidP="004F0EB9">
      <w:r>
        <w:t>Document Reference: SLA-ACME-2026-V2</w:t>
      </w:r>
    </w:p>
    <w:p w14:paraId="19BA4F5B" w14:textId="77777777" w:rsidR="004F0EB9" w:rsidRDefault="004F0EB9" w:rsidP="004F0EB9">
      <w:r>
        <w:t>Effective Date: March 15, 2026</w:t>
      </w:r>
    </w:p>
    <w:p w14:paraId="1B830C29" w14:textId="77777777" w:rsidR="004F0EB9" w:rsidRDefault="004F0EB9" w:rsidP="004F0EB9">
      <w:r>
        <w:t>PARTIES</w:t>
      </w:r>
    </w:p>
    <w:p w14:paraId="0D7650EC" w14:textId="77777777" w:rsidR="004F0EB9" w:rsidRDefault="004F0EB9" w:rsidP="004F0EB9">
      <w:r>
        <w:t>This agreement is entered into by and between Global Manufacturing Inc. (hereinafter "Buyer")</w:t>
      </w:r>
    </w:p>
    <w:p w14:paraId="0F0B20EA" w14:textId="77777777" w:rsidR="004F0EB9" w:rsidRDefault="004F0EB9" w:rsidP="004F0EB9">
      <w:r>
        <w:t>and Acme Materials Corp (hereinafter "Supplier").</w:t>
      </w:r>
    </w:p>
    <w:p w14:paraId="38FA66CF" w14:textId="77777777" w:rsidR="004F0EB9" w:rsidRDefault="004F0EB9" w:rsidP="004F0EB9">
      <w:r>
        <w:t>DELIVERY AND LEAD TIMES</w:t>
      </w:r>
    </w:p>
    <w:p w14:paraId="7946D6B5" w14:textId="77777777" w:rsidR="004F0EB9" w:rsidRDefault="004F0EB9" w:rsidP="004F0EB9">
      <w:r>
        <w:t>The Supplier agrees to fulfill all standard purchase orders within a strict maximum turnaround</w:t>
      </w:r>
    </w:p>
    <w:p w14:paraId="2DA7D0D8" w14:textId="77777777" w:rsidR="004F0EB9" w:rsidRDefault="004F0EB9" w:rsidP="004F0EB9">
      <w:r>
        <w:t>window. The standard delivery SLA lead time is established at exactly seventy-two (72) hours</w:t>
      </w:r>
    </w:p>
    <w:p w14:paraId="1A03C84F" w14:textId="77777777" w:rsidR="004F0EB9" w:rsidRDefault="004F0EB9" w:rsidP="004F0EB9">
      <w:r>
        <w:t>from the moment the electronic purchase order is acknowledged by the Supplier's ERP system.</w:t>
      </w:r>
    </w:p>
    <w:p w14:paraId="1E285060" w14:textId="77777777" w:rsidR="004F0EB9" w:rsidRDefault="004F0EB9" w:rsidP="004F0EB9">
      <w:r>
        <w:t>LIQUIDATED DAMAGES FOR DELAY</w:t>
      </w:r>
    </w:p>
    <w:p w14:paraId="0BA025E8" w14:textId="77777777" w:rsidR="004F0EB9" w:rsidRDefault="004F0EB9" w:rsidP="004F0EB9">
      <w:r>
        <w:t>Time is of the essence. In the event that the Supplier fails to deliver the materials within the</w:t>
      </w:r>
    </w:p>
    <w:p w14:paraId="19DADD25" w14:textId="77777777" w:rsidR="004F0EB9" w:rsidRDefault="004F0EB9" w:rsidP="004F0EB9">
      <w:r>
        <w:t>aforementioned 72-hour window, the Supplier shall be liable for a delay penalty. The Buyer shall</w:t>
      </w:r>
    </w:p>
    <w:p w14:paraId="7C62A031" w14:textId="77777777" w:rsidR="004F0EB9" w:rsidRDefault="004F0EB9" w:rsidP="004F0EB9">
      <w:r>
        <w:t>deduct a sum of $1,250.00 USD for each full calendar day the shipment is delayed beyond the</w:t>
      </w:r>
    </w:p>
    <w:p w14:paraId="6EA86A24" w14:textId="77777777" w:rsidR="004F0EB9" w:rsidRDefault="004F0EB9" w:rsidP="004F0EB9">
      <w:r>
        <w:t>agreed delivery date. Furthermore, for any individual units missing from the manifest upon</w:t>
      </w:r>
    </w:p>
    <w:p w14:paraId="4DFCC81C" w14:textId="77777777" w:rsidR="004F0EB9" w:rsidRDefault="004F0EB9" w:rsidP="004F0EB9">
      <w:r>
        <w:t>arrival (short-shipments), a missed item penalty of $150.00 USD per missing unit shall be</w:t>
      </w:r>
    </w:p>
    <w:p w14:paraId="7595BCB3" w14:textId="77777777" w:rsidR="004F0EB9" w:rsidRDefault="004F0EB9" w:rsidP="004F0EB9">
      <w:r>
        <w:t>applied.</w:t>
      </w:r>
    </w:p>
    <w:p w14:paraId="0C7519C3" w14:textId="77777777" w:rsidR="004F0EB9" w:rsidRDefault="004F0EB9" w:rsidP="004F0EB9">
      <w:r>
        <w:t>QUALITY ASSURANCE AND DEFECTS</w:t>
      </w:r>
    </w:p>
    <w:p w14:paraId="036A15B3" w14:textId="77777777" w:rsidR="004F0EB9" w:rsidRDefault="004F0EB9" w:rsidP="004F0EB9">
      <w:r>
        <w:t>The Supplier warrants that all raw materials will meet the strict chemical purity standards</w:t>
      </w:r>
    </w:p>
    <w:p w14:paraId="17CF2EEC" w14:textId="77777777" w:rsidR="004F0EB9" w:rsidRDefault="004F0EB9" w:rsidP="004F0EB9">
      <w:r>
        <w:t>outlined in Appendix A. The minimum acceptable quality threshold is ninety-eight percent</w:t>
      </w:r>
    </w:p>
    <w:p w14:paraId="0247E4BC" w14:textId="77777777" w:rsidR="004F0EB9" w:rsidRDefault="004F0EB9" w:rsidP="004F0EB9">
      <w:r>
        <w:t>(98.0%) defect-free yield per batch. Should the quality score fall below this threshold, a quality</w:t>
      </w:r>
    </w:p>
    <w:p w14:paraId="1B1EC156" w14:textId="77777777" w:rsidR="004F0EB9" w:rsidRDefault="004F0EB9" w:rsidP="004F0EB9">
      <w:r>
        <w:lastRenderedPageBreak/>
        <w:t>penalty rate equal to fifteen percent (15%) of the total order value will be withheld by the</w:t>
      </w:r>
    </w:p>
    <w:p w14:paraId="0E5D963C" w14:textId="05EBCD33" w:rsidR="00805682" w:rsidRDefault="004F0EB9" w:rsidP="004F0EB9">
      <w:r>
        <w:t>Buyer.</w:t>
      </w:r>
    </w:p>
    <w:sectPr w:rsidR="008056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46A"/>
    <w:rsid w:val="004F0EB9"/>
    <w:rsid w:val="0058746A"/>
    <w:rsid w:val="00805682"/>
    <w:rsid w:val="00B038B5"/>
    <w:rsid w:val="00DB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A77FC4-1A3B-483E-9507-599E7075F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4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Wael</dc:creator>
  <cp:keywords/>
  <dc:description/>
  <cp:lastModifiedBy>Matthew Wael</cp:lastModifiedBy>
  <cp:revision>2</cp:revision>
  <dcterms:created xsi:type="dcterms:W3CDTF">2026-06-19T14:28:00Z</dcterms:created>
  <dcterms:modified xsi:type="dcterms:W3CDTF">2026-06-19T14:28:00Z</dcterms:modified>
</cp:coreProperties>
</file>