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w:t>
      </w:r>
      <w:r>
        <w:rPr>
          <w:vertAlign w:val="superscript"/>
        </w:rPr>
        <w:t xml:space="preserve">2</w:t>
      </w:r>
      <w:r>
        <w:t xml:space="preserve">,</w:t>
      </w:r>
      <w:r>
        <w:t xml:space="preserve"> </w:t>
      </w:r>
      <w:r>
        <w:t xml:space="preserve">Brittany</w:t>
      </w:r>
      <w:r>
        <w:t xml:space="preserve"> </w:t>
      </w:r>
      <w:r>
        <w:t xml:space="preserve">S.</w:t>
      </w:r>
      <w:r>
        <w:t xml:space="preserve"> </w:t>
      </w:r>
      <w:r>
        <w:t xml:space="preserve">Brown</w:t>
      </w:r>
      <w:r>
        <w:rPr>
          <w:vertAlign w:val="superscript"/>
        </w:rPr>
        <w:t xml:space="preserve">1</w:t>
      </w:r>
      <w:r>
        <w:t xml:space="preserve">,</w:t>
      </w:r>
      <w:r>
        <w:t xml:space="preserve"> </w:t>
      </w:r>
      <w:r>
        <w:t xml:space="preserve">Jeffrey</w:t>
      </w:r>
      <w:r>
        <w:t xml:space="preserve"> </w:t>
      </w:r>
      <w:r>
        <w:t xml:space="preserve">R.</w:t>
      </w:r>
      <w:r>
        <w:t xml:space="preserve"> </w:t>
      </w:r>
      <w:r>
        <w:t xml:space="preserve">Dwulit-Smith</w:t>
      </w:r>
      <w:r>
        <w:rPr>
          <w:vertAlign w:val="superscript"/>
        </w:rPr>
        <w:t xml:space="preserve">1</w:t>
      </w:r>
      <w:r>
        <w:t xml:space="preserve">,</w:t>
      </w:r>
      <w:r>
        <w:t xml:space="preserve"> </w:t>
      </w:r>
      <w:r>
        <w:t xml:space="preserve">Francisco</w:t>
      </w:r>
      <w:r>
        <w:t xml:space="preserve"> </w:t>
      </w:r>
      <w:r>
        <w:t xml:space="preserve">Moya</w:t>
      </w:r>
      <w:r>
        <w:rPr>
          <w:vertAlign w:val="superscript"/>
        </w:rPr>
        <w:t xml:space="preserve">4</w:t>
      </w:r>
      <w:r>
        <w:t xml:space="preserve">,</w:t>
      </w:r>
      <w:r>
        <w:t xml:space="preserve"> </w:t>
      </w:r>
      <w:r>
        <w:t xml:space="preserve">Ben</w:t>
      </w:r>
      <w:r>
        <w:t xml:space="preserve"> </w:t>
      </w:r>
      <w:r>
        <w:t xml:space="preserve">O.</w:t>
      </w:r>
      <w:r>
        <w:t xml:space="preserve"> </w:t>
      </w:r>
      <w:r>
        <w:t xml:space="preserve">Oyserman</w:t>
      </w:r>
      <w:r>
        <w:rPr>
          <w:vertAlign w:val="superscript"/>
        </w:rPr>
        <w:t xml:space="preserve">4</w:t>
      </w:r>
      <w:r>
        <w:t xml:space="preserve">,</w:t>
      </w:r>
      <w:r>
        <w:t xml:space="preserve"> </w:t>
      </w:r>
      <w:r>
        <w:t xml:space="preserve">Sarah</w:t>
      </w:r>
      <w:r>
        <w:t xml:space="preserve"> </w:t>
      </w:r>
      <w:r>
        <w:t xml:space="preserve">L.R.</w:t>
      </w:r>
      <w:r>
        <w:t xml:space="preserve"> </w:t>
      </w:r>
      <w:r>
        <w:t xml:space="preserve">Stevens</w:t>
      </w:r>
      <w:r>
        <w:rPr>
          <w:vertAlign w:val="superscript"/>
        </w:rPr>
        <w:t xml:space="preserve">1</w:t>
      </w:r>
      <w:r>
        <w:t xml:space="preserve">,</w:t>
      </w:r>
      <w:r>
        <w:t xml:space="preserve"> </w:t>
      </w:r>
      <w:r>
        <w:t xml:space="preserve">Stefan</w:t>
      </w:r>
      <w:r>
        <w:t xml:space="preserve"> </w:t>
      </w:r>
      <w:r>
        <w:t xml:space="preserve">Bertilsson</w:t>
      </w:r>
      <w:r>
        <w:rPr>
          <w:vertAlign w:val="superscript"/>
        </w:rPr>
        <w:t xml:space="preserve">2</w:t>
      </w:r>
      <w:r>
        <w:t xml:space="preserve">,</w:t>
      </w:r>
      <w:r>
        <w:t xml:space="preserve"> </w:t>
      </w:r>
      <w:r>
        <w:t xml:space="preserve">Katrina</w:t>
      </w:r>
      <w:r>
        <w:t xml:space="preserve"> </w:t>
      </w:r>
      <w:r>
        <w:t xml:space="preserve">T.</w:t>
      </w:r>
      <w:r>
        <w:t xml:space="preserve"> </w:t>
      </w:r>
      <w:r>
        <w:t xml:space="preserve">Forest</w:t>
      </w:r>
      <w:r>
        <w:rPr>
          <w:vertAlign w:val="superscript"/>
        </w:rPr>
        <w:t xml:space="preserve">1</w:t>
      </w:r>
      <w:r>
        <w:t xml:space="preserve">,</w:t>
      </w:r>
      <w:r>
        <w:t xml:space="preserve"> </w:t>
      </w:r>
      <w:r>
        <w:t xml:space="preserve">Susannah</w:t>
      </w:r>
      <w:r>
        <w:t xml:space="preserve"> </w:t>
      </w:r>
      <w:r>
        <w:t xml:space="preserve">G,</w:t>
      </w:r>
      <w:r>
        <w:t xml:space="preserve"> </w:t>
      </w:r>
      <w:r>
        <w:t xml:space="preserve">Tringe</w:t>
      </w:r>
      <w:r>
        <w:rPr>
          <w:vertAlign w:val="superscript"/>
        </w:rPr>
        <w:t xml:space="preserve">3</w:t>
      </w:r>
      <w:r>
        <w:t xml:space="preserve">,</w:t>
      </w:r>
      <w:r>
        <w:t xml:space="preserve"> </w:t>
      </w:r>
      <w:r>
        <w:t xml:space="preserve">Tanja</w:t>
      </w:r>
      <w:r>
        <w:t xml:space="preserve"> </w:t>
      </w:r>
      <w:r>
        <w:t xml:space="preserve">Woyke</w:t>
      </w:r>
      <w:r>
        <w:rPr>
          <w:vertAlign w:val="superscript"/>
        </w:rPr>
        <w:t xml:space="preserve">3</w:t>
      </w:r>
      <w:r>
        <w:t xml:space="preserve">,</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1,4,*</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r>
        <w:t xml:space="preserve"> </w:t>
      </w:r>
      <w:r>
        <w:rPr>
          <w:vertAlign w:val="superscript"/>
        </w:rPr>
        <w:t xml:space="preserve">4</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Heading1"/>
      </w:pPr>
      <w:bookmarkStart w:id="23" w:name="materials-and-methods"/>
      <w:bookmarkEnd w:id="23"/>
      <w:r>
        <w:t xml:space="preserve">Materials and Methods</w:t>
      </w:r>
    </w:p>
    <w:p>
      <w:pPr>
        <w:pStyle w:val="Heading2"/>
      </w:pPr>
      <w:bookmarkStart w:id="24" w:name="single-cell-genome-generation-selection-and-sequencing"/>
      <w:bookmarkEnd w:id="24"/>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 2012,</w:t>
      </w:r>
      <w:r>
        <w:t xml:space="preserve"> </w:t>
      </w:r>
      <w:r>
        <w:t xml:space="preserve">Garcia et al. (2013)</w:t>
      </w:r>
      <w:r>
        <w:t xml:space="preserve">)</w:t>
      </w:r>
      <w:r>
        <w:t xml:space="preserve">. Partial 16S rRNA genes amplified previously</w:t>
      </w:r>
      <w:r>
        <w:t xml:space="preserve"> </w:t>
      </w:r>
      <w:r>
        <w:t xml:space="preserve">(Martinez-Garcia et al. 2012)</w:t>
      </w:r>
      <w:r>
        <w:t xml:space="preserve"> </w:t>
      </w:r>
      <w:r>
        <w:t xml:space="preserve">were phylogenetically classified using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(W. Ludwig et al.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 [</w:t>
      </w:r>
      <w:r>
        <w:t xml:space="preserve">Zerbino and Birney (2008)</w:t>
      </w:r>
      <w:r>
        <w:t xml:space="preserve"> </w:t>
      </w:r>
      <w:r>
        <w:t xml:space="preserve">and ALLPATHS-LG</w:t>
      </w:r>
      <w:r>
        <w:t xml:space="preserve"> </w:t>
      </w:r>
      <w:r>
        <w:t xml:space="preserve">(Butler et al. 2008)</w:t>
      </w:r>
      <w:r>
        <w:t xml:space="preserve">. Additional details of the assembly process have been previously described</w:t>
      </w:r>
      <w:r>
        <w:t xml:space="preserve"> </w:t>
      </w:r>
      <w:r>
        <w:t xml:space="preserve">(Ghylin et al.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5" w:name="metagenome-sampling-sequencing-assembly-and-binning"/>
      <w:bookmarkEnd w:id="25"/>
      <w:r>
        <w:t xml:space="preserve">Metagenome Sampling, Sequencing, Assembly, and Binning</w:t>
      </w:r>
    </w:p>
    <w:p>
      <w:pPr>
        <w:pStyle w:val="FirstParagraph"/>
      </w:pPr>
      <w:r>
        <w:t xml:space="preserve">Sample collection, DNA sequencing, metabgenomic assembly, and genomic binning for the Trout Bog samples have been described previously</w:t>
      </w:r>
      <w:r>
        <w:t xml:space="preserve"> </w:t>
      </w:r>
      <w:r>
        <w:t xml:space="preserve">(Bendall et al.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DNA was extracted from these filters using the FastDNA kit (MP Biomedicals) and sent to the JGI for sequencing.</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 et al. 2016)</w:t>
      </w:r>
      <w:r>
        <w:t xml:space="preserve">. Merged reads were pooled by lake and layer into three co-assemblies using SOAPdenovo</w:t>
      </w:r>
      <w:r>
        <w:t xml:space="preserve"> </w:t>
      </w:r>
      <w:r>
        <w:t xml:space="preserve">(Luo et al. 2012)</w:t>
      </w:r>
      <w:r>
        <w:t xml:space="preserve">, and contigs from the resulting assemblies were assembled into a final assembly using Minimus</w:t>
      </w:r>
      <w:r>
        <w:t xml:space="preserve"> </w:t>
      </w:r>
      <w:r>
        <w:t xml:space="preserve">(Sommer et al. 2007)</w:t>
      </w:r>
      <w:r>
        <w:t xml:space="preserve">, as previously described</w:t>
      </w:r>
      <w:r>
        <w:t xml:space="preserve"> </w:t>
      </w:r>
      <w:r>
        <w:t xml:space="preserve">(Bendall et al.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(D. D. Kang et al. 2015)</w:t>
      </w:r>
      <w:r>
        <w:t xml:space="preserve">, as described previously</w:t>
      </w:r>
      <w:r>
        <w:t xml:space="preserve"> </w:t>
      </w:r>
      <w:r>
        <w:t xml:space="preserve">(Bendall et al. 2016)</w:t>
      </w:r>
      <w:r>
        <w:t xml:space="preserve">. Briefly, contigs were classified into bins using tetranucleotide frequency and coverage patterns across the time-series and then manually curated, as previously described</w:t>
      </w:r>
      <w:r>
        <w:t xml:space="preserve"> </w:t>
      </w:r>
      <w:r>
        <w:t xml:space="preserve">(Bendall et al. 2016)</w:t>
      </w:r>
      <w:r>
        <w:t xml:space="preserve">. Genome sequences are available through IMG (https://img.jgi.doe.gov/cgi-bin/mer/main.cgi) by searching for the IMG Taxon OIDs given in Table 1. Genomes were classified using taxonomic assignments from a set of 37 highly-conserved single-copy marker genes using Phylosift</w:t>
      </w:r>
      <w:r>
        <w:t xml:space="preserve"> </w:t>
      </w:r>
      <w:r>
        <w:t xml:space="preserve">(Darling et al. 2014)</w:t>
      </w:r>
      <w:r>
        <w:t xml:space="preserve">, as previously described</w:t>
      </w:r>
      <w:r>
        <w:t xml:space="preserve"> </w:t>
      </w:r>
      <w:r>
        <w:t xml:space="preserve">(Bendall et al. 2016)</w:t>
      </w:r>
      <w:r>
        <w:t xml:space="preserve">. Final bin size and number of contigs are reported in Table 1.</w:t>
      </w:r>
    </w:p>
    <w:p>
      <w:pPr>
        <w:pStyle w:val="Heading1"/>
      </w:pPr>
      <w:bookmarkStart w:id="26" w:name="results"/>
      <w:bookmarkEnd w:id="26"/>
      <w:r>
        <w:t xml:space="preserve">Results</w:t>
      </w:r>
    </w:p>
    <w:p>
      <w:pPr>
        <w:pStyle w:val="Heading1"/>
      </w:pPr>
      <w:bookmarkStart w:id="27" w:name="discussion"/>
      <w:bookmarkEnd w:id="27"/>
      <w:r>
        <w:t xml:space="preserve">Discussion</w:t>
      </w:r>
    </w:p>
    <w:p>
      <w:pPr>
        <w:pStyle w:val="Heading1"/>
      </w:pPr>
      <w:bookmarkStart w:id="28" w:name="acknowledgements"/>
      <w:bookmarkEnd w:id="28"/>
      <w:r>
        <w:t xml:space="preserve">Acknowledgements</w:t>
      </w:r>
    </w:p>
    <w:p>
      <w:pPr>
        <w:pStyle w:val="Heading1"/>
      </w:pPr>
      <w:bookmarkStart w:id="29" w:name="conflict-of-interest"/>
      <w:bookmarkEnd w:id="29"/>
      <w:r>
        <w:t xml:space="preserve">Conflict of Interest</w:t>
      </w:r>
    </w:p>
    <w:p>
      <w:pPr>
        <w:pStyle w:val="FirstParagraph"/>
      </w:pPr>
      <w:r>
        <w:t xml:space="preserve">The authors declare no conflict of interest.</w:t>
      </w:r>
    </w:p>
    <w:p>
      <w:pPr>
        <w:pStyle w:val="Heading1"/>
      </w:pPr>
      <w:bookmarkStart w:id="30" w:name="references"/>
      <w:bookmarkEnd w:id="30"/>
      <w:r>
        <w:t xml:space="preserve">References</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31">
        <w:r>
          <w:rPr>
            <w:rStyle w:val="Hyperlink"/>
          </w:rPr>
          <w:t xml:space="preserve">doi:10.1038/ismej.2015.241</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32">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3">
        <w:r>
          <w:rPr>
            <w:rStyle w:val="Hyperlink"/>
          </w:rPr>
          <w:t xml:space="preserve">doi:10.7717/peerj.243</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34">
        <w:r>
          <w:rPr>
            <w:rStyle w:val="Hyperlink"/>
          </w:rPr>
          <w:t xml:space="preserve">doi:10.1038/ismej.2012.86</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35">
        <w:r>
          <w:rPr>
            <w:rStyle w:val="Hyperlink"/>
          </w:rPr>
          <w:t xml:space="preserve">doi:10.1038/ismej.2014.135</w:t>
        </w:r>
      </w:hyperlink>
      <w:r>
        <w:t xml:space="preserve">.</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36">
        <w:r>
          <w:rPr>
            <w:rStyle w:val="Hyperlink"/>
          </w:rPr>
          <w:t xml:space="preserve">doi:10.7717/peerj.1165</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37">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38">
        <w:r>
          <w:rPr>
            <w:rStyle w:val="Hyperlink"/>
          </w:rPr>
          <w:t xml:space="preserve">doi:10.1186/2047-217X-1-18</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39">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40">
        <w:r>
          <w:rPr>
            <w:rStyle w:val="Hyperlink"/>
          </w:rPr>
          <w:t xml:space="preserve">doi:10.1038/ismej.2011.84</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41">
        <w:r>
          <w:rPr>
            <w:rStyle w:val="Hyperlink"/>
          </w:rPr>
          <w:t xml:space="preserve">doi:10.1128/MMBR.00028-10</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42">
        <w:r>
          <w:rPr>
            <w:rStyle w:val="Hyperlink"/>
          </w:rPr>
          <w:t xml:space="preserve">doi:10.1186/1471-2105-8-64</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43">
        <w:r>
          <w:rPr>
            <w:rStyle w:val="Hyperlink"/>
          </w:rPr>
          <w:t xml:space="preserve">doi:10.1101/gr.074492.107</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217bb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0" Target="http://doi.org/10.1038/ismej.2011.84" TargetMode="External" /><Relationship Type="http://schemas.openxmlformats.org/officeDocument/2006/relationships/hyperlink" Id="rId34" Target="http://doi.org/10.1038/ismej.2012.86" TargetMode="External" /><Relationship Type="http://schemas.openxmlformats.org/officeDocument/2006/relationships/hyperlink" Id="rId35" Target="http://doi.org/10.1038/ismej.2014.135" TargetMode="External" /><Relationship Type="http://schemas.openxmlformats.org/officeDocument/2006/relationships/hyperlink" Id="rId31" Target="http://doi.org/10.1038/ismej.2015.241" TargetMode="External" /><Relationship Type="http://schemas.openxmlformats.org/officeDocument/2006/relationships/hyperlink" Id="rId39" Target="http://doi.org/10.1093/bioinformatics/btr507" TargetMode="External" /><Relationship Type="http://schemas.openxmlformats.org/officeDocument/2006/relationships/hyperlink" Id="rId37" Target="http://doi.org/10.1093/nar/gkh293" TargetMode="External" /><Relationship Type="http://schemas.openxmlformats.org/officeDocument/2006/relationships/hyperlink" Id="rId43" Target="http://doi.org/10.1101/gr.074492.107" TargetMode="External" /><Relationship Type="http://schemas.openxmlformats.org/officeDocument/2006/relationships/hyperlink" Id="rId32" Target="http://doi.org/10.1101/gr.7337908" TargetMode="External" /><Relationship Type="http://schemas.openxmlformats.org/officeDocument/2006/relationships/hyperlink" Id="rId41" Target="http://doi.org/10.1128/MMBR.00028-10" TargetMode="External" /><Relationship Type="http://schemas.openxmlformats.org/officeDocument/2006/relationships/hyperlink" Id="rId42" Target="http://doi.org/10.1186/1471-2105-8-64" TargetMode="External" /><Relationship Type="http://schemas.openxmlformats.org/officeDocument/2006/relationships/hyperlink" Id="rId38" Target="http://doi.org/10.1186/2047-217X-1-18" TargetMode="External" /><Relationship Type="http://schemas.openxmlformats.org/officeDocument/2006/relationships/hyperlink" Id="rId36" Target="http://doi.org/10.7717/peerj.1165" TargetMode="External" /><Relationship Type="http://schemas.openxmlformats.org/officeDocument/2006/relationships/hyperlink" Id="rId33" Target="http://doi.org/10.7717/peerj.243" TargetMode="External" /></Relationships>
</file>

<file path=word/_rels/footnotes.xml.rels><?xml version="1.0" encoding="UTF-8"?>
<Relationships xmlns="http://schemas.openxmlformats.org/package/2006/relationships"><Relationship Type="http://schemas.openxmlformats.org/officeDocument/2006/relationships/hyperlink" Id="rId40" Target="http://doi.org/10.1038/ismej.2011.84" TargetMode="External" /><Relationship Type="http://schemas.openxmlformats.org/officeDocument/2006/relationships/hyperlink" Id="rId34" Target="http://doi.org/10.1038/ismej.2012.86" TargetMode="External" /><Relationship Type="http://schemas.openxmlformats.org/officeDocument/2006/relationships/hyperlink" Id="rId35" Target="http://doi.org/10.1038/ismej.2014.135" TargetMode="External" /><Relationship Type="http://schemas.openxmlformats.org/officeDocument/2006/relationships/hyperlink" Id="rId31" Target="http://doi.org/10.1038/ismej.2015.241" TargetMode="External" /><Relationship Type="http://schemas.openxmlformats.org/officeDocument/2006/relationships/hyperlink" Id="rId39" Target="http://doi.org/10.1093/bioinformatics/btr507" TargetMode="External" /><Relationship Type="http://schemas.openxmlformats.org/officeDocument/2006/relationships/hyperlink" Id="rId37" Target="http://doi.org/10.1093/nar/gkh293" TargetMode="External" /><Relationship Type="http://schemas.openxmlformats.org/officeDocument/2006/relationships/hyperlink" Id="rId43" Target="http://doi.org/10.1101/gr.074492.107" TargetMode="External" /><Relationship Type="http://schemas.openxmlformats.org/officeDocument/2006/relationships/hyperlink" Id="rId32" Target="http://doi.org/10.1101/gr.7337908" TargetMode="External" /><Relationship Type="http://schemas.openxmlformats.org/officeDocument/2006/relationships/hyperlink" Id="rId41" Target="http://doi.org/10.1128/MMBR.00028-10" TargetMode="External" /><Relationship Type="http://schemas.openxmlformats.org/officeDocument/2006/relationships/hyperlink" Id="rId42" Target="http://doi.org/10.1186/1471-2105-8-64" TargetMode="External" /><Relationship Type="http://schemas.openxmlformats.org/officeDocument/2006/relationships/hyperlink" Id="rId38" Target="http://doi.org/10.1186/2047-217X-1-18" TargetMode="External" /><Relationship Type="http://schemas.openxmlformats.org/officeDocument/2006/relationships/hyperlink" Id="rId36" Target="http://doi.org/10.7717/peerj.1165" TargetMode="External" /><Relationship Type="http://schemas.openxmlformats.org/officeDocument/2006/relationships/hyperlink" Id="rId33" Target="http://doi.org/10.7717/peerj.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Sarahi L. Garcia2, Brittany S. Brown1, Jeffrey R. Dwulit-Smith1, Francisco Moya4, Ben O. Oyserman4, Sarah L.R. Stevens1, Stefan Bertilsson2, Katrina T. Forest1, Susannah G, Tringe3, Tanja Woyke3, and Katherine D. McMahon1,4,*</dc:creator>
</cp:coreProperties>
</file>