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w:t>
      </w:r>
      <w:r>
        <w:rPr>
          <w:vertAlign w:val="superscript"/>
        </w:rPr>
        <w:t xml:space="preserve">2</w:t>
      </w:r>
      <w:r>
        <w:t xml:space="preserve">,</w:t>
      </w:r>
      <w:r>
        <w:t xml:space="preserve"> </w:t>
      </w:r>
      <w:r>
        <w:t xml:space="preserve">Brittany</w:t>
      </w:r>
      <w:r>
        <w:t xml:space="preserve"> </w:t>
      </w:r>
      <w:r>
        <w:t xml:space="preserve">S.</w:t>
      </w:r>
      <w:r>
        <w:t xml:space="preserve"> </w:t>
      </w:r>
      <w:r>
        <w:t xml:space="preserve">Brown</w:t>
      </w:r>
      <w:r>
        <w:rPr>
          <w:vertAlign w:val="superscript"/>
        </w:rPr>
        <w:t xml:space="preserve">1</w:t>
      </w:r>
      <w:r>
        <w:t xml:space="preserve">,</w:t>
      </w:r>
      <w:r>
        <w:t xml:space="preserve"> </w:t>
      </w:r>
      <w:r>
        <w:t xml:space="preserve">Jeffrey</w:t>
      </w:r>
      <w:r>
        <w:t xml:space="preserve"> </w:t>
      </w:r>
      <w:r>
        <w:t xml:space="preserve">R.</w:t>
      </w:r>
      <w:r>
        <w:t xml:space="preserve"> </w:t>
      </w:r>
      <w:r>
        <w:t xml:space="preserve">Dwulit-Smith</w:t>
      </w:r>
      <w:r>
        <w:rPr>
          <w:vertAlign w:val="superscript"/>
        </w:rPr>
        <w:t xml:space="preserve">1</w:t>
      </w:r>
      <w:r>
        <w:t xml:space="preserve">,</w:t>
      </w:r>
      <w:r>
        <w:t xml:space="preserve"> </w:t>
      </w:r>
      <w:r>
        <w:t xml:space="preserve">Francisco</w:t>
      </w:r>
      <w:r>
        <w:t xml:space="preserve"> </w:t>
      </w:r>
      <w:r>
        <w:t xml:space="preserve">Moya</w:t>
      </w:r>
      <w:r>
        <w:rPr>
          <w:vertAlign w:val="superscript"/>
        </w:rPr>
        <w:t xml:space="preserve">4</w:t>
      </w:r>
      <w:r>
        <w:t xml:space="preserve">,</w:t>
      </w:r>
      <w:r>
        <w:t xml:space="preserve"> </w:t>
      </w:r>
      <w:r>
        <w:t xml:space="preserve">Ben</w:t>
      </w:r>
      <w:r>
        <w:t xml:space="preserve"> </w:t>
      </w:r>
      <w:r>
        <w:t xml:space="preserve">O.</w:t>
      </w:r>
      <w:r>
        <w:t xml:space="preserve"> </w:t>
      </w:r>
      <w:r>
        <w:t xml:space="preserve">Oyserman</w:t>
      </w:r>
      <w:r>
        <w:rPr>
          <w:vertAlign w:val="superscript"/>
        </w:rPr>
        <w:t xml:space="preserve">4</w:t>
      </w:r>
      <w:r>
        <w:t xml:space="preserve">,</w:t>
      </w:r>
      <w:r>
        <w:t xml:space="preserve"> </w:t>
      </w:r>
      <w:r>
        <w:t xml:space="preserve">Sarah</w:t>
      </w:r>
      <w:r>
        <w:t xml:space="preserve"> </w:t>
      </w:r>
      <w:r>
        <w:t xml:space="preserve">L.R.</w:t>
      </w:r>
      <w:r>
        <w:t xml:space="preserve"> </w:t>
      </w:r>
      <w:r>
        <w:t xml:space="preserve">Stevens</w:t>
      </w:r>
      <w:r>
        <w:rPr>
          <w:vertAlign w:val="superscript"/>
        </w:rPr>
        <w:t xml:space="preserve">1</w:t>
      </w:r>
      <w:r>
        <w:t xml:space="preserve">,</w:t>
      </w:r>
      <w:r>
        <w:t xml:space="preserve"> </w:t>
      </w:r>
      <w:r>
        <w:t xml:space="preserve">Stefan</w:t>
      </w:r>
      <w:r>
        <w:t xml:space="preserve"> </w:t>
      </w:r>
      <w:r>
        <w:t xml:space="preserve">Bertilsson</w:t>
      </w:r>
      <w:r>
        <w:rPr>
          <w:vertAlign w:val="superscript"/>
        </w:rPr>
        <w:t xml:space="preserve">2</w:t>
      </w:r>
      <w:r>
        <w:t xml:space="preserve">,</w:t>
      </w:r>
      <w:r>
        <w:t xml:space="preserve"> </w:t>
      </w:r>
      <w:r>
        <w:t xml:space="preserve">Katrina</w:t>
      </w:r>
      <w:r>
        <w:t xml:space="preserve"> </w:t>
      </w:r>
      <w:r>
        <w:t xml:space="preserve">T.</w:t>
      </w:r>
      <w:r>
        <w:t xml:space="preserve"> </w:t>
      </w:r>
      <w:r>
        <w:t xml:space="preserve">Forest</w:t>
      </w:r>
      <w:r>
        <w:rPr>
          <w:vertAlign w:val="superscript"/>
        </w:rPr>
        <w:t xml:space="preserve">1</w:t>
      </w:r>
      <w:r>
        <w:t xml:space="preserve">,</w:t>
      </w:r>
      <w:r>
        <w:t xml:space="preserve"> </w:t>
      </w:r>
      <w:r>
        <w:t xml:space="preserve">Susannah</w:t>
      </w:r>
      <w:r>
        <w:t xml:space="preserve"> </w:t>
      </w:r>
      <w:r>
        <w:t xml:space="preserve">G,</w:t>
      </w:r>
      <w:r>
        <w:t xml:space="preserve"> </w:t>
      </w:r>
      <w:r>
        <w:t xml:space="preserve">Tringe</w:t>
      </w:r>
      <w:r>
        <w:rPr>
          <w:vertAlign w:val="superscript"/>
        </w:rPr>
        <w:t xml:space="preserve">3</w:t>
      </w:r>
      <w:r>
        <w:t xml:space="preserve">,</w:t>
      </w:r>
      <w:r>
        <w:t xml:space="preserve"> </w:t>
      </w:r>
      <w:r>
        <w:t xml:space="preserve">Tanja</w:t>
      </w:r>
      <w:r>
        <w:t xml:space="preserve"> </w:t>
      </w:r>
      <w:r>
        <w:t xml:space="preserve">Woyke</w:t>
      </w:r>
      <w:r>
        <w:rPr>
          <w:vertAlign w:val="superscript"/>
        </w:rPr>
        <w:t xml:space="preserve">3</w:t>
      </w:r>
      <w:r>
        <w:t xml:space="preserve">,</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1,4,*</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r>
        <w:t xml:space="preserve"> </w:t>
      </w:r>
      <w:r>
        <w:rPr>
          <w:vertAlign w:val="superscript"/>
        </w:rPr>
        <w:t xml:space="preserve">4</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Heading1"/>
      </w:pPr>
      <w:bookmarkStart w:id="23" w:name="materials-and-methods"/>
      <w:bookmarkEnd w:id="23"/>
      <w:r>
        <w:t xml:space="preserve">Materials and Methods</w:t>
      </w:r>
    </w:p>
    <w:p>
      <w:pPr>
        <w:pStyle w:val="Heading2"/>
      </w:pPr>
      <w:bookmarkStart w:id="24" w:name="single-cell-genome-generation-selection-and-sequencing"/>
      <w:bookmarkEnd w:id="24"/>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 et al. 2012,</w:t>
      </w:r>
      <w:r>
        <w:t xml:space="preserve"> </w:t>
      </w:r>
      <w:r>
        <w:t xml:space="preserve">Garcia et al. (2013)</w:t>
      </w:r>
      <w:r>
        <w:t xml:space="preserve">)</w:t>
      </w:r>
      <w:r>
        <w:t xml:space="preserve">. Partial 16S rRNA genes amplified previously</w:t>
      </w:r>
      <w:r>
        <w:t xml:space="preserve"> </w:t>
      </w:r>
      <w:r>
        <w:t xml:space="preserve">(Martinez-Garcia et al. 2012)</w:t>
      </w:r>
      <w:r>
        <w:t xml:space="preserve"> </w:t>
      </w:r>
      <w:r>
        <w:t xml:space="preserve">were phylogenetically classified using a controlled nomenclature for freshwater bacteria</w:t>
      </w:r>
      <w:r>
        <w:t xml:space="preserve"> </w:t>
      </w:r>
      <w:r>
        <w:t xml:space="preserve">(Newton et al. 2011)</w:t>
      </w:r>
      <w:r>
        <w:t xml:space="preserve"> </w:t>
      </w:r>
      <w:r>
        <w:t xml:space="preserve">by insertion into references trees created in the ARB software package</w:t>
      </w:r>
      <w:r>
        <w:t xml:space="preserve"> </w:t>
      </w:r>
      <w:r>
        <w:t xml:space="preserve">(W. Ludwig et al.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 et al.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 [</w:t>
      </w:r>
      <w:r>
        <w:t xml:space="preserve">Zerbino and Birney (2008)</w:t>
      </w:r>
      <w:r>
        <w:t xml:space="preserve"> </w:t>
      </w:r>
      <w:r>
        <w:t xml:space="preserve">and ALLPATHS-LG</w:t>
      </w:r>
      <w:r>
        <w:t xml:space="preserve"> </w:t>
      </w:r>
      <w:r>
        <w:t xml:space="preserve">(Butler et al. 2008)</w:t>
      </w:r>
      <w:r>
        <w:t xml:space="preserve">. Additional details of the assembly process have been previously described</w:t>
      </w:r>
      <w:r>
        <w:t xml:space="preserve"> </w:t>
      </w:r>
      <w:r>
        <w:t xml:space="preserve">(Ghylin et al.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25" w:name="metagenome-sampling-sequencing-assembly-and-binning"/>
      <w:bookmarkEnd w:id="25"/>
      <w:r>
        <w:t xml:space="preserve">Metagenome Sampling, Sequencing, Assembly, and Binning</w:t>
      </w:r>
    </w:p>
    <w:p>
      <w:pPr>
        <w:pStyle w:val="FirstParagraph"/>
      </w:pPr>
      <w:r>
        <w:t xml:space="preserve">Sample collection, DNA sequencing, metabgenomic assembly, and genomic binning for the Trout Bog samples have been described previously</w:t>
      </w:r>
      <w:r>
        <w:t xml:space="preserve"> </w:t>
      </w:r>
      <w:r>
        <w:t xml:space="preserve">(Bendall et al. 2016)</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as described previously</w:t>
      </w:r>
      <w:r>
        <w:t xml:space="preserve"> </w:t>
      </w:r>
      <w:r>
        <w:t xml:space="preserve">(Bendall et al. 2016)</w:t>
      </w:r>
      <w:r>
        <w:t xml:space="preserve">. DNA was extracted from these filters using the FastDNA kit (MP Biomedicals) and sent to the JGI for sequencing, as described previously</w:t>
      </w:r>
      <w:r>
        <w:t xml:space="preserve"> </w:t>
      </w:r>
      <w:r>
        <w:t xml:space="preserve">(Bendall et al. 2016)</w:t>
      </w:r>
      <w:r>
        <w:t xml:space="preserve">.</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 et al.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 et al. 2016)</w:t>
      </w:r>
      <w:r>
        <w:t xml:space="preserve">. Merged reads were pooled by lake and layer into three co-assemblies using SOAPdenovo</w:t>
      </w:r>
      <w:r>
        <w:t xml:space="preserve"> </w:t>
      </w:r>
      <w:r>
        <w:t xml:space="preserve">(Luo et al. 2012)</w:t>
      </w:r>
      <w:r>
        <w:t xml:space="preserve">, and contigs from the resulting assemblies were assembled into a final assembly using Minimus</w:t>
      </w:r>
      <w:r>
        <w:t xml:space="preserve"> </w:t>
      </w:r>
      <w:r>
        <w:t xml:space="preserve">(Sommer et al. 2007)</w:t>
      </w:r>
      <w:r>
        <w:t xml:space="preserve">, as previously described</w:t>
      </w:r>
      <w:r>
        <w:t xml:space="preserve"> </w:t>
      </w:r>
      <w:r>
        <w:t xml:space="preserve">(Bendall et al. 2016)</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(D. D. Kang et al. 2015)</w:t>
      </w:r>
      <w:r>
        <w:t xml:space="preserve">, as described previously</w:t>
      </w:r>
      <w:r>
        <w:t xml:space="preserve"> </w:t>
      </w:r>
      <w:r>
        <w:t xml:space="preserve">(Bendall et al. 2016)</w:t>
      </w:r>
      <w:r>
        <w:t xml:space="preserve">. Briefly, contigs were classified into bins using tetranucleotide frequency and coverage patterns across the time-series and then manually curated, as previously described</w:t>
      </w:r>
      <w:r>
        <w:t xml:space="preserve"> </w:t>
      </w:r>
      <w:r>
        <w:t xml:space="preserve">(Bendall et al. 2016)</w:t>
      </w:r>
      <w:r>
        <w:t xml:space="preserve">. Genome sequences are available through IMG (https://img.jgi.doe.gov/cgi-bin/mer/main.cgi) by searching for the IMG Taxon OIDs given in Table 1. Genomes were classified using taxonomic assignments from a set of 37 highly-conserved single-copy marker genes using Phylosift</w:t>
      </w:r>
      <w:r>
        <w:t xml:space="preserve"> </w:t>
      </w:r>
      <w:r>
        <w:t xml:space="preserve">(Darling et al. 2014)</w:t>
      </w:r>
      <w:r>
        <w:t xml:space="preserve">, as previously described</w:t>
      </w:r>
      <w:r>
        <w:t xml:space="preserve"> </w:t>
      </w:r>
      <w:r>
        <w:t xml:space="preserve">(Bendall et al. 2016)</w:t>
      </w:r>
      <w:r>
        <w:t xml:space="preserve">. acI genomes (class Actinobacteria) were further classified using a defined ontology for freshwater bacteria</w:t>
      </w:r>
      <w:r>
        <w:t xml:space="preserve"> </w:t>
      </w:r>
      <w:r>
        <w:t xml:space="preserve">(Newton et al. 2011)</w:t>
      </w:r>
      <w:r>
        <w:t xml:space="preserve"> </w:t>
      </w:r>
      <w:r>
        <w:t xml:space="preserve">as described below. Final bin size and number of contigs are reported in Table 1.</w:t>
      </w:r>
    </w:p>
    <w:p>
      <w:pPr>
        <w:pStyle w:val="Heading2"/>
      </w:pPr>
      <w:bookmarkStart w:id="26" w:name="metatranscriptome-sampling-and-sequencing"/>
      <w:bookmarkEnd w:id="26"/>
      <w:r>
        <w:t xml:space="preserve">Metatranscriptome Sampling and Sequencing</w:t>
      </w:r>
    </w:p>
    <w:p>
      <w:pPr>
        <w:pStyle w:val="FirstParagraph"/>
      </w:pPr>
      <w:r>
        <w:t xml:space="preserve">Four samples were collected from the top of the water column (depth &lt;1m) from Lake Mendota (Madison, WI, USA) over a twenty-four hour period on August 20 and 21, 2015. For each sample, between 200 and 400 mL lake water was filtered onto a 0.2 μm polyethersulfone filter (Supor, Pall Corp) and stored at -80°C until extraction.</w:t>
      </w:r>
    </w:p>
    <w:p>
      <w:pPr>
        <w:pStyle w:val="BodyText"/>
      </w:pPr>
      <w:r>
        <w:t xml:space="preserve">Prior to extraction, three samples were spiked with an internal standard to enable quantification of total transcript abundance, following an established protocol</w:t>
      </w:r>
      <w:r>
        <w:t xml:space="preserve"> </w:t>
      </w:r>
      <w:r>
        <w:t xml:space="preserve">(Satinsky et al. 2014)</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w:t>
      </w:r>
    </w:p>
    <w:p>
      <w:pPr>
        <w:pStyle w:val="BodyText"/>
      </w:pPr>
      <w:r>
        <w:t xml:space="preserve">Samples were subject to TRIzol-based RNA extraction (Thermo Fisher Scientific, Waltham, MA)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the addition of a step for selective ribosomal RNA depletion using the Ribo-Zero rRNA Removal Kit (Bacteria) (Illumina). The resulting cDNA libraries were pooled in an equimolar ratio, and sequenced on an Illumina HiSeq2500.</w:t>
      </w:r>
    </w:p>
    <w:p>
      <w:pPr>
        <w:pStyle w:val="BodyText"/>
      </w:pPr>
      <w:r>
        <w:t xml:space="preserve">Raw paired-end reads were then merged using FLASH</w:t>
      </w:r>
      <w:r>
        <w:t xml:space="preserve"> </w:t>
      </w:r>
      <w:r>
        <w:t xml:space="preserve">(Magoc and Salzberg 2011)</w:t>
      </w:r>
      <w:r>
        <w:t xml:space="preserve"> </w:t>
      </w:r>
      <w:r>
        <w:t xml:space="preserve">using default parameters. Finally, additional rRNA and ncRNA sequences were removed using SortMeRNA</w:t>
      </w:r>
      <w:r>
        <w:t xml:space="preserve"> </w:t>
      </w:r>
      <w:r>
        <w:t xml:space="preserve">(Kopylova, Noe, and Touzet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 et al. 2013)</w:t>
      </w:r>
      <w:r>
        <w:t xml:space="preserve"> </w:t>
      </w:r>
      <w:r>
        <w:t xml:space="preserve">and RFAM</w:t>
      </w:r>
      <w:r>
        <w:t xml:space="preserve"> </w:t>
      </w:r>
      <w:r>
        <w:t xml:space="preserve">(Nawrocki et al. 2015)</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2"/>
      </w:pPr>
      <w:bookmarkStart w:id="27" w:name="genome-completeness-and-phylogenetic-relationships"/>
      <w:bookmarkEnd w:id="27"/>
      <w:r>
        <w:t xml:space="preserve">Genome Completeness and Phylogenetic Relationships</w:t>
      </w:r>
    </w:p>
    <w:p>
      <w:pPr>
        <w:pStyle w:val="FirstParagraph"/>
      </w:pPr>
      <w:r>
        <w:t xml:space="preserve">CheckM</w:t>
      </w:r>
      <w:r>
        <w:t xml:space="preserve"> </w:t>
      </w:r>
      <w:r>
        <w:t xml:space="preserve">(Parks et al. 2015)</w:t>
      </w:r>
      <w:r>
        <w:t xml:space="preserve"> </w:t>
      </w:r>
      <w:r>
        <w:t xml:space="preserve">was used to estimate genome completeness based on 204 single-copy marker genes conserved across the phylum Actinobacteria. Phylogenetic analysis of Actinobacterial SAGs and MAGs was performed using a concatenated alignment of single-copy marker genes obtained via Phylosift</w:t>
      </w:r>
      <w:r>
        <w:t xml:space="preserve"> </w:t>
      </w:r>
      <w:r>
        <w:t xml:space="preserve">(Darling et al.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8" w:name="metabolic-network-reconstruction-and-reverse-ecology"/>
      <w:bookmarkEnd w:id="28"/>
      <w:r>
        <w:t xml:space="preserve">Metabolic Network Reconstruction and Reverse Ecology</w:t>
      </w:r>
    </w:p>
    <w:p>
      <w:pPr>
        <w:pStyle w:val="Heading3"/>
      </w:pPr>
      <w:bookmarkStart w:id="29" w:name="genome-annotation-and-model-processing-including-genome-merging"/>
      <w:bookmarkEnd w:id="29"/>
      <w:r>
        <w:t xml:space="preserve">Genome Annotation and Model Processing (including Genome Merging)</w:t>
      </w:r>
    </w:p>
    <w:p>
      <w:pPr>
        <w:pStyle w:val="FirstParagraph"/>
      </w:pPr>
      <w:r>
        <w:t xml:space="preserve">Genome annotations and metabolic network reconstructions were performed using KBase (http://kbase.us/). Unannotated contigs for each genome were pushed to KBase and annotated using the</w:t>
      </w:r>
      <w:r>
        <w:t xml:space="preserve"> </w:t>
      </w:r>
      <w:r>
        <w:t xml:space="preserve">“</w:t>
      </w:r>
      <w:r>
        <w:t xml:space="preserve">Annotate Microbial Contigs</w:t>
      </w:r>
      <w:r>
        <w:t xml:space="preserve">”</w:t>
      </w:r>
      <w:r>
        <w:t xml:space="preserve"> </w:t>
      </w:r>
      <w:r>
        <w:t xml:space="preserve">method using default options, which uses components of the RAST toolkit</w:t>
      </w:r>
      <w:r>
        <w:t xml:space="preserve"> </w:t>
      </w:r>
      <w:r>
        <w:t xml:space="preserve">(Brettin et al. 2015,</w:t>
      </w:r>
      <w:r>
        <w:t xml:space="preserve"> </w:t>
      </w:r>
      <w:r>
        <w:t xml:space="preserve">Overbeek et al. (2014)</w:t>
      </w:r>
      <w:r>
        <w:t xml:space="preserve">)</w:t>
      </w:r>
      <w:r>
        <w:t xml:space="preserve"> </w:t>
      </w:r>
      <w:r>
        <w:t xml:space="preserve">for genome annotation. Genome-scale metabolic network reconstructions were performed using the</w:t>
      </w:r>
      <w:r>
        <w:t xml:space="preserve"> </w:t>
      </w:r>
      <w:r>
        <w:t xml:space="preserve">“</w:t>
      </w:r>
      <w:r>
        <w:t xml:space="preserve">Build Metabolic Model</w:t>
      </w:r>
      <w:r>
        <w:t xml:space="preserve">”</w:t>
      </w:r>
      <w:r>
        <w:t xml:space="preserve"> </w:t>
      </w:r>
      <w:r>
        <w:t xml:space="preserve">app using default parameters, which relies on the Model SEED framework</w:t>
      </w:r>
      <w:r>
        <w:t xml:space="preserve"> </w:t>
      </w:r>
      <w:r>
        <w:t xml:space="preserve">(Henry et al. 2010)</w:t>
      </w:r>
      <w:r>
        <w:t xml:space="preserve"> </w:t>
      </w:r>
      <w:r>
        <w:t xml:space="preserve">to build a draft metabolic model without gapfilling. As acI genomes are known to be small with numerous auxotrophies</w:t>
      </w:r>
      <w:r>
        <w:t xml:space="preserve"> </w:t>
      </w:r>
      <w:r>
        <w:t xml:space="preserve">(Garcia et al. 2015)</w:t>
      </w:r>
      <w:r>
        <w:t xml:space="preserve">, we opted to forgo the gapfilling step and instead leverage multiple genomes to fill gaps, as described below.</w:t>
      </w:r>
    </w:p>
    <w:p>
      <w:pPr>
        <w:pStyle w:val="BodyText"/>
      </w:pPr>
      <w:r>
        <w:t xml:space="preserve">Metabolic models were then downloaded via KBase, pruned, and converted to metabolic network graphs. In particular, biomass, exchange, transport, spontaneous, and DNA/RNA biosynthesis reactions were removed from the model, and reactions were mass- and charge-balanced. Next, currency metabolites (compounds used to carry electrons and functional groups) were removed following an established procedure</w:t>
      </w:r>
      <w:r>
        <w:t xml:space="preserve"> </w:t>
      </w:r>
      <w:r>
        <w:t xml:space="preserve">(Ma and Zeng 2003)</w:t>
      </w:r>
      <w:r>
        <w:t xml:space="preserve">. Finally, the network model was converted to a metabolic network graph, in which nodes denote compounds and edges denote reactions. A directed edge from compound</w:t>
      </w:r>
      <w:r>
        <w:t xml:space="preserve"> </w:t>
      </w:r>
      <w:r>
        <w:rPr>
          <w:i/>
        </w:rPr>
        <w:t xml:space="preserve">a</w:t>
      </w:r>
      <w:r>
        <w:t xml:space="preserve"> </w:t>
      </w:r>
      <w:r>
        <w:t xml:space="preserve">to compound</w:t>
      </w:r>
      <w:r>
        <w:t xml:space="preserve"> </w:t>
      </w:r>
      <w:r>
        <w:rPr>
          <w:i/>
        </w:rPr>
        <w:t xml:space="preserve">b</w:t>
      </w:r>
      <w:r>
        <w:t xml:space="preserve"> </w:t>
      </w:r>
      <w:r>
        <w:t xml:space="preserve">means that</w:t>
      </w:r>
      <w:r>
        <w:t xml:space="preserve"> </w:t>
      </w:r>
      <w:r>
        <w:rPr>
          <w:i/>
        </w:rPr>
        <w:t xml:space="preserve">a</w:t>
      </w:r>
      <w:r>
        <w:t xml:space="preserve"> </w:t>
      </w:r>
      <w:r>
        <w:t xml:space="preserve">is a substrate in a reaction which produces</w:t>
      </w:r>
      <w:r>
        <w:t xml:space="preserve"> </w:t>
      </w:r>
      <w:r>
        <w:rPr>
          <w:i/>
        </w:rPr>
        <w:t xml:space="preserve">b</w:t>
      </w:r>
      <w:r>
        <w:t xml:space="preserve">. The metabolic network graph representation of glycolysis is shown in Supplemental Figure S2.</w:t>
      </w:r>
    </w:p>
    <w:p>
      <w:pPr>
        <w:pStyle w:val="BodyText"/>
      </w:pPr>
      <w:r>
        <w:t xml:space="preserve">Finally, all genome-level metabolic network graphs for a single acI clade were combined to generate a composite clade-level metabolic network graph for that clade. Beginning with two genomes, nodes and edges unique to the second genome are identified and appended to the network graph for the first genome, giving a composite metabolic network graph. The process is repeated for each genome belonging to the clade, until all of the network graphs have been incorporated into the composite.</w:t>
      </w:r>
    </w:p>
    <w:p>
      <w:pPr>
        <w:pStyle w:val="Heading3"/>
      </w:pPr>
      <w:bookmarkStart w:id="30" w:name="calculation-and-evaluation-of-seed-compounds"/>
      <w:bookmarkEnd w:id="30"/>
      <w:r>
        <w:t xml:space="preserve">Calculation and Evaluation of Seed Compounds</w:t>
      </w:r>
    </w:p>
    <w:p>
      <w:pPr>
        <w:pStyle w:val="FirstParagraph"/>
      </w:pPr>
      <w:r>
        <w:t xml:space="preserve">Seed compounds for each composite clade-level metabolic network graph were calculated using established methods</w:t>
      </w:r>
      <w:r>
        <w:t xml:space="preserve"> </w:t>
      </w:r>
      <w:r>
        <w:t xml:space="preserve">(Borenstein et al. 2008)</w:t>
      </w:r>
      <w:r>
        <w:t xml:space="preserve">. Briefly, the metabolic network is decomposed into its strongly connected components (SCCs), sets of nodes where each node in the set is reachable from every other node. Seed compounds can then be found by identifying source components (components with no incoming edges) on the condensation of the original graph: each source component represents a collection of seed compounds. The process is illustrated for an artificial network in Supplemental Figure S2. Finally, all predicted seed compounds were manually evaluated to identify those which may be biologically meaningful. Examples are given in the Results section.</w:t>
      </w:r>
    </w:p>
    <w:p>
      <w:pPr>
        <w:pStyle w:val="Heading3"/>
      </w:pPr>
      <w:bookmarkStart w:id="31" w:name="re-annotation-of-peptidases-and-glycoside-hydrolases"/>
      <w:bookmarkEnd w:id="31"/>
      <w:r>
        <w:t xml:space="preserve">Re-annotation of Peptidases and Glycoside Hydrolases</w:t>
      </w:r>
    </w:p>
    <w:p>
      <w:pPr>
        <w:pStyle w:val="FirstParagraph"/>
      </w:pPr>
      <w:r>
        <w:t xml:space="preserve">Many seed compounds were associated with reactions catalyzed by peptidases or glycoside hydrolases, and genes associated with these reactions were re-annotated. Peptidase sequences were annotated using the MEROPS batch BLAST interface using default parameters</w:t>
      </w:r>
      <w:r>
        <w:t xml:space="preserve"> </w:t>
      </w:r>
      <w:r>
        <w:t xml:space="preserve">(Rawlings, Barrett, and Finn 2015)</w:t>
      </w:r>
      <w:r>
        <w:t xml:space="preserve">. Glycoside hydrolases were first annotated using dbCAN</w:t>
      </w:r>
      <w:r>
        <w:t xml:space="preserve"> </w:t>
      </w:r>
      <w:r>
        <w:t xml:space="preserve">(Yin et al. 2012)</w:t>
      </w:r>
      <w:r>
        <w:t xml:space="preserve"> </w:t>
      </w:r>
      <w:r>
        <w:t xml:space="preserve">to assign these genes to glycoside hydrolase families, as defined in the Carbohydrate-Active enZYmes Database CAZY</w:t>
      </w:r>
      <w:r>
        <w:t xml:space="preserve"> </w:t>
      </w:r>
      <w:r>
        <w:t xml:space="preserve">(Lombard et al. 2014)</w:t>
      </w:r>
      <w:r>
        <w:t xml:space="preserve">. Hidden Markov Models for these sub-families were then downloaded from dbCAN, and HMMER3</w:t>
      </w:r>
      <w:r>
        <w:t xml:space="preserve"> </w:t>
      </w:r>
      <w:r>
        <w:t xml:space="preserve">(S. R. Eddy 2011)</w:t>
      </w:r>
      <w:r>
        <w:t xml:space="preserve"> </w:t>
      </w:r>
      <w:r>
        <w:t xml:space="preserve">was used to assign these genes to individual sub-families using default parameters. Re-annotated peptidases and glycoside hydrolases are given in Supplementary Tables S2 and S3, respectively.</w:t>
      </w:r>
    </w:p>
    <w:p>
      <w:pPr>
        <w:pStyle w:val="Heading2"/>
      </w:pPr>
      <w:bookmarkStart w:id="32" w:name="integrating-reverse-ecology-with-metatranscriptomics"/>
      <w:bookmarkEnd w:id="32"/>
      <w:r>
        <w:t xml:space="preserve">Integrating Reverse Ecology with Metatranscriptomics</w:t>
      </w:r>
    </w:p>
    <w:p>
      <w:pPr>
        <w:pStyle w:val="Heading3"/>
      </w:pPr>
      <w:bookmarkStart w:id="33" w:name="protein-clustering-metatranscriptomic-mapping-and-clade-level-gene-expression"/>
      <w:bookmarkEnd w:id="33"/>
      <w:r>
        <w:t xml:space="preserve">Protein Clustering, Metatranscriptomic Mapping, and Clade-Level Gene Expression</w:t>
      </w:r>
    </w:p>
    <w:p>
      <w:pPr>
        <w:pStyle w:val="FirstParagraph"/>
      </w:pPr>
      <w:r>
        <w:t xml:space="preserve">OrthoMCL</w:t>
      </w:r>
      <w:r>
        <w:t xml:space="preserve"> </w:t>
      </w:r>
      <w:r>
        <w:t xml:space="preserve">(L. Li, Stoeckert, and Roos 2003)</w:t>
      </w:r>
      <w:r>
        <w:t xml:space="preserve"> </w:t>
      </w:r>
      <w:r>
        <w:t xml:space="preserve">was used to identify clusters of orthologous genes (COGs) in the set of acI genomes. OrthoMCL was run using default options. Then, metatranscriptomic reads were mapped to a single fasta file containing all acI genomes using BBMap (https://sourceforge.net/projects/bbmap/) with the</w:t>
      </w:r>
      <w:r>
        <w:t xml:space="preserve"> </w:t>
      </w:r>
      <w:r>
        <w:rPr>
          <w:rStyle w:val="VerbatimChar"/>
        </w:rPr>
        <w:t xml:space="preserve">ambig=all</w:t>
      </w:r>
      <w:r>
        <w:t xml:space="preserve"> </w:t>
      </w:r>
      <w:r>
        <w:t xml:space="preserve">and</w:t>
      </w:r>
      <w:r>
        <w:t xml:space="preserve"> </w:t>
      </w:r>
      <w:r>
        <w:rPr>
          <w:rStyle w:val="VerbatimChar"/>
        </w:rPr>
        <w:t xml:space="preserve">minid=0.85</w:t>
      </w:r>
      <w:r>
        <w:t xml:space="preserve"> </w:t>
      </w:r>
      <w:r>
        <w:t xml:space="preserve">options. With this command, reads are allowed to map equally well to multiple sites. An 85% percent identity cutoff was chosen as it minimizes the percent of reads which map to multiple sites.</w:t>
      </w:r>
    </w:p>
    <w:p>
      <w:pPr>
        <w:pStyle w:val="BodyText"/>
      </w:pPr>
      <w:r>
        <w:t xml:space="preserve">Next, a custom implementation of HTSeq-Count</w:t>
      </w:r>
      <w:r>
        <w:t xml:space="preserve"> </w:t>
      </w:r>
      <w:r>
        <w:t xml:space="preserve">(Anders, Pyl, and Huber 2014)</w:t>
      </w:r>
      <w:r>
        <w:t xml:space="preserve"> </w:t>
      </w:r>
      <w:r>
        <w:t xml:space="preserve">was used to count the total number of reads which map to each (genome, gene) pairing. Any read which mapped to multiple sites within the collection of acI genomes was discarded. Using the COGs identified by OrthoMCL, the total number of reads which map to each (clade, COG) pairing was then counted. This gives a measure of gene expression for the clade-level composite genome.</w:t>
      </w:r>
    </w:p>
    <w:p>
      <w:pPr>
        <w:pStyle w:val="BodyText"/>
      </w:pPr>
      <w:r>
        <w:t xml:space="preserve">For each clade, read counts were then normalized by sequencing depth and ORF length and expressed on a reads per kilobase million (RPKM) basis</w:t>
      </w:r>
      <w:r>
        <w:t xml:space="preserve"> </w:t>
      </w:r>
      <w:r>
        <w:t xml:space="preserve">(Mortazavi et al. 2008)</w:t>
      </w:r>
      <w:r>
        <w:t xml:space="preserve">, while accounting for different ORF lengths within a COG. RPKM counts were averaged across the four metatranscriptomes to give the average expression across a 24-hour period. Finally, within each clade, the percentile rank expression for each COG was calculated.</w:t>
      </w:r>
    </w:p>
    <w:p>
      <w:pPr>
        <w:pStyle w:val="Heading3"/>
      </w:pPr>
      <w:bookmarkStart w:id="34" w:name="re-annotation-of-transporter-genes"/>
      <w:bookmarkEnd w:id="34"/>
      <w:r>
        <w:t xml:space="preserve">Re-annotation of Transporter Genes</w:t>
      </w:r>
    </w:p>
    <w:p>
      <w:pPr>
        <w:pStyle w:val="FirstParagraph"/>
      </w:pPr>
      <w:r>
        <w:t xml:space="preserve">Many highly-expressed genes were annotated as transport proteins, and these proteins were re-annotated to assign function to COGs identified by OrthoMCL. Protein sequences were BLASTed against the TCDB reference database</w:t>
      </w:r>
      <w:r>
        <w:t xml:space="preserve"> </w:t>
      </w:r>
      <w:r>
        <w:t xml:space="preserve">(Saier et al. 2014)</w:t>
      </w:r>
      <w:r>
        <w:t xml:space="preserve"> </w:t>
      </w:r>
      <w:r>
        <w:t xml:space="preserve">using</w:t>
      </w:r>
      <w:r>
        <w:t xml:space="preserve"> </w:t>
      </w:r>
      <w:r>
        <w:rPr>
          <w:rStyle w:val="VerbatimChar"/>
        </w:rPr>
        <w:t xml:space="preserve">blastp</w:t>
      </w:r>
      <w:r>
        <w:t xml:space="preserve"> </w:t>
      </w:r>
      <w:r>
        <w:t xml:space="preserve">and given the annotation of the best-BLAST hit. If a COG contained genes with multiple annotations, the majority annotation was selected for that COG. Examples are given in the Results section.</w:t>
      </w:r>
    </w:p>
    <w:p>
      <w:pPr>
        <w:pStyle w:val="Heading2"/>
      </w:pPr>
      <w:bookmarkStart w:id="35" w:name="availability-of-data-and-materials"/>
      <w:bookmarkEnd w:id="35"/>
      <w:r>
        <w:t xml:space="preserve">Availability of Data and Materials</w:t>
      </w:r>
    </w:p>
    <w:p>
      <w:pPr>
        <w:pStyle w:val="FirstParagraph"/>
      </w:pPr>
      <w:r>
        <w:t xml:space="preserve">All genomic and metatranscriptomic sequences are available through IMG and NCBI, respectively. Reverse ecology calculations were performed using the Python package reverseEcology, written expressly for this purpose and available on the Python Package Index. A reproducible version of this manuscript is available at https://github.com/joshamilton/reverseEcologyMS.</w:t>
      </w:r>
    </w:p>
    <w:p>
      <w:pPr>
        <w:pStyle w:val="Heading1"/>
      </w:pPr>
      <w:bookmarkStart w:id="36" w:name="results"/>
      <w:bookmarkEnd w:id="36"/>
      <w:r>
        <w:t xml:space="preserve">Results</w:t>
      </w:r>
    </w:p>
    <w:p>
      <w:pPr>
        <w:pStyle w:val="Heading1"/>
      </w:pPr>
      <w:bookmarkStart w:id="37" w:name="discussion"/>
      <w:bookmarkEnd w:id="37"/>
      <w:r>
        <w:t xml:space="preserve">Discussion</w:t>
      </w:r>
    </w:p>
    <w:p>
      <w:pPr>
        <w:pStyle w:val="Heading1"/>
      </w:pPr>
      <w:bookmarkStart w:id="38" w:name="acknowledgements"/>
      <w:bookmarkEnd w:id="38"/>
      <w:r>
        <w:t xml:space="preserve">Acknowledgements</w:t>
      </w:r>
    </w:p>
    <w:p>
      <w:pPr>
        <w:pStyle w:val="Heading1"/>
      </w:pPr>
      <w:bookmarkStart w:id="39" w:name="conflict-of-interest"/>
      <w:bookmarkEnd w:id="39"/>
      <w:r>
        <w:t xml:space="preserve">Conflict of Interest</w:t>
      </w:r>
    </w:p>
    <w:p>
      <w:pPr>
        <w:pStyle w:val="FirstParagraph"/>
      </w:pPr>
      <w:r>
        <w:t xml:space="preserve">The authors declare no conflict of interest.</w:t>
      </w:r>
    </w:p>
    <w:p>
      <w:pPr>
        <w:pStyle w:val="Heading1"/>
      </w:pPr>
      <w:bookmarkStart w:id="40" w:name="references"/>
      <w:bookmarkEnd w:id="40"/>
      <w:r>
        <w:t xml:space="preserve">References</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41">
        <w:r>
          <w:rPr>
            <w:rStyle w:val="Hyperlink"/>
          </w:rPr>
          <w:t xml:space="preserve">doi:10.1101/002824</w:t>
        </w:r>
      </w:hyperlink>
      <w:r>
        <w:t xml:space="preserve">.</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42">
        <w:r>
          <w:rPr>
            <w:rStyle w:val="Hyperlink"/>
          </w:rPr>
          <w:t xml:space="preserve">doi:10.1038/ismej.2015.241</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43">
        <w:r>
          <w:rPr>
            <w:rStyle w:val="Hyperlink"/>
          </w:rPr>
          <w:t xml:space="preserve">doi:10.1073/pnas.0806162105</w:t>
        </w:r>
      </w:hyperlink>
      <w:r>
        <w:t xml:space="preserve">.</w:t>
      </w:r>
    </w:p>
    <w:p>
      <w:pPr>
        <w:pStyle w:val="Bibliography"/>
      </w:pPr>
      <w:r>
        <w:t xml:space="preserve">Brettin, Thomas, James J Davis, Terry Disz, Robert A Edwards, Svetlana Gerdes, Gary J Olsen, Robert Olson, et al. 2015. “RASTtk: a modular and extensible implementation of the RAST algorithm for building custom annotation pipelines and annotating batches of genomes.”</w:t>
      </w:r>
      <w:r>
        <w:t xml:space="preserve"> </w:t>
      </w:r>
      <w:r>
        <w:rPr>
          <w:i/>
        </w:rPr>
        <w:t xml:space="preserve">Scientific Reports</w:t>
      </w:r>
      <w:r>
        <w:t xml:space="preserve"> </w:t>
      </w:r>
      <w:r>
        <w:t xml:space="preserve">5: 8365.</w:t>
      </w:r>
      <w:r>
        <w:t xml:space="preserve"> </w:t>
      </w:r>
      <w:hyperlink r:id="rId44">
        <w:r>
          <w:rPr>
            <w:rStyle w:val="Hyperlink"/>
          </w:rPr>
          <w:t xml:space="preserve">doi:10.1038/srep08365</w:t>
        </w:r>
      </w:hyperlink>
      <w:r>
        <w:t xml:space="preserve">.</w:t>
      </w:r>
    </w:p>
    <w:p>
      <w:pPr>
        <w:pStyle w:val="Bibliography"/>
      </w:pPr>
      <w:r>
        <w:t xml:space="preserve">Butler, Jonathan, Iain MacCallum, Michael Kleber, Ilya A Shlyakhter, Matthew K Belmonte, Eric S Lander, Chad Nusbaum, and David B Jaffe. 2008. “ALLPATHS: De novo assembly of whole-genome shotgun microreads.”</w:t>
      </w:r>
      <w:r>
        <w:t xml:space="preserve"> </w:t>
      </w:r>
      <w:r>
        <w:rPr>
          <w:i/>
        </w:rPr>
        <w:t xml:space="preserve">Genome Research</w:t>
      </w:r>
      <w:r>
        <w:t xml:space="preserve"> </w:t>
      </w:r>
      <w:r>
        <w:t xml:space="preserve">18 (5): 810–20.</w:t>
      </w:r>
      <w:r>
        <w:t xml:space="preserve"> </w:t>
      </w:r>
      <w:hyperlink r:id="rId45">
        <w:r>
          <w:rPr>
            <w:rStyle w:val="Hyperlink"/>
          </w:rPr>
          <w:t xml:space="preserve">doi:10.1101/gr.7337908</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46">
        <w:r>
          <w:rPr>
            <w:rStyle w:val="Hyperlink"/>
          </w:rPr>
          <w:t xml:space="preserve">doi:10.7717/peerj.243</w:t>
        </w:r>
      </w:hyperlink>
      <w:r>
        <w:t xml:space="preserve">.</w:t>
      </w:r>
    </w:p>
    <w:p>
      <w:pPr>
        <w:pStyle w:val="Bibliography"/>
      </w:pPr>
      <w:r>
        <w:t xml:space="preserve">Eddy, Sean R. 2011. “Accelerated Profile HMM Searches.”</w:t>
      </w:r>
      <w:r>
        <w:t xml:space="preserve"> </w:t>
      </w:r>
      <w:r>
        <w:rPr>
          <w:i/>
        </w:rPr>
        <w:t xml:space="preserve">PLoS Computational Biology</w:t>
      </w:r>
      <w:r>
        <w:t xml:space="preserve"> </w:t>
      </w:r>
      <w:r>
        <w:t xml:space="preserve">7 (10): e1002195.</w:t>
      </w:r>
      <w:r>
        <w:t xml:space="preserve"> </w:t>
      </w:r>
      <w:hyperlink r:id="rId47">
        <w:r>
          <w:rPr>
            <w:rStyle w:val="Hyperlink"/>
          </w:rPr>
          <w:t xml:space="preserve">doi:10.1371/journal.pcbi.1002195</w:t>
        </w:r>
      </w:hyperlink>
      <w:r>
        <w:t xml:space="preserve">.</w:t>
      </w:r>
    </w:p>
    <w:p>
      <w:pPr>
        <w:pStyle w:val="Bibliography"/>
      </w:pPr>
      <w:r>
        <w:t xml:space="preserve">Garcia, Sarahi L, Moritz Buck, Katherine D McMahon, Hans-Peter Grossart, Alexander Eiler, and Falk Warnecke. 2015. “Auxotrophy and intra-population complementary in the ‘interactome’ of a cultivated freshwater model community.”</w:t>
      </w:r>
      <w:r>
        <w:t xml:space="preserve"> </w:t>
      </w:r>
      <w:r>
        <w:rPr>
          <w:i/>
        </w:rPr>
        <w:t xml:space="preserve">Molecular Ecology</w:t>
      </w:r>
      <w:r>
        <w:t xml:space="preserve"> </w:t>
      </w:r>
      <w:r>
        <w:t xml:space="preserve">24 (17): 4449–59.</w:t>
      </w:r>
      <w:r>
        <w:t xml:space="preserve"> </w:t>
      </w:r>
      <w:hyperlink r:id="rId48">
        <w:r>
          <w:rPr>
            <w:rStyle w:val="Hyperlink"/>
          </w:rPr>
          <w:t xml:space="preserve">doi:10.1111/mec.13319</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49">
        <w:r>
          <w:rPr>
            <w:rStyle w:val="Hyperlink"/>
          </w:rPr>
          <w:t xml:space="preserve">doi:10.1038/ismej.2012.86</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50">
        <w:r>
          <w:rPr>
            <w:rStyle w:val="Hyperlink"/>
          </w:rPr>
          <w:t xml:space="preserve">doi:10.1038/ismej.2014.135</w:t>
        </w:r>
      </w:hyperlink>
      <w:r>
        <w:t xml:space="preserve">.</w:t>
      </w:r>
    </w:p>
    <w:p>
      <w:pPr>
        <w:pStyle w:val="Bibliography"/>
      </w:pPr>
      <w:r>
        <w:t xml:space="preserve">Henry, Christopher S, Matthew DeJongh, Aaron A Best, Paul M Frybarger, Ben Linsay, and Rick L Stevens. 2010. “High-throughput generation, optimization and analysis of genome-scale metabolic models.”</w:t>
      </w:r>
      <w:r>
        <w:t xml:space="preserve"> </w:t>
      </w:r>
      <w:r>
        <w:rPr>
          <w:i/>
        </w:rPr>
        <w:t xml:space="preserve">Nature Biotechnology</w:t>
      </w:r>
      <w:r>
        <w:t xml:space="preserve"> </w:t>
      </w:r>
      <w:r>
        <w:t xml:space="preserve">28 (9). Nature Publishing Group: 977–82.</w:t>
      </w:r>
      <w:r>
        <w:t xml:space="preserve"> </w:t>
      </w:r>
      <w:hyperlink r:id="rId51">
        <w:r>
          <w:rPr>
            <w:rStyle w:val="Hyperlink"/>
          </w:rPr>
          <w:t xml:space="preserve">doi:10.1038/nbt.1672</w:t>
        </w:r>
      </w:hyperlink>
      <w:r>
        <w:t xml:space="preserve">.</w:t>
      </w:r>
    </w:p>
    <w:p>
      <w:pPr>
        <w:pStyle w:val="Bibliography"/>
      </w:pPr>
      <w:r>
        <w:t xml:space="preserve">Kang, Dongwan D, Jeff Froula, Rob Egan, and Zhong Wang. 2015. “MetaBAT, an efficient tool for accurately reconstructing single genomes from complex microbial communities.”</w:t>
      </w:r>
      <w:r>
        <w:t xml:space="preserve"> </w:t>
      </w:r>
      <w:r>
        <w:rPr>
          <w:i/>
        </w:rPr>
        <w:t xml:space="preserve">PeerJ</w:t>
      </w:r>
      <w:r>
        <w:t xml:space="preserve"> </w:t>
      </w:r>
      <w:r>
        <w:t xml:space="preserve">3: e1165.</w:t>
      </w:r>
      <w:r>
        <w:t xml:space="preserve"> </w:t>
      </w:r>
      <w:hyperlink r:id="rId52">
        <w:r>
          <w:rPr>
            <w:rStyle w:val="Hyperlink"/>
          </w:rPr>
          <w:t xml:space="preserve">doi:10.7717/peerj.1165</w:t>
        </w:r>
      </w:hyperlink>
      <w:r>
        <w:t xml:space="preserve">.</w:t>
      </w:r>
    </w:p>
    <w:p>
      <w:pPr>
        <w:pStyle w:val="Bibliography"/>
      </w:pPr>
      <w:r>
        <w:t xml:space="preserve">Kopylova, Evguenia, Laurent Noe, and Helene Touzet. 2012. “SortMeRNA: fast and accurate filtering of ribosomal RNAs in metatranscriptomic data.”</w:t>
      </w:r>
      <w:r>
        <w:t xml:space="preserve"> </w:t>
      </w:r>
      <w:r>
        <w:rPr>
          <w:i/>
        </w:rPr>
        <w:t xml:space="preserve">Bioinformatics</w:t>
      </w:r>
      <w:r>
        <w:t xml:space="preserve"> </w:t>
      </w:r>
      <w:r>
        <w:t xml:space="preserve">28 (24): 3211–17.</w:t>
      </w:r>
      <w:r>
        <w:t xml:space="preserve"> </w:t>
      </w:r>
      <w:hyperlink r:id="rId53">
        <w:r>
          <w:rPr>
            <w:rStyle w:val="Hyperlink"/>
          </w:rPr>
          <w:t xml:space="preserve">doi:10.1093/bioinformatics/bts611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54">
        <w:r>
          <w:rPr>
            <w:rStyle w:val="Hyperlink"/>
          </w:rPr>
          <w:t xml:space="preserve">doi:10.1101/gr.1224503</w:t>
        </w:r>
      </w:hyperlink>
      <w:r>
        <w:t xml:space="preserve">.</w:t>
      </w:r>
    </w:p>
    <w:p>
      <w:pPr>
        <w:pStyle w:val="Bibliography"/>
      </w:pPr>
      <w:r>
        <w:t xml:space="preserve">Lombard, Vincent, Hemalatha Golaconda Ramulu, Elodie Drula, Pedro M Coutinho, and Bernard Henrissat. 2014. “The carbohydrate-active enzymes database (CAZy) in 2013.”</w:t>
      </w:r>
      <w:r>
        <w:t xml:space="preserve"> </w:t>
      </w:r>
      <w:r>
        <w:rPr>
          <w:i/>
        </w:rPr>
        <w:t xml:space="preserve">Nucleic Acids Research</w:t>
      </w:r>
      <w:r>
        <w:t xml:space="preserve"> </w:t>
      </w:r>
      <w:r>
        <w:t xml:space="preserve">42 (D1): 490–95.</w:t>
      </w:r>
      <w:r>
        <w:t xml:space="preserve"> </w:t>
      </w:r>
      <w:hyperlink r:id="rId55">
        <w:r>
          <w:rPr>
            <w:rStyle w:val="Hyperlink"/>
          </w:rPr>
          <w:t xml:space="preserve">doi:10.1093/nar/gkt1178</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56">
        <w:r>
          <w:rPr>
            <w:rStyle w:val="Hyperlink"/>
          </w:rPr>
          <w:t xml:space="preserve">doi:10.1093/nar/gkh293</w:t>
        </w:r>
      </w:hyperlink>
      <w:r>
        <w:t xml:space="preserve">.</w:t>
      </w:r>
    </w:p>
    <w:p>
      <w:pPr>
        <w:pStyle w:val="Bibliography"/>
      </w:pPr>
      <w:r>
        <w:t xml:space="preserve">Luo, Ruibang, Binghang Liu, Yinlong Xie, Zhenyu Li, Weihua Huang, Jianying Yuan, Guangzhu He, et al. 2012. “SOAPdenovo2: an empirically improved memory-efficient short-read de novo assembler.”</w:t>
      </w:r>
      <w:r>
        <w:t xml:space="preserve"> </w:t>
      </w:r>
      <w:r>
        <w:rPr>
          <w:i/>
        </w:rPr>
        <w:t xml:space="preserve">GigaScience</w:t>
      </w:r>
      <w:r>
        <w:t xml:space="preserve"> </w:t>
      </w:r>
      <w:r>
        <w:t xml:space="preserve">1: 18.</w:t>
      </w:r>
      <w:r>
        <w:t xml:space="preserve"> </w:t>
      </w:r>
      <w:hyperlink r:id="rId57">
        <w:r>
          <w:rPr>
            <w:rStyle w:val="Hyperlink"/>
          </w:rPr>
          <w:t xml:space="preserve">doi:10.1186/2047-217X-1-18</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58">
        <w:r>
          <w:rPr>
            <w:rStyle w:val="Hyperlink"/>
          </w:rPr>
          <w:t xml:space="preserve">doi:10.1093/bioinformatics/19.2.270</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59">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60">
        <w:r>
          <w:rPr>
            <w:rStyle w:val="Hyperlink"/>
          </w:rPr>
          <w:t xml:space="preserve">doi:10.1038/ismej.2011.84</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61">
        <w:r>
          <w:rPr>
            <w:rStyle w:val="Hyperlink"/>
          </w:rPr>
          <w:t xml:space="preserve">doi:10.1038/nmeth.1226</w:t>
        </w:r>
      </w:hyperlink>
      <w:r>
        <w:t xml:space="preserve">.</w:t>
      </w:r>
    </w:p>
    <w:p>
      <w:pPr>
        <w:pStyle w:val="Bibliography"/>
      </w:pPr>
      <w:r>
        <w:t xml:space="preserve">Nawrocki, Eric P., Sarah W. Burge, Alex Bateman, Jennifer Daub, Ruth Y. Eberhardt, Sean R. Eddy, Evan W. Floden, et al. 2015. “Rfam 12.0: Updates to the RNA families database.”</w:t>
      </w:r>
      <w:r>
        <w:t xml:space="preserve"> </w:t>
      </w:r>
      <w:r>
        <w:rPr>
          <w:i/>
        </w:rPr>
        <w:t xml:space="preserve">Nucleic Acids Research</w:t>
      </w:r>
      <w:r>
        <w:t xml:space="preserve"> </w:t>
      </w:r>
      <w:r>
        <w:t xml:space="preserve">43 (D1): D130–37.</w:t>
      </w:r>
      <w:r>
        <w:t xml:space="preserve"> </w:t>
      </w:r>
      <w:hyperlink r:id="rId62">
        <w:r>
          <w:rPr>
            <w:rStyle w:val="Hyperlink"/>
          </w:rPr>
          <w:t xml:space="preserve">doi:10.1093/nar/gku1063</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63">
        <w:r>
          <w:rPr>
            <w:rStyle w:val="Hyperlink"/>
          </w:rPr>
          <w:t xml:space="preserve">doi:10.1128/MMBR.00028-10</w:t>
        </w:r>
      </w:hyperlink>
      <w:r>
        <w:t xml:space="preserve">.</w:t>
      </w:r>
    </w:p>
    <w:p>
      <w:pPr>
        <w:pStyle w:val="Bibliography"/>
      </w:pPr>
      <w:r>
        <w:t xml:space="preserve">Overbeek, Ross A, Robert Olson, Gordon D Pusch, Gary J Olsen, James J Davis, Terrence Disz, Robert A Edwards, et al. 2014. “The SEED and the Rapid Annotation of microbial genomes using Subsystems Technology (RAST).”</w:t>
      </w:r>
      <w:r>
        <w:t xml:space="preserve"> </w:t>
      </w:r>
      <w:r>
        <w:rPr>
          <w:i/>
        </w:rPr>
        <w:t xml:space="preserve">Nucleic Acids Research</w:t>
      </w:r>
      <w:r>
        <w:t xml:space="preserve"> </w:t>
      </w:r>
      <w:r>
        <w:t xml:space="preserve">42 (D1): 206–14.</w:t>
      </w:r>
      <w:r>
        <w:t xml:space="preserve"> </w:t>
      </w:r>
      <w:hyperlink r:id="rId64">
        <w:r>
          <w:rPr>
            <w:rStyle w:val="Hyperlink"/>
          </w:rPr>
          <w:t xml:space="preserve">doi:10.1093/nar/gkt1226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65">
        <w:r>
          <w:rPr>
            <w:rStyle w:val="Hyperlink"/>
          </w:rPr>
          <w:t xml:space="preserve">doi:10.1101/gr.186072.114.Freely</w:t>
        </w:r>
      </w:hyperlink>
      <w:r>
        <w:t xml:space="preserve">.</w:t>
      </w:r>
    </w:p>
    <w:p>
      <w:pPr>
        <w:pStyle w:val="Bibliography"/>
      </w:pPr>
      <w:r>
        <w:t xml:space="preserve">Quast, Christian, Elmar Pruesse, Pelin Yilmaz, Jan Gerken, Timmy Schweer, Pablo Yarza, Jörg Peplies, and Frank Oliver Glöckner. 2013. “The SILVA ribosomal RNA gene database project: improved data processing and web-based tools.”</w:t>
      </w:r>
      <w:r>
        <w:t xml:space="preserve"> </w:t>
      </w:r>
      <w:r>
        <w:rPr>
          <w:i/>
        </w:rPr>
        <w:t xml:space="preserve">Nucleic Acids Research</w:t>
      </w:r>
      <w:r>
        <w:t xml:space="preserve"> </w:t>
      </w:r>
      <w:r>
        <w:t xml:space="preserve">41 (D1): D590–96.</w:t>
      </w:r>
      <w:r>
        <w:t xml:space="preserve"> </w:t>
      </w:r>
      <w:hyperlink r:id="rId66">
        <w:r>
          <w:rPr>
            <w:rStyle w:val="Hyperlink"/>
          </w:rPr>
          <w:t xml:space="preserve">doi:10.1093/nar/gks1219</w:t>
        </w:r>
      </w:hyperlink>
      <w:r>
        <w:t xml:space="preserve">.</w:t>
      </w:r>
    </w:p>
    <w:p>
      <w:pPr>
        <w:pStyle w:val="Bibliography"/>
      </w:pPr>
      <w:r>
        <w:t xml:space="preserve">Rawlings, Neil D, Alan J Barrett, and Robert Finn. 2015. “Twenty years of the MEROPS database of proteolytic enzymes, their substrates and inhibitors.”</w:t>
      </w:r>
      <w:r>
        <w:t xml:space="preserve"> </w:t>
      </w:r>
      <w:r>
        <w:rPr>
          <w:i/>
        </w:rPr>
        <w:t xml:space="preserve">Nucleic Acids Research</w:t>
      </w:r>
      <w:r>
        <w:t xml:space="preserve"> </w:t>
      </w:r>
      <w:r>
        <w:t xml:space="preserve">44 (D1): D343–50.</w:t>
      </w:r>
      <w:r>
        <w:t xml:space="preserve"> </w:t>
      </w:r>
      <w:hyperlink r:id="rId67">
        <w:r>
          <w:rPr>
            <w:rStyle w:val="Hyperlink"/>
          </w:rPr>
          <w:t xml:space="preserve">doi:10.1093/nar/gkv1118</w:t>
        </w:r>
      </w:hyperlink>
      <w:r>
        <w:t xml:space="preserve">.</w:t>
      </w:r>
    </w:p>
    <w:p>
      <w:pPr>
        <w:pStyle w:val="Bibliography"/>
      </w:pPr>
      <w:r>
        <w:t xml:space="preserve">Saier, Milton H, Vamsee S Reddy, Dorjee G Tamang, and Åke Västermark. 2014. “The transporter classification database.”</w:t>
      </w:r>
      <w:r>
        <w:t xml:space="preserve"> </w:t>
      </w:r>
      <w:r>
        <w:rPr>
          <w:i/>
        </w:rPr>
        <w:t xml:space="preserve">Nucleic Acids Research</w:t>
      </w:r>
      <w:r>
        <w:t xml:space="preserve"> </w:t>
      </w:r>
      <w:r>
        <w:t xml:space="preserve">42 (D1): D251–58.</w:t>
      </w:r>
      <w:r>
        <w:t xml:space="preserve"> </w:t>
      </w:r>
      <w:hyperlink r:id="rId68">
        <w:r>
          <w:rPr>
            <w:rStyle w:val="Hyperlink"/>
          </w:rPr>
          <w:t xml:space="preserve">doi:10.1093/nar/gkt1097</w:t>
        </w:r>
      </w:hyperlink>
      <w:r>
        <w:t xml:space="preserve">.</w:t>
      </w:r>
    </w:p>
    <w:p>
      <w:pPr>
        <w:pStyle w:val="Bibliography"/>
      </w:pPr>
      <w:r>
        <w:t xml:space="preserve">Satinsky, Brandon M, Brian L Zielinski, Mary Doherty, Christa B Smith, Shalabh Sharma, John H Paul, Byron C Crump, et al. 2014. “The Amazon continuum dataset: quantitative metagenomic and metatranscriptomic inventories of the Amazon River plume, June 2010.”</w:t>
      </w:r>
      <w:r>
        <w:t xml:space="preserve"> </w:t>
      </w:r>
      <w:r>
        <w:rPr>
          <w:i/>
        </w:rPr>
        <w:t xml:space="preserve">Microbiome</w:t>
      </w:r>
      <w:r>
        <w:t xml:space="preserve"> </w:t>
      </w:r>
      <w:r>
        <w:t xml:space="preserve">2 (1): 17.</w:t>
      </w:r>
      <w:r>
        <w:t xml:space="preserve"> </w:t>
      </w:r>
      <w:hyperlink r:id="rId69">
        <w:r>
          <w:rPr>
            <w:rStyle w:val="Hyperlink"/>
          </w:rPr>
          <w:t xml:space="preserve">doi:10.1186/2049-2618-2-17</w:t>
        </w:r>
      </w:hyperlink>
      <w:r>
        <w:t xml:space="preserve">.</w:t>
      </w:r>
    </w:p>
    <w:p>
      <w:pPr>
        <w:pStyle w:val="Bibliography"/>
      </w:pPr>
      <w:r>
        <w:t xml:space="preserve">Sommer, Daniel D, Arthur L Delcher, Steven L Salzberg, and Mihai Pop. 2007. “Minimus: a fast, lightweight genome assembler.”</w:t>
      </w:r>
      <w:r>
        <w:t xml:space="preserve"> </w:t>
      </w:r>
      <w:r>
        <w:rPr>
          <w:i/>
        </w:rPr>
        <w:t xml:space="preserve">BMC Bioinformatics</w:t>
      </w:r>
      <w:r>
        <w:t xml:space="preserve"> </w:t>
      </w:r>
      <w:r>
        <w:t xml:space="preserve">8: 64.</w:t>
      </w:r>
      <w:r>
        <w:t xml:space="preserve"> </w:t>
      </w:r>
      <w:hyperlink r:id="rId70">
        <w:r>
          <w:rPr>
            <w:rStyle w:val="Hyperlink"/>
          </w:rPr>
          <w:t xml:space="preserve">doi:10.1186/1471-2105-8-64</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71">
        <w:r>
          <w:rPr>
            <w:rStyle w:val="Hyperlink"/>
          </w:rPr>
          <w:t xml:space="preserve">doi:10.1093/bioinformatics/btu033</w:t>
        </w:r>
      </w:hyperlink>
      <w:r>
        <w:t xml:space="preserve">.</w:t>
      </w:r>
    </w:p>
    <w:p>
      <w:pPr>
        <w:pStyle w:val="Bibliography"/>
      </w:pPr>
      <w:r>
        <w:t xml:space="preserve">Yin, Yanbin, Xizeng Mao, Jincai Yang, Xin Chen, Fenglou Mao, and Ying Xu. 2012. “DbCAN: A web resource for automated carbohydrate-active enzyme annotation.”</w:t>
      </w:r>
      <w:r>
        <w:t xml:space="preserve"> </w:t>
      </w:r>
      <w:r>
        <w:rPr>
          <w:i/>
        </w:rPr>
        <w:t xml:space="preserve">Nucleic Acids Research</w:t>
      </w:r>
      <w:r>
        <w:t xml:space="preserve"> </w:t>
      </w:r>
      <w:r>
        <w:t xml:space="preserve">40 (W1): W445–51.</w:t>
      </w:r>
      <w:r>
        <w:t xml:space="preserve"> </w:t>
      </w:r>
      <w:hyperlink r:id="rId72">
        <w:r>
          <w:rPr>
            <w:rStyle w:val="Hyperlink"/>
          </w:rPr>
          <w:t xml:space="preserve">doi:10.1093/nar/gks479</w:t>
        </w:r>
      </w:hyperlink>
      <w:r>
        <w:t xml:space="preserve">.</w:t>
      </w:r>
    </w:p>
    <w:p>
      <w:pPr>
        <w:pStyle w:val="Bibliography"/>
      </w:pPr>
      <w:r>
        <w:t xml:space="preserve">Zerbino, Daniel R, and Ewan Birney. 2008. “Velvet: Algorithms for de novo short read assembly using de Bruijn graphs.”</w:t>
      </w:r>
      <w:r>
        <w:t xml:space="preserve"> </w:t>
      </w:r>
      <w:r>
        <w:rPr>
          <w:i/>
        </w:rPr>
        <w:t xml:space="preserve">Genome Research</w:t>
      </w:r>
      <w:r>
        <w:t xml:space="preserve"> </w:t>
      </w:r>
      <w:r>
        <w:t xml:space="preserve">18 (5): 821–29.</w:t>
      </w:r>
      <w:r>
        <w:t xml:space="preserve"> </w:t>
      </w:r>
      <w:hyperlink r:id="rId73">
        <w:r>
          <w:rPr>
            <w:rStyle w:val="Hyperlink"/>
          </w:rPr>
          <w:t xml:space="preserve">doi:10.1101/gr.074492.107</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59383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60" Target="http://doi.org/10.1038/ismej.2011.84" TargetMode="External" /><Relationship Type="http://schemas.openxmlformats.org/officeDocument/2006/relationships/hyperlink" Id="rId49" Target="http://doi.org/10.1038/ismej.2012.86" TargetMode="External" /><Relationship Type="http://schemas.openxmlformats.org/officeDocument/2006/relationships/hyperlink" Id="rId50" Target="http://doi.org/10.1038/ismej.2014.135" TargetMode="External" /><Relationship Type="http://schemas.openxmlformats.org/officeDocument/2006/relationships/hyperlink" Id="rId42" Target="http://doi.org/10.1038/ismej.2015.241" TargetMode="External" /><Relationship Type="http://schemas.openxmlformats.org/officeDocument/2006/relationships/hyperlink" Id="rId51" Target="http://doi.org/10.1038/nbt.1672" TargetMode="External" /><Relationship Type="http://schemas.openxmlformats.org/officeDocument/2006/relationships/hyperlink" Id="rId61" Target="http://doi.org/10.1038/nmeth.1226" TargetMode="External" /><Relationship Type="http://schemas.openxmlformats.org/officeDocument/2006/relationships/hyperlink" Id="rId44" Target="http://doi.org/10.1038/srep08365" TargetMode="External" /><Relationship Type="http://schemas.openxmlformats.org/officeDocument/2006/relationships/hyperlink" Id="rId43" Target="http://doi.org/10.1073/pnas.0806162105" TargetMode="External" /><Relationship Type="http://schemas.openxmlformats.org/officeDocument/2006/relationships/hyperlink" Id="rId58" Target="http://doi.org/10.1093/bioinformatics/19.2.270" TargetMode="External" /><Relationship Type="http://schemas.openxmlformats.org/officeDocument/2006/relationships/hyperlink" Id="rId59" Target="http://doi.org/10.1093/bioinformatics/btr507" TargetMode="External" /><Relationship Type="http://schemas.openxmlformats.org/officeDocument/2006/relationships/hyperlink" Id="rId53" Target="http://doi.org/10.1093/bioinformatics/bts611" TargetMode="External" /><Relationship Type="http://schemas.openxmlformats.org/officeDocument/2006/relationships/hyperlink" Id="rId71" Target="http://doi.org/10.1093/bioinformatics/btu033" TargetMode="External" /><Relationship Type="http://schemas.openxmlformats.org/officeDocument/2006/relationships/hyperlink" Id="rId56" Target="http://doi.org/10.1093/nar/gkh293" TargetMode="External" /><Relationship Type="http://schemas.openxmlformats.org/officeDocument/2006/relationships/hyperlink" Id="rId66" Target="http://doi.org/10.1093/nar/gks1219" TargetMode="External" /><Relationship Type="http://schemas.openxmlformats.org/officeDocument/2006/relationships/hyperlink" Id="rId72" Target="http://doi.org/10.1093/nar/gks479" TargetMode="External" /><Relationship Type="http://schemas.openxmlformats.org/officeDocument/2006/relationships/hyperlink" Id="rId68" Target="http://doi.org/10.1093/nar/gkt1097" TargetMode="External" /><Relationship Type="http://schemas.openxmlformats.org/officeDocument/2006/relationships/hyperlink" Id="rId55" Target="http://doi.org/10.1093/nar/gkt1178" TargetMode="External" /><Relationship Type="http://schemas.openxmlformats.org/officeDocument/2006/relationships/hyperlink" Id="rId64" Target="http://doi.org/10.1093/nar/gkt1226" TargetMode="External" /><Relationship Type="http://schemas.openxmlformats.org/officeDocument/2006/relationships/hyperlink" Id="rId62" Target="http://doi.org/10.1093/nar/gku1063" TargetMode="External" /><Relationship Type="http://schemas.openxmlformats.org/officeDocument/2006/relationships/hyperlink" Id="rId67" Target="http://doi.org/10.1093/nar/gkv1118" TargetMode="External" /><Relationship Type="http://schemas.openxmlformats.org/officeDocument/2006/relationships/hyperlink" Id="rId41" Target="http://doi.org/10.1101/002824" TargetMode="External" /><Relationship Type="http://schemas.openxmlformats.org/officeDocument/2006/relationships/hyperlink" Id="rId73" Target="http://doi.org/10.1101/gr.074492.107" TargetMode="External" /><Relationship Type="http://schemas.openxmlformats.org/officeDocument/2006/relationships/hyperlink" Id="rId54" Target="http://doi.org/10.1101/gr.1224503" TargetMode="External" /><Relationship Type="http://schemas.openxmlformats.org/officeDocument/2006/relationships/hyperlink" Id="rId65" Target="http://doi.org/10.1101/gr.186072.114.Freely" TargetMode="External" /><Relationship Type="http://schemas.openxmlformats.org/officeDocument/2006/relationships/hyperlink" Id="rId45" Target="http://doi.org/10.1101/gr.7337908" TargetMode="External" /><Relationship Type="http://schemas.openxmlformats.org/officeDocument/2006/relationships/hyperlink" Id="rId48" Target="http://doi.org/10.1111/mec.13319" TargetMode="External" /><Relationship Type="http://schemas.openxmlformats.org/officeDocument/2006/relationships/hyperlink" Id="rId63" Target="http://doi.org/10.1128/MMBR.00028-10" TargetMode="External" /><Relationship Type="http://schemas.openxmlformats.org/officeDocument/2006/relationships/hyperlink" Id="rId70" Target="http://doi.org/10.1186/1471-2105-8-64" TargetMode="External" /><Relationship Type="http://schemas.openxmlformats.org/officeDocument/2006/relationships/hyperlink" Id="rId57" Target="http://doi.org/10.1186/2047-217X-1-18" TargetMode="External" /><Relationship Type="http://schemas.openxmlformats.org/officeDocument/2006/relationships/hyperlink" Id="rId69" Target="http://doi.org/10.1186/2049-2618-2-17" TargetMode="External" /><Relationship Type="http://schemas.openxmlformats.org/officeDocument/2006/relationships/hyperlink" Id="rId47" Target="http://doi.org/10.1371/journal.pcbi.1002195" TargetMode="External" /><Relationship Type="http://schemas.openxmlformats.org/officeDocument/2006/relationships/hyperlink" Id="rId52" Target="http://doi.org/10.7717/peerj.1165" TargetMode="External" /><Relationship Type="http://schemas.openxmlformats.org/officeDocument/2006/relationships/hyperlink" Id="rId46" Target="http://doi.org/10.7717/peerj.243" TargetMode="External" /></Relationships>
</file>

<file path=word/_rels/footnotes.xml.rels><?xml version="1.0" encoding="UTF-8"?>
<Relationships xmlns="http://schemas.openxmlformats.org/package/2006/relationships"><Relationship Type="http://schemas.openxmlformats.org/officeDocument/2006/relationships/hyperlink" Id="rId60" Target="http://doi.org/10.1038/ismej.2011.84" TargetMode="External" /><Relationship Type="http://schemas.openxmlformats.org/officeDocument/2006/relationships/hyperlink" Id="rId49" Target="http://doi.org/10.1038/ismej.2012.86" TargetMode="External" /><Relationship Type="http://schemas.openxmlformats.org/officeDocument/2006/relationships/hyperlink" Id="rId50" Target="http://doi.org/10.1038/ismej.2014.135" TargetMode="External" /><Relationship Type="http://schemas.openxmlformats.org/officeDocument/2006/relationships/hyperlink" Id="rId42" Target="http://doi.org/10.1038/ismej.2015.241" TargetMode="External" /><Relationship Type="http://schemas.openxmlformats.org/officeDocument/2006/relationships/hyperlink" Id="rId51" Target="http://doi.org/10.1038/nbt.1672" TargetMode="External" /><Relationship Type="http://schemas.openxmlformats.org/officeDocument/2006/relationships/hyperlink" Id="rId61" Target="http://doi.org/10.1038/nmeth.1226" TargetMode="External" /><Relationship Type="http://schemas.openxmlformats.org/officeDocument/2006/relationships/hyperlink" Id="rId44" Target="http://doi.org/10.1038/srep08365" TargetMode="External" /><Relationship Type="http://schemas.openxmlformats.org/officeDocument/2006/relationships/hyperlink" Id="rId43" Target="http://doi.org/10.1073/pnas.0806162105" TargetMode="External" /><Relationship Type="http://schemas.openxmlformats.org/officeDocument/2006/relationships/hyperlink" Id="rId58" Target="http://doi.org/10.1093/bioinformatics/19.2.270" TargetMode="External" /><Relationship Type="http://schemas.openxmlformats.org/officeDocument/2006/relationships/hyperlink" Id="rId59" Target="http://doi.org/10.1093/bioinformatics/btr507" TargetMode="External" /><Relationship Type="http://schemas.openxmlformats.org/officeDocument/2006/relationships/hyperlink" Id="rId53" Target="http://doi.org/10.1093/bioinformatics/bts611" TargetMode="External" /><Relationship Type="http://schemas.openxmlformats.org/officeDocument/2006/relationships/hyperlink" Id="rId71" Target="http://doi.org/10.1093/bioinformatics/btu033" TargetMode="External" /><Relationship Type="http://schemas.openxmlformats.org/officeDocument/2006/relationships/hyperlink" Id="rId56" Target="http://doi.org/10.1093/nar/gkh293" TargetMode="External" /><Relationship Type="http://schemas.openxmlformats.org/officeDocument/2006/relationships/hyperlink" Id="rId66" Target="http://doi.org/10.1093/nar/gks1219" TargetMode="External" /><Relationship Type="http://schemas.openxmlformats.org/officeDocument/2006/relationships/hyperlink" Id="rId72" Target="http://doi.org/10.1093/nar/gks479" TargetMode="External" /><Relationship Type="http://schemas.openxmlformats.org/officeDocument/2006/relationships/hyperlink" Id="rId68" Target="http://doi.org/10.1093/nar/gkt1097" TargetMode="External" /><Relationship Type="http://schemas.openxmlformats.org/officeDocument/2006/relationships/hyperlink" Id="rId55" Target="http://doi.org/10.1093/nar/gkt1178" TargetMode="External" /><Relationship Type="http://schemas.openxmlformats.org/officeDocument/2006/relationships/hyperlink" Id="rId64" Target="http://doi.org/10.1093/nar/gkt1226" TargetMode="External" /><Relationship Type="http://schemas.openxmlformats.org/officeDocument/2006/relationships/hyperlink" Id="rId62" Target="http://doi.org/10.1093/nar/gku1063" TargetMode="External" /><Relationship Type="http://schemas.openxmlformats.org/officeDocument/2006/relationships/hyperlink" Id="rId67" Target="http://doi.org/10.1093/nar/gkv1118" TargetMode="External" /><Relationship Type="http://schemas.openxmlformats.org/officeDocument/2006/relationships/hyperlink" Id="rId41" Target="http://doi.org/10.1101/002824" TargetMode="External" /><Relationship Type="http://schemas.openxmlformats.org/officeDocument/2006/relationships/hyperlink" Id="rId73" Target="http://doi.org/10.1101/gr.074492.107" TargetMode="External" /><Relationship Type="http://schemas.openxmlformats.org/officeDocument/2006/relationships/hyperlink" Id="rId54" Target="http://doi.org/10.1101/gr.1224503" TargetMode="External" /><Relationship Type="http://schemas.openxmlformats.org/officeDocument/2006/relationships/hyperlink" Id="rId65" Target="http://doi.org/10.1101/gr.186072.114.Freely" TargetMode="External" /><Relationship Type="http://schemas.openxmlformats.org/officeDocument/2006/relationships/hyperlink" Id="rId45" Target="http://doi.org/10.1101/gr.7337908" TargetMode="External" /><Relationship Type="http://schemas.openxmlformats.org/officeDocument/2006/relationships/hyperlink" Id="rId48" Target="http://doi.org/10.1111/mec.13319" TargetMode="External" /><Relationship Type="http://schemas.openxmlformats.org/officeDocument/2006/relationships/hyperlink" Id="rId63" Target="http://doi.org/10.1128/MMBR.00028-10" TargetMode="External" /><Relationship Type="http://schemas.openxmlformats.org/officeDocument/2006/relationships/hyperlink" Id="rId70" Target="http://doi.org/10.1186/1471-2105-8-64" TargetMode="External" /><Relationship Type="http://schemas.openxmlformats.org/officeDocument/2006/relationships/hyperlink" Id="rId57" Target="http://doi.org/10.1186/2047-217X-1-18" TargetMode="External" /><Relationship Type="http://schemas.openxmlformats.org/officeDocument/2006/relationships/hyperlink" Id="rId69" Target="http://doi.org/10.1186/2049-2618-2-17" TargetMode="External" /><Relationship Type="http://schemas.openxmlformats.org/officeDocument/2006/relationships/hyperlink" Id="rId47" Target="http://doi.org/10.1371/journal.pcbi.1002195" TargetMode="External" /><Relationship Type="http://schemas.openxmlformats.org/officeDocument/2006/relationships/hyperlink" Id="rId52" Target="http://doi.org/10.7717/peerj.1165" TargetMode="External" /><Relationship Type="http://schemas.openxmlformats.org/officeDocument/2006/relationships/hyperlink" Id="rId46" Target="http://doi.org/10.7717/peerj.2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Sarahi L. Garcia2, Brittany S. Brown1, Jeffrey R. Dwulit-Smith1, Francisco Moya4, Ben O. Oyserman4, Sarah L.R. Stevens1, Stefan Bertilsson2, Katrina T. Forest1, Susannah G, Tringe3, Tanja Woyke3, and Katherine D. McMahon1,4,*</dc:creator>
</cp:coreProperties>
</file>