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lineage acI are among the most abundant, constituting upwards of 50% of the total bacteria in a variety of aquatic systems</w:t>
      </w:r>
      <w:r>
        <w:t xml:space="preserve"> </w:t>
      </w:r>
      <w:r>
        <w:t xml:space="preserve">(Zwart et al.</w:t>
      </w:r>
      <w:r>
        <w:t xml:space="preserve"> </w:t>
      </w:r>
      <w:hyperlink w:anchor="ref-Zwart1998">
        <w:r>
          <w:rPr>
            <w:rStyle w:val="Hyperlink"/>
          </w:rPr>
          <w:t xml:space="preserve">1998</w:t>
        </w:r>
      </w:hyperlink>
      <w:r>
        <w:t xml:space="preserve">,</w:t>
      </w:r>
      <w:r>
        <w:t xml:space="preserve"> </w:t>
      </w:r>
      <w:r>
        <w:t xml:space="preserve">Glöckner et al. (</w:t>
      </w:r>
      <w:hyperlink w:anchor="ref-Glockner2000">
        <w:r>
          <w:rPr>
            <w:rStyle w:val="Hyperlink"/>
          </w:rPr>
          <w:t xml:space="preserve">2000</w:t>
        </w:r>
      </w:hyperlink>
      <w:r>
        <w:t xml:space="preserve">)</w:t>
      </w:r>
      <w:r>
        <w:t xml:space="preserve">,</w:t>
      </w:r>
      <w:r>
        <w:t xml:space="preserve"> </w:t>
      </w:r>
      <w:r>
        <w:t xml:space="preserve">Zwart et al. (</w:t>
      </w:r>
      <w:hyperlink w:anchor="ref-Zwart2002">
        <w:r>
          <w:rPr>
            <w:rStyle w:val="Hyperlink"/>
          </w:rPr>
          <w:t xml:space="preserve">2002</w:t>
        </w:r>
      </w:hyperlink>
      <w:r>
        <w:t xml:space="preserve">)</w:t>
      </w:r>
      <w:r>
        <w:t xml:space="preserve">)</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Most fundamentally, the acI have been phylogenetically divided into three clades (A, B, and C) and thirteen tribes</w:t>
      </w:r>
      <w:r>
        <w:t xml:space="preserve"> </w:t>
      </w:r>
      <w:r>
        <w:t xml:space="preserve">(Newton et al.</w:t>
      </w:r>
      <w:r>
        <w:t xml:space="preserve"> </w:t>
      </w:r>
      <w:hyperlink w:anchor="ref-Newton2011a">
        <w:r>
          <w:rPr>
            <w:rStyle w:val="Hyperlink"/>
          </w:rPr>
          <w:t xml:space="preserve">2011</w:t>
        </w:r>
      </w:hyperlink>
      <w:r>
        <w:t xml:space="preserve">)</w:t>
      </w:r>
      <w:r>
        <w:t xml:space="preserve"> </w:t>
      </w:r>
      <w:r>
        <w:t xml:space="preserve">on the basis of their 16S rRNA gene sequences. Several studies have used fluorescent in situ hybridization (FISH) and catalyzed reporter deposition (CARD) or microautoradiography (MAR) to identify substrate uptake capabilities of the acI. These studies reveal that the acI are capable of consuming amino acids generally</w:t>
      </w:r>
      <w:r>
        <w:t xml:space="preserve"> </w:t>
      </w:r>
      <w:r>
        <w:t xml:space="preserve">(Salcher, Pernthaler, and Posch</w:t>
      </w:r>
      <w:r>
        <w:t xml:space="preserve"> </w:t>
      </w:r>
      <w:hyperlink w:anchor="ref-Salcher2010">
        <w:r>
          <w:rPr>
            <w:rStyle w:val="Hyperlink"/>
          </w:rPr>
          <w:t xml:space="preserve">2010</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the individual amino acids arginine, glutamate, glutamine, and leucine</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Pérez, Hörtnagl, and Sommaruga (</w:t>
      </w:r>
      <w:hyperlink w:anchor="ref-Perez2010">
        <w:r>
          <w:rPr>
            <w:rStyle w:val="Hyperlink"/>
          </w:rPr>
          <w:t xml:space="preserve">2010</w:t>
        </w:r>
      </w:hyperlink>
      <w:r>
        <w:t xml:space="preserve">)</w:t>
      </w:r>
      <w:r>
        <w:t xml:space="preserve">,</w:t>
      </w:r>
      <w:r>
        <w:t xml:space="preserve"> </w:t>
      </w:r>
      <w:r>
        <w:t xml:space="preserve">Salcher, Pernthaler, and Posch (</w:t>
      </w:r>
      <w:hyperlink w:anchor="ref-Salcher2010">
        <w:r>
          <w:rPr>
            <w:rStyle w:val="Hyperlink"/>
          </w:rPr>
          <w:t xml:space="preserve">2010</w:t>
        </w:r>
      </w:hyperlink>
      <w:r>
        <w:t xml:space="preserve">)</w:t>
      </w:r>
      <w:r>
        <w:t xml:space="preserve">,</w:t>
      </w:r>
      <w:r>
        <w:t xml:space="preserve"> </w:t>
      </w:r>
      <w:r>
        <w:t xml:space="preserve">Eckert et al. (</w:t>
      </w:r>
      <w:hyperlink w:anchor="ref-Eckert2012">
        <w:r>
          <w:rPr>
            <w:rStyle w:val="Hyperlink"/>
          </w:rPr>
          <w:t xml:space="preserve">2012</w:t>
        </w:r>
      </w:hyperlink>
      <w:r>
        <w:t xml:space="preserve">)</w:t>
      </w:r>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the saccharides glucose</w:t>
      </w:r>
      <w:r>
        <w:t xml:space="preserve"> </w:t>
      </w:r>
      <w:r>
        <w:t xml:space="preserve">(Buck et al.</w:t>
      </w:r>
      <w:r>
        <w:t xml:space="preserve"> </w:t>
      </w:r>
      <w:hyperlink w:anchor="ref-Buck2009">
        <w:r>
          <w:rPr>
            <w:rStyle w:val="Hyperlink"/>
          </w:rPr>
          <w:t xml:space="preserve">2009</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and N-acetylglucosamine (NAG) [</w:t>
      </w:r>
      <w:r>
        <w:t xml:space="preserve">Beier and Bertilsson (</w:t>
      </w:r>
      <w:hyperlink w:anchor="ref-Beier2011">
        <w:r>
          <w:rPr>
            <w:rStyle w:val="Hyperlink"/>
          </w:rPr>
          <w:t xml:space="preserve">2011</w:t>
        </w:r>
      </w:hyperlink>
      <w:r>
        <w:t xml:space="preserve">)</w:t>
      </w:r>
      <w:r>
        <w:t xml:space="preserve">,</w:t>
      </w:r>
      <w:r>
        <w:t xml:space="preserve"> </w:t>
      </w:r>
      <w:r>
        <w:t xml:space="preserve">Eckert et al. (</w:t>
      </w:r>
      <w:hyperlink w:anchor="ref-Eckert2012">
        <w:r>
          <w:rPr>
            <w:rStyle w:val="Hyperlink"/>
          </w:rPr>
          <w:t xml:space="preserve">2012</w:t>
        </w:r>
      </w:hyperlink>
      <w:r>
        <w:t xml:space="preserve">)</w:t>
      </w:r>
      <w:r>
        <w:t xml:space="preserve">,</w:t>
      </w:r>
      <w:r>
        <w:t xml:space="preserve"> </w:t>
      </w:r>
      <w:r>
        <w:t xml:space="preserve">Eckert et al. (</w:t>
      </w:r>
      <w:hyperlink w:anchor="ref-Eckert2013">
        <w:r>
          <w:rPr>
            <w:rStyle w:val="Hyperlink"/>
          </w:rPr>
          <w:t xml:space="preserve">2013</w:t>
        </w:r>
      </w:hyperlink>
      <w:r>
        <w:t xml:space="preserve">)</w:t>
      </w:r>
      <w:r>
        <w:t xml:space="preserve">; the deoxynucleoside thymidine</w:t>
      </w:r>
      <w:r>
        <w:t xml:space="preserve"> </w:t>
      </w:r>
      <w:r>
        <w:t xml:space="preserve">(Pérez, Hörtnagl, and Sommaruga</w:t>
      </w:r>
      <w:r>
        <w:t xml:space="preserve"> </w:t>
      </w:r>
      <w:hyperlink w:anchor="ref-Perez2010">
        <w:r>
          <w:rPr>
            <w:rStyle w:val="Hyperlink"/>
          </w:rPr>
          <w:t xml:space="preserve">2010</w:t>
        </w:r>
      </w:hyperlink>
      <w:r>
        <w:t xml:space="preserve">,</w:t>
      </w:r>
      <w:r>
        <w:t xml:space="preserve"> </w:t>
      </w:r>
      <w:r>
        <w:t xml:space="preserve">Salcher, Posch, and Pernthaler (</w:t>
      </w:r>
      <w:hyperlink w:anchor="ref-Salcher2013">
        <w:r>
          <w:rPr>
            <w:rStyle w:val="Hyperlink"/>
          </w:rPr>
          <w:t xml:space="preserve">2013</w:t>
        </w:r>
      </w:hyperlink>
      <w:r>
        <w:t xml:space="preserve">)</w:t>
      </w:r>
      <w:r>
        <w:t xml:space="preserve">)</w:t>
      </w:r>
      <w:r>
        <w:t xml:space="preserve">, and acetate</w:t>
      </w:r>
      <w:r>
        <w:t xml:space="preserve"> </w:t>
      </w:r>
      <w:r>
        <w:t xml:space="preserve">(Buck et al.</w:t>
      </w:r>
      <w:r>
        <w:t xml:space="preserve"> </w:t>
      </w:r>
      <w:hyperlink w:anchor="ref-Buck2009">
        <w:r>
          <w:rPr>
            <w:rStyle w:val="Hyperlink"/>
          </w:rPr>
          <w:t xml:space="preserve">2009</w:t>
        </w:r>
      </w:hyperlink>
      <w:r>
        <w:t xml:space="preserve">)</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Notably, to date, no genomes from clade acI-C have been included in these studies. These studies indicate both tribes are capable of consuming a wide array of N-containing compounds, including ammonium, branched-chain amino acids, polyamines, di-peptides, and cyanophycin</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with clade acI-A also capable of consuming oligopeptides</w:t>
      </w:r>
      <w:r>
        <w:t xml:space="preserve"> </w:t>
      </w:r>
      <w:r>
        <w:t xml:space="preserve">(Ghylin et al.</w:t>
      </w:r>
      <w:r>
        <w:t xml:space="preserve"> </w:t>
      </w:r>
      <w:hyperlink w:anchor="ref-Ghylin2014">
        <w:r>
          <w:rPr>
            <w:rStyle w:val="Hyperlink"/>
          </w:rPr>
          <w:t xml:space="preserve">2014</w:t>
        </w:r>
      </w:hyperlink>
      <w:r>
        <w:t xml:space="preserve">)</w:t>
      </w:r>
      <w:r>
        <w:t xml:space="preserve">. The lineage is also capable of consuming numerous saccharides, including the five-carbon sugars xylose, ribose, arabinose</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w:t>
      </w:r>
      <w:r>
        <w:t xml:space="preserve">as well as poly- and oligo-saccharides</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Notably, transporters for glucose and NAG have not yet been identified</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despite FISH studies showing uptake of those substrates. Clade acI-B is also predicted to consume sucrose and maltose</w:t>
      </w:r>
      <w:r>
        <w:t xml:space="preserve"> </w:t>
      </w:r>
      <w:r>
        <w:t xml:space="preserve">(Garcia et al.</w:t>
      </w:r>
      <w:r>
        <w:t xml:space="preserve"> </w:t>
      </w:r>
      <w:hyperlink w:anchor="ref-Garcia2015">
        <w:r>
          <w:rPr>
            <w:rStyle w:val="Hyperlink"/>
          </w:rPr>
          <w:t xml:space="preserve">2015</w:t>
        </w:r>
      </w:hyperlink>
      <w:r>
        <w:t xml:space="preserve">)</w:t>
      </w:r>
      <w:r>
        <w:t xml:space="preserve">; it also contains a chitinase for the breakdown of NAG</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Finally, the acI are predicted to contain the actinobacterial opsin protein actinorhodopsin</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Garcia et al. (</w:t>
      </w:r>
      <w:hyperlink w:anchor="ref-Garcia2014">
        <w:r>
          <w:rPr>
            <w:rStyle w:val="Hyperlink"/>
          </w:rPr>
          <w:t xml:space="preserve">2014</w:t>
        </w:r>
      </w:hyperlink>
      <w:r>
        <w:t xml:space="preserve">)</w:t>
      </w:r>
      <w:r>
        <w:t xml:space="preserve">,</w:t>
      </w:r>
      <w:r>
        <w:t xml:space="preserve"> </w:t>
      </w:r>
      <w:r>
        <w:t xml:space="preserve">Ghylin et al. (</w:t>
      </w:r>
      <w:hyperlink w:anchor="ref-Ghylin2014">
        <w:r>
          <w:rPr>
            <w:rStyle w:val="Hyperlink"/>
          </w:rPr>
          <w:t xml:space="preserve">2014</w:t>
        </w:r>
      </w:hyperlink>
      <w:r>
        <w:t xml:space="preserve">)</w:t>
      </w:r>
      <w:r>
        <w:t xml:space="preserve"> </w:t>
      </w:r>
      <w:r>
        <w:t xml:space="preserve">Garcia et al. (</w:t>
      </w:r>
      <w:hyperlink w:anchor="ref-Garcia2015">
        <w:r>
          <w:rPr>
            <w:rStyle w:val="Hyperlink"/>
          </w:rPr>
          <w:t xml:space="preserve">2015</w:t>
        </w:r>
      </w:hyperlink>
      <w:r>
        <w:t xml:space="preserve">)</w:t>
      </w:r>
      <w:r>
        <w:t xml:space="preserve">)</w:t>
      </w:r>
      <w:r>
        <w:t xml:space="preserve">, a light-harvesting transmembrane protein</w:t>
      </w:r>
      <w:r>
        <w:t xml:space="preserve"> </w:t>
      </w:r>
      <w:r>
        <w:t xml:space="preserve">(Sharma et al.</w:t>
      </w:r>
      <w:r>
        <w:t xml:space="preserve"> </w:t>
      </w:r>
      <w:hyperlink w:anchor="ref-Sharma2008">
        <w:r>
          <w:rPr>
            <w:rStyle w:val="Hyperlink"/>
          </w:rPr>
          <w:t xml:space="preserve">2008</w:t>
        </w:r>
      </w:hyperlink>
      <w:r>
        <w:t xml:space="preserve">,</w:t>
      </w:r>
      <w:r>
        <w:t xml:space="preserve"> </w:t>
      </w:r>
      <w:r>
        <w:t xml:space="preserve">Sharma et al. (</w:t>
      </w:r>
      <w:hyperlink w:anchor="ref-Sharma2009">
        <w:r>
          <w:rPr>
            <w:rStyle w:val="Hyperlink"/>
          </w:rPr>
          <w:t xml:space="preserve">2009</w:t>
        </w:r>
      </w:hyperlink>
      <w:r>
        <w:t xml:space="preserve">)</w:t>
      </w:r>
      <w:r>
        <w:t xml:space="preserve">)</w:t>
      </w:r>
      <w:r>
        <w:t xml:space="preserve">, as well as the complete pathway for the biosynthesis of its cofactor retinal</w:t>
      </w:r>
      <w:r>
        <w:t xml:space="preserve"> </w:t>
      </w:r>
      <w:r>
        <w:t xml:space="preserve">(Ghylin et al.</w:t>
      </w:r>
      <w:r>
        <w:t xml:space="preserve"> </w:t>
      </w:r>
      <w:hyperlink w:anchor="ref-Ghylin2014">
        <w:r>
          <w:rPr>
            <w:rStyle w:val="Hyperlink"/>
          </w:rPr>
          <w:t xml:space="preserve">2014</w:t>
        </w:r>
      </w:hyperlink>
      <w:r>
        <w:t xml:space="preserve">)</w:t>
      </w:r>
      <w:r>
        <w:t xml:space="preserve">.</w:t>
      </w:r>
    </w:p>
    <w:p>
      <w:pPr>
        <w:pStyle w:val="BodyText"/>
      </w:pPr>
      <w:r>
        <w:t xml:space="preserve">Finally, a recent study has predicted a number of auxotrophies in a metagenome-assembled genome,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 et al.</w:t>
      </w:r>
      <w:r>
        <w:t xml:space="preserve"> </w:t>
      </w:r>
      <w:hyperlink w:anchor="ref-Garcia2015">
        <w:r>
          <w:rPr>
            <w:rStyle w:val="Hyperlink"/>
          </w:rPr>
          <w:t xml:space="preserve">2015</w:t>
        </w:r>
      </w:hyperlink>
      <w:r>
        <w:t xml:space="preserve">)</w:t>
      </w:r>
      <w:r>
        <w:t xml:space="preserve">.</w:t>
      </w:r>
    </w:p>
    <w:p>
      <w:pPr>
        <w:pStyle w:val="BodyText"/>
      </w:pPr>
      <w:r>
        <w:t xml:space="preserve">These metabolic reconstructions all assume that an organism’s genome content says something about its ecology, an assumption underlying the emerging paradigm of reverse ecology</w:t>
      </w:r>
      <w:r>
        <w:t xml:space="preserve"> </w:t>
      </w:r>
      <w:r>
        <w:t xml:space="preserve">(</w:t>
      </w:r>
      <w:r>
        <w:rPr>
          <w:b/>
        </w:rPr>
        <w:t xml:space="preserve">???</w:t>
      </w:r>
      <w:r>
        <w:t xml:space="preserve">)</w:t>
      </w:r>
      <w:r>
        <w:t xml:space="preserve">. While metabolic reconstructions represent a common entry point to reverse ecological analyses, other approaches take cues from systems biology, focusing not just on the</w:t>
      </w:r>
      <w:r>
        <w:t xml:space="preserve"> </w:t>
      </w:r>
      <w:r>
        <w:t xml:space="preserve">“</w:t>
      </w:r>
      <w:r>
        <w:t xml:space="preserve">parts</w:t>
      </w:r>
      <w:r>
        <w:t xml:space="preserve">”</w:t>
      </w:r>
      <w:r>
        <w:t xml:space="preserve"> </w:t>
      </w:r>
      <w:r>
        <w:t xml:space="preserve">(genes) encoded in the genome, but on the way those parts come together and interact</w:t>
      </w:r>
      <w:r>
        <w:t xml:space="preserve"> </w:t>
      </w:r>
      <w:r>
        <w:t xml:space="preserve">(</w:t>
      </w:r>
      <w:r>
        <w:rPr>
          <w:b/>
        </w:rPr>
        <w:t xml:space="preserve">???</w:t>
      </w:r>
      <w:r>
        <w:t xml:space="preserve">)</w:t>
      </w:r>
      <w:r>
        <w:t xml:space="preserve">. In particular, this approach to reverse ecology analyzes genomes in terms of their metabolic networks with a focus on their topological properties. One such property is an organism’s</w:t>
      </w:r>
      <w:r>
        <w:t xml:space="preserve"> </w:t>
      </w:r>
      <w:r>
        <w:t xml:space="preserve">“</w:t>
      </w:r>
      <w:r>
        <w:t xml:space="preserve">seed set,</w:t>
      </w:r>
      <w:r>
        <w:t xml:space="preserve">”</w:t>
      </w:r>
      <w:r>
        <w:t xml:space="preserve"> </w:t>
      </w:r>
      <w:r>
        <w:t xml:space="preserve">the set of compounds that an organism cannot synthesize and must exogenously acquire from its environment</w:t>
      </w:r>
      <w:r>
        <w:t xml:space="preserve"> </w:t>
      </w:r>
      <w:r>
        <w:t xml:space="preserve">(Borenstein et al.</w:t>
      </w:r>
      <w:r>
        <w:t xml:space="preserve"> </w:t>
      </w:r>
      <w:hyperlink w:anchor="ref-Borenstein2008">
        <w:r>
          <w:rPr>
            <w:rStyle w:val="Hyperlink"/>
          </w:rPr>
          <w:t xml:space="preserve">2008</w:t>
        </w:r>
      </w:hyperlink>
      <w:r>
        <w:t xml:space="preserve">)</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analyzes of the acI lineage trough such a reverse ecological approach. We re-analyze previously-described acI genomes, as well as six additional single-cell genomes (SAGs) and 15 metagenome-assembled genomes (MAGs), including for the first time genomes from the acI-C clade. For this analysis, we have developed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present the first metatranscriptomic analysis of gene expression across the three acI clades. These data show that the acI express a diverse array of transporters at a high level,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3" w:name="materials-and-methods"/>
      <w:bookmarkEnd w:id="23"/>
      <w:r>
        <w:t xml:space="preserve">Materials and Methods</w:t>
      </w:r>
    </w:p>
    <w:p>
      <w:pPr>
        <w:pStyle w:val="Heading2"/>
      </w:pPr>
      <w:bookmarkStart w:id="24" w:name="single-cell-genome-generation-selection-and-sequencing"/>
      <w:bookmarkEnd w:id="24"/>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Garcia et al. (</w:t>
      </w:r>
      <w:hyperlink w:anchor="ref-Garcia2013">
        <w:r>
          <w:rPr>
            <w:rStyle w:val="Hyperlink"/>
          </w:rPr>
          <w:t xml:space="preserve">2013</w:t>
        </w:r>
      </w:hyperlink>
      <w:r>
        <w:t xml:space="preserve">)</w:t>
      </w:r>
      <w:r>
        <w:t xml:space="preserve">)</w:t>
      </w:r>
      <w:r>
        <w:t xml:space="preserve">. Partial 16S rRNA genes amplified previously</w:t>
      </w:r>
      <w:r>
        <w:t xml:space="preserve"> </w:t>
      </w:r>
      <w:r>
        <w:t xml:space="preserve">(Martinez-Garcia et al.</w:t>
      </w:r>
      <w:r>
        <w:t xml:space="preserve"> </w:t>
      </w:r>
      <w:hyperlink w:anchor="ref-Martinez-Garcia2012">
        <w:r>
          <w:rPr>
            <w:rStyle w:val="Hyperlink"/>
          </w:rPr>
          <w:t xml:space="preserve">2012</w:t>
        </w:r>
      </w:hyperlink>
      <w:r>
        <w:t xml:space="preserve">)</w:t>
      </w:r>
      <w:r>
        <w:t xml:space="preserve"> </w:t>
      </w:r>
      <w:r>
        <w:t xml:space="preserve">were phylogenetically classified using a controlled nomenclature for freshwater bacteria</w:t>
      </w:r>
      <w:r>
        <w:t xml:space="preserve"> </w:t>
      </w:r>
      <w:r>
        <w:t xml:space="preserve">(Newton et al.</w:t>
      </w:r>
      <w:r>
        <w:t xml:space="preserve"> </w:t>
      </w:r>
      <w:hyperlink w:anchor="ref-Newton2011a">
        <w:r>
          <w:rPr>
            <w:rStyle w:val="Hyperlink"/>
          </w:rPr>
          <w:t xml:space="preserve">2011</w:t>
        </w:r>
      </w:hyperlink>
      <w:r>
        <w:t xml:space="preserve">)</w:t>
      </w:r>
      <w:r>
        <w:t xml:space="preserve"> </w:t>
      </w:r>
      <w:r>
        <w:t xml:space="preserve">by insertion into references trees created in the ARB software package</w:t>
      </w:r>
      <w:r>
        <w:t xml:space="preserve"> </w:t>
      </w:r>
      <w:r>
        <w:t xml:space="preserve">(Ludwig et al.</w:t>
      </w:r>
      <w:r>
        <w:t xml:space="preserve"> </w:t>
      </w:r>
      <w:hyperlink w:anchor="ref-Ludwig2004">
        <w:r>
          <w:rPr>
            <w:rStyle w:val="Hyperlink"/>
          </w:rPr>
          <w:t xml:space="preserve">2004</w:t>
        </w:r>
      </w:hyperlink>
      <w:r>
        <w:t xml:space="preserve">)</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w:t>
      </w:r>
      <w:r>
        <w:t xml:space="preserve"> </w:t>
      </w:r>
      <w:hyperlink w:anchor="ref-Ghylin2014">
        <w:r>
          <w:rPr>
            <w:rStyle w:val="Hyperlink"/>
          </w:rPr>
          <w:t xml:space="preserve">2014</w:t>
        </w:r>
      </w:hyperlink>
      <w:r>
        <w:t xml:space="preserve">)</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w:t>
      </w:r>
      <w:hyperlink w:anchor="ref-Zerbino2008">
        <w:r>
          <w:rPr>
            <w:rStyle w:val="Hyperlink"/>
          </w:rPr>
          <w:t xml:space="preserve">2008</w:t>
        </w:r>
      </w:hyperlink>
      <w:r>
        <w:t xml:space="preserve">)</w:t>
      </w:r>
      <w:r>
        <w:t xml:space="preserve"> </w:t>
      </w:r>
      <w:r>
        <w:t xml:space="preserve">and ALLPATHS-LG</w:t>
      </w:r>
      <w:r>
        <w:t xml:space="preserve"> </w:t>
      </w:r>
      <w:r>
        <w:t xml:space="preserve">(Butler et al.</w:t>
      </w:r>
      <w:r>
        <w:t xml:space="preserve"> </w:t>
      </w:r>
      <w:hyperlink w:anchor="ref-Butler2008">
        <w:r>
          <w:rPr>
            <w:rStyle w:val="Hyperlink"/>
          </w:rPr>
          <w:t xml:space="preserve">2008</w:t>
        </w:r>
      </w:hyperlink>
      <w:r>
        <w:t xml:space="preserve">)</w:t>
      </w:r>
      <w:r>
        <w:t xml:space="preserve">. Additional details of the assembly process have been previously described</w:t>
      </w:r>
      <w:r>
        <w:t xml:space="preserve"> </w:t>
      </w:r>
      <w:r>
        <w:t xml:space="preserve">(Ghylin et al.</w:t>
      </w:r>
      <w:r>
        <w:t xml:space="preserve"> </w:t>
      </w:r>
      <w:hyperlink w:anchor="ref-Ghylin2014">
        <w:r>
          <w:rPr>
            <w:rStyle w:val="Hyperlink"/>
          </w:rPr>
          <w:t xml:space="preserve">2014</w:t>
        </w:r>
      </w:hyperlink>
      <w:r>
        <w:t xml:space="preserve">)</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DNA was extracted from these filters using the FastDNA kit (MP Biomedicals) and sent to the JGI for sequencing,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w:t>
      </w:r>
      <w:r>
        <w:t xml:space="preserve"> </w:t>
      </w:r>
      <w:hyperlink w:anchor="ref-Magoc2011">
        <w:r>
          <w:rPr>
            <w:rStyle w:val="Hyperlink"/>
          </w:rPr>
          <w:t xml:space="preserve">2011</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Merged reads were pooled by lake and layer into three co-assemblies using SOAPdenovo</w:t>
      </w:r>
      <w:r>
        <w:t xml:space="preserve"> </w:t>
      </w:r>
      <w:r>
        <w:t xml:space="preserve">(Luo et al.</w:t>
      </w:r>
      <w:r>
        <w:t xml:space="preserve"> </w:t>
      </w:r>
      <w:hyperlink w:anchor="ref-Luo2012a">
        <w:r>
          <w:rPr>
            <w:rStyle w:val="Hyperlink"/>
          </w:rPr>
          <w:t xml:space="preserve">2012</w:t>
        </w:r>
      </w:hyperlink>
      <w:r>
        <w:t xml:space="preserve">)</w:t>
      </w:r>
      <w:r>
        <w:t xml:space="preserve">, and contigs from the resulting assemblies were assembled into a final assembly using Minimus</w:t>
      </w:r>
      <w:r>
        <w:t xml:space="preserve"> </w:t>
      </w:r>
      <w:r>
        <w:t xml:space="preserve">(Sommer et al.</w:t>
      </w:r>
      <w:r>
        <w:t xml:space="preserve"> </w:t>
      </w:r>
      <w:hyperlink w:anchor="ref-Sommer2007">
        <w:r>
          <w:rPr>
            <w:rStyle w:val="Hyperlink"/>
          </w:rPr>
          <w:t xml:space="preserve">2007</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(Kang et al.</w:t>
      </w:r>
      <w:r>
        <w:t xml:space="preserve"> </w:t>
      </w:r>
      <w:hyperlink w:anchor="ref-Kang2015">
        <w:r>
          <w:rPr>
            <w:rStyle w:val="Hyperlink"/>
          </w:rPr>
          <w:t xml:space="preserve">2015</w:t>
        </w:r>
      </w:hyperlink>
      <w:r>
        <w:t xml:space="preserve">)</w:t>
      </w:r>
      <w:r>
        <w:t xml:space="preserve">, as described previously</w:t>
      </w:r>
      <w:r>
        <w:t xml:space="preserve"> </w:t>
      </w:r>
      <w:r>
        <w:t xml:space="preserve">(Bendall et al.</w:t>
      </w:r>
      <w:r>
        <w:t xml:space="preserve"> </w:t>
      </w:r>
      <w:hyperlink w:anchor="ref-Bendall2016">
        <w:r>
          <w:rPr>
            <w:rStyle w:val="Hyperlink"/>
          </w:rPr>
          <w:t xml:space="preserve">2016</w:t>
        </w:r>
      </w:hyperlink>
      <w:r>
        <w:t xml:space="preserve">)</w:t>
      </w:r>
      <w:r>
        <w:t xml:space="preserve">. Briefly, contigs were classified into bins using tetranucleotide frequency and coverage patterns across the time-series and then manually curated,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 Genome sequences are available through IMG (https://img.jgi.doe.gov/cgi-bin/mer/main.cgi). Genomes were classified using taxonomic assignments from a set of 37 highly-conserved single-copy marker genes using Phylosift</w:t>
      </w:r>
      <w:r>
        <w:t xml:space="preserve"> </w:t>
      </w:r>
      <w:r>
        <w:t xml:space="preserve">(Darling et al.</w:t>
      </w:r>
      <w:r>
        <w:t xml:space="preserve"> </w:t>
      </w:r>
      <w:hyperlink w:anchor="ref-Darling2014">
        <w:r>
          <w:rPr>
            <w:rStyle w:val="Hyperlink"/>
          </w:rPr>
          <w:t xml:space="preserve">2014</w:t>
        </w:r>
      </w:hyperlink>
      <w:r>
        <w:t xml:space="preserve">)</w:t>
      </w:r>
      <w:r>
        <w:t xml:space="preserve">, as previously described</w:t>
      </w:r>
      <w:r>
        <w:t xml:space="preserve"> </w:t>
      </w:r>
      <w:r>
        <w:t xml:space="preserve">(Bendall et al.</w:t>
      </w:r>
      <w:r>
        <w:t xml:space="preserve"> </w:t>
      </w:r>
      <w:hyperlink w:anchor="ref-Bendall2016">
        <w:r>
          <w:rPr>
            <w:rStyle w:val="Hyperlink"/>
          </w:rPr>
          <w:t xml:space="preserve">2016</w:t>
        </w:r>
      </w:hyperlink>
      <w:r>
        <w:t xml:space="preserve">)</w:t>
      </w:r>
      <w:r>
        <w:t xml:space="preserve">.</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w:t>
      </w:r>
      <w:r>
        <w:t xml:space="preserve"> </w:t>
      </w:r>
      <w:hyperlink w:anchor="ref-Satinsky2014a">
        <w:r>
          <w:rPr>
            <w:rStyle w:val="Hyperlink"/>
          </w:rPr>
          <w:t xml:space="preserve">2014</w:t>
        </w:r>
      </w:hyperlink>
      <w:r>
        <w:t xml:space="preserve">)</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merged using FLASH</w:t>
      </w:r>
      <w:r>
        <w:t xml:space="preserve"> </w:t>
      </w:r>
      <w:r>
        <w:t xml:space="preserve">(Magoc and Salzberg</w:t>
      </w:r>
      <w:r>
        <w:t xml:space="preserve"> </w:t>
      </w:r>
      <w:hyperlink w:anchor="ref-Magoc2011">
        <w:r>
          <w:rPr>
            <w:rStyle w:val="Hyperlink"/>
          </w:rPr>
          <w:t xml:space="preserve">2011</w:t>
        </w:r>
      </w:hyperlink>
      <w:r>
        <w:t xml:space="preserve">)</w:t>
      </w:r>
      <w:r>
        <w:t xml:space="preserve"> </w:t>
      </w:r>
      <w:r>
        <w:t xml:space="preserve">using default parameters. Finally, additional rRNA and ncRNA sequences were removed using SortMeRNA</w:t>
      </w:r>
      <w:r>
        <w:t xml:space="preserve"> </w:t>
      </w:r>
      <w:r>
        <w:t xml:space="preserve">(Kopylova, Noe, and Touzet</w:t>
      </w:r>
      <w:r>
        <w:t xml:space="preserve"> </w:t>
      </w:r>
      <w:hyperlink w:anchor="ref-Kopylova2012">
        <w:r>
          <w:rPr>
            <w:rStyle w:val="Hyperlink"/>
          </w:rPr>
          <w:t xml:space="preserve">2012</w:t>
        </w:r>
      </w:hyperlink>
      <w:r>
        <w:t xml:space="preserve">)</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w:t>
      </w:r>
      <w:r>
        <w:t xml:space="preserve"> </w:t>
      </w:r>
      <w:hyperlink w:anchor="ref-Quast2013">
        <w:r>
          <w:rPr>
            <w:rStyle w:val="Hyperlink"/>
          </w:rPr>
          <w:t xml:space="preserve">2013</w:t>
        </w:r>
      </w:hyperlink>
      <w:r>
        <w:t xml:space="preserve">)</w:t>
      </w:r>
      <w:r>
        <w:t xml:space="preserve"> </w:t>
      </w:r>
      <w:r>
        <w:t xml:space="preserve">and RFAM</w:t>
      </w:r>
      <w:r>
        <w:t xml:space="preserve"> </w:t>
      </w:r>
      <w:r>
        <w:t xml:space="preserve">(Nawrocki et al.</w:t>
      </w:r>
      <w:r>
        <w:t xml:space="preserve"> </w:t>
      </w:r>
      <w:hyperlink w:anchor="ref-Nawrocki2015">
        <w:r>
          <w:rPr>
            <w:rStyle w:val="Hyperlink"/>
          </w:rPr>
          <w:t xml:space="preserve">2015</w:t>
        </w:r>
      </w:hyperlink>
      <w:r>
        <w:t xml:space="preserve">)</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Actinobacterial MAGs forming a monophyletic group with the acI SAGs were deemed acI MAGs.</w:t>
      </w:r>
    </w:p>
    <w:p>
      <w:pPr>
        <w:pStyle w:val="Heading2"/>
      </w:pPr>
      <w:bookmarkStart w:id="28" w:name="genome-completeness-and-phylogenetic-relationships"/>
      <w:bookmarkEnd w:id="28"/>
      <w:r>
        <w:t xml:space="preserve">Genome Completeness and Phylogenetic Relationships</w:t>
      </w:r>
    </w:p>
    <w:p>
      <w:pPr>
        <w:pStyle w:val="FirstParagraph"/>
      </w:pPr>
      <w:r>
        <w:t xml:space="preserve">CheckM</w:t>
      </w:r>
      <w:r>
        <w:t xml:space="preserve"> </w:t>
      </w:r>
      <w:r>
        <w:t xml:space="preserve">(Parks et al.</w:t>
      </w:r>
      <w:r>
        <w:t xml:space="preserve"> </w:t>
      </w:r>
      <w:hyperlink w:anchor="ref-Parks2015">
        <w:r>
          <w:rPr>
            <w:rStyle w:val="Hyperlink"/>
          </w:rPr>
          <w:t xml:space="preserve">2015</w:t>
        </w:r>
      </w:hyperlink>
      <w:r>
        <w:t xml:space="preserve">)</w:t>
      </w:r>
      <w:r>
        <w:t xml:space="preserve"> </w:t>
      </w:r>
      <w:r>
        <w:t xml:space="preserve">was used to estimate genome completeness based on 204 single-copy marker genes conserved across the phylum Actinobacteria. Phylogenetic analysis of Actinobacterial SAGs and MAGs was performed using a concatenated alignment of single-copy marker genes obtained via Phylosift</w:t>
      </w:r>
      <w:r>
        <w:t xml:space="preserve"> </w:t>
      </w:r>
      <w:r>
        <w:t xml:space="preserve">(Darling et al.</w:t>
      </w:r>
      <w:r>
        <w:t xml:space="preserve"> </w:t>
      </w:r>
      <w:hyperlink w:anchor="ref-Darling2014">
        <w:r>
          <w:rPr>
            <w:rStyle w:val="Hyperlink"/>
          </w:rPr>
          <w:t xml:space="preserve">2014</w:t>
        </w:r>
      </w:hyperlink>
      <w:r>
        <w:t xml:space="preserve">)</w:t>
      </w:r>
      <w:r>
        <w:t xml:space="preserve">. Maximum likelihood trees were generated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using the automatic protein model assignment option (PROTGAMMAAUTO) and 100 bootstraps.</w:t>
      </w:r>
    </w:p>
    <w:p>
      <w:pPr>
        <w:pStyle w:val="Heading2"/>
      </w:pPr>
      <w:bookmarkStart w:id="29" w:name="metabolic-network-reconstruction-and-reverse-ecology"/>
      <w:bookmarkEnd w:id="29"/>
      <w:r>
        <w:t xml:space="preserve">Metabolic Network Reconstruction and Reverse Ecology</w:t>
      </w:r>
    </w:p>
    <w:p>
      <w:pPr>
        <w:pStyle w:val="Heading3"/>
      </w:pPr>
      <w:bookmarkStart w:id="30" w:name="genome-annotation-and-model-processing"/>
      <w:bookmarkEnd w:id="30"/>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w:t>
      </w:r>
      <w:r>
        <w:t xml:space="preserve"> </w:t>
      </w:r>
      <w:hyperlink w:anchor="ref-Brettin2015">
        <w:r>
          <w:rPr>
            <w:rStyle w:val="Hyperlink"/>
          </w:rPr>
          <w:t xml:space="preserve">2015</w:t>
        </w:r>
      </w:hyperlink>
      <w:r>
        <w:t xml:space="preserve">,</w:t>
      </w:r>
      <w:r>
        <w:t xml:space="preserve"> </w:t>
      </w:r>
      <w:r>
        <w:t xml:space="preserve">Overbeek et al. (</w:t>
      </w:r>
      <w:hyperlink w:anchor="ref-Overbeek2014">
        <w:r>
          <w:rPr>
            <w:rStyle w:val="Hyperlink"/>
          </w:rPr>
          <w:t xml:space="preserve">2014</w:t>
        </w:r>
      </w:hyperlink>
      <w:r>
        <w:t xml:space="preserve">)</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w:t>
      </w:r>
      <w:r>
        <w:t xml:space="preserve"> </w:t>
      </w:r>
      <w:hyperlink w:anchor="ref-Henry2010a">
        <w:r>
          <w:rPr>
            <w:rStyle w:val="Hyperlink"/>
          </w:rPr>
          <w:t xml:space="preserve">2010</w:t>
        </w:r>
      </w:hyperlink>
      <w:r>
        <w:t xml:space="preserve">)</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(H. Ma and Zeng</w:t>
      </w:r>
      <w:r>
        <w:t xml:space="preserve"> </w:t>
      </w:r>
      <w:hyperlink w:anchor="ref-Ma2003">
        <w:r>
          <w:rPr>
            <w:rStyle w:val="Hyperlink"/>
          </w:rPr>
          <w:t xml:space="preserve">2003</w:t>
        </w:r>
      </w:hyperlink>
      <w:r>
        <w:t xml:space="preserve">)</w:t>
      </w:r>
      <w:r>
        <w:t xml:space="preserve">. Finally, the network model was converted to a metabolic network graph, in which nodes denote compounds and edges denote reactions. A directed edge from compound</w:t>
      </w:r>
      <w:r>
        <w:t xml:space="preserve"> </w:t>
      </w:r>
      <w:r>
        <w:rPr>
          <w:i/>
        </w:rPr>
        <w:t xml:space="preserve">a</w:t>
      </w:r>
      <w:r>
        <w:t xml:space="preserve"> </w:t>
      </w:r>
      <w:r>
        <w:t xml:space="preserve">to compound</w:t>
      </w:r>
      <w:r>
        <w:t xml:space="preserve"> </w:t>
      </w:r>
      <w:r>
        <w:rPr>
          <w:i/>
        </w:rPr>
        <w:t xml:space="preserve">b</w:t>
      </w:r>
      <w:r>
        <w:t xml:space="preserve"> </w:t>
      </w:r>
      <w:r>
        <w:t xml:space="preserve">means that</w:t>
      </w:r>
      <w:r>
        <w:t xml:space="preserve"> </w:t>
      </w:r>
      <w:r>
        <w:rPr>
          <w:i/>
        </w:rPr>
        <w:t xml:space="preserve">a</w:t>
      </w:r>
      <w:r>
        <w:t xml:space="preserve"> </w:t>
      </w:r>
      <w:r>
        <w:t xml:space="preserve">is a substrate in a reaction which produces</w:t>
      </w:r>
      <w:r>
        <w:t xml:space="preserve"> </w:t>
      </w:r>
      <w:r>
        <w:rPr>
          <w:i/>
        </w:rPr>
        <w:t xml:space="preserve">b</w:t>
      </w:r>
      <w:r>
        <w:t xml:space="preserve">. Supplemental Figure 2 illustrates process by which a genome gets converted to a pruned metabolic network graph, for a genome containing only glycolysis.</w:t>
      </w:r>
    </w:p>
    <w:p>
      <w:pPr>
        <w:pStyle w:val="BodyText"/>
      </w:pPr>
      <w:r>
        <w:t xml:space="preserve">Finally, all genome-level metabolic network graphs for a single acI clade were combined to generate a composite clade-level metabolic network graph for that clade.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 Figure 3A shows metabolic network graphs for three acI-C genomes, and Figure 3B shows the composite metabolic network graph for clade acI-C.</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w:t>
      </w:r>
      <w:r>
        <w:t xml:space="preserve"> </w:t>
      </w:r>
      <w:hyperlink w:anchor="ref-Borenstein2008">
        <w:r>
          <w:rPr>
            <w:rStyle w:val="Hyperlink"/>
          </w:rPr>
          <w:t xml:space="preserve">2008</w:t>
        </w:r>
      </w:hyperlink>
      <w:r>
        <w:t xml:space="preserve">)</w:t>
      </w:r>
      <w:r>
        <w:t xml:space="preserve">. Briefly, the metabolic network is decomposed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Supplemental Figure 3 illustrates this process for a simple network containing only glycolysis, and Figure 3B shows seed compounds for clade acI-C. Finally, all predicted seed compounds were manually evaluated to identify those which may be biologically meaningful. Examples are given in the Results section.</w:t>
      </w:r>
    </w:p>
    <w:p>
      <w:pPr>
        <w:pStyle w:val="Heading3"/>
      </w:pPr>
      <w:bookmarkStart w:id="32" w:name="re-annotation-of-peptidases-and-glycoside-hydrolases"/>
      <w:bookmarkEnd w:id="32"/>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w:t>
      </w:r>
      <w:r>
        <w:t xml:space="preserve"> </w:t>
      </w:r>
      <w:hyperlink w:anchor="ref-Rawlings2015">
        <w:r>
          <w:rPr>
            <w:rStyle w:val="Hyperlink"/>
          </w:rPr>
          <w:t xml:space="preserve">2015</w:t>
        </w:r>
      </w:hyperlink>
      <w:r>
        <w:t xml:space="preserve">)</w:t>
      </w:r>
      <w:r>
        <w:t xml:space="preserve">. Glycoside hydrolases were first annotated using dbCAN</w:t>
      </w:r>
      <w:r>
        <w:t xml:space="preserve"> </w:t>
      </w:r>
      <w:r>
        <w:t xml:space="preserve">(Yin et al.</w:t>
      </w:r>
      <w:r>
        <w:t xml:space="preserve"> </w:t>
      </w:r>
      <w:hyperlink w:anchor="ref-Yin2012">
        <w:r>
          <w:rPr>
            <w:rStyle w:val="Hyperlink"/>
          </w:rPr>
          <w:t xml:space="preserve">2012</w:t>
        </w:r>
      </w:hyperlink>
      <w:r>
        <w:t xml:space="preserve">)</w:t>
      </w:r>
      <w:r>
        <w:t xml:space="preserve"> </w:t>
      </w:r>
      <w:r>
        <w:t xml:space="preserve">to assign these genes to glycoside hydrolase families, as defined in the Carbohydrate-Active enZYmes Database CAZY</w:t>
      </w:r>
      <w:r>
        <w:t xml:space="preserve"> </w:t>
      </w:r>
      <w:r>
        <w:t xml:space="preserve">(Lombard et al.</w:t>
      </w:r>
      <w:r>
        <w:t xml:space="preserve"> </w:t>
      </w:r>
      <w:hyperlink w:anchor="ref-Lombard2014">
        <w:r>
          <w:rPr>
            <w:rStyle w:val="Hyperlink"/>
          </w:rPr>
          <w:t xml:space="preserve">2014</w:t>
        </w:r>
      </w:hyperlink>
      <w:r>
        <w:t xml:space="preserve">)</w:t>
      </w:r>
      <w:r>
        <w:t xml:space="preserve">. Hidden Markov Models for these sub-families were then downloaded from dbCAN, and HMMER3</w:t>
      </w:r>
      <w:r>
        <w:t xml:space="preserve"> </w:t>
      </w:r>
      <w:r>
        <w:t xml:space="preserve">(Eddy</w:t>
      </w:r>
      <w:r>
        <w:t xml:space="preserve"> </w:t>
      </w:r>
      <w:hyperlink w:anchor="ref-Eddy2011">
        <w:r>
          <w:rPr>
            <w:rStyle w:val="Hyperlink"/>
          </w:rPr>
          <w:t xml:space="preserve">2011</w:t>
        </w:r>
      </w:hyperlink>
      <w:r>
        <w:t xml:space="preserve">)</w:t>
      </w:r>
      <w:r>
        <w:t xml:space="preserve"> </w:t>
      </w:r>
      <w:r>
        <w:t xml:space="preserve">was used to assign these genes to individual sub-families using default parameters. Re-annotated peptidases and glycoside hydrolases are given in Supplementary Tables S2 and S3, respectively.</w:t>
      </w:r>
    </w:p>
    <w:p>
      <w:pPr>
        <w:pStyle w:val="Heading2"/>
      </w:pPr>
      <w:bookmarkStart w:id="33" w:name="integrating-reverse-ecology-with-metatranscriptomics"/>
      <w:bookmarkEnd w:id="33"/>
      <w:r>
        <w:t xml:space="preserve">Integrating Reverse Ecology with Metatranscriptomics</w:t>
      </w:r>
    </w:p>
    <w:p>
      <w:pPr>
        <w:pStyle w:val="Heading3"/>
      </w:pPr>
      <w:bookmarkStart w:id="34" w:name="protein-clustering-metatranscriptomic-mapping-and-clade-level-gene-expression"/>
      <w:bookmarkEnd w:id="34"/>
      <w:r>
        <w:t xml:space="preserve">Protein Clustering, Metatranscriptomic Mapping, and Clade-Level Gene Expression</w:t>
      </w:r>
    </w:p>
    <w:p>
      <w:pPr>
        <w:pStyle w:val="FirstParagraph"/>
      </w:pPr>
      <w:r>
        <w:t xml:space="preserve">OrthoMCL</w:t>
      </w:r>
      <w:r>
        <w:t xml:space="preserve"> </w:t>
      </w:r>
      <w:r>
        <w:t xml:space="preserve">(Li, Stoeckert, and Roos</w:t>
      </w:r>
      <w:r>
        <w:t xml:space="preserve"> </w:t>
      </w:r>
      <w:hyperlink w:anchor="ref-Li2003">
        <w:r>
          <w:rPr>
            <w:rStyle w:val="Hyperlink"/>
          </w:rPr>
          <w:t xml:space="preserve">2003</w:t>
        </w:r>
      </w:hyperlink>
      <w:r>
        <w:t xml:space="preserve">)</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ambig=all</w:t>
      </w:r>
      <w:r>
        <w:t xml:space="preserve"> </w:t>
      </w:r>
      <w:r>
        <w:t xml:space="preserve">and</w:t>
      </w:r>
      <w:r>
        <w:t xml:space="preserve"> </w:t>
      </w:r>
      <w:r>
        <w:rPr>
          <w:rStyle w:val="VerbatimChar"/>
        </w:rPr>
        <w:t xml:space="preserve">minid=0.85</w:t>
      </w:r>
      <w:r>
        <w:t xml:space="preserve"> </w:t>
      </w:r>
      <w:r>
        <w:t xml:space="preserve">options. With this command, reads are allowed to map equally well to multiple sites. An 85% percent identity cutoff was chosen as it minimizes the percent of reads which map to multiple sites.</w:t>
      </w:r>
    </w:p>
    <w:p>
      <w:pPr>
        <w:pStyle w:val="BodyText"/>
      </w:pPr>
      <w:r>
        <w:t xml:space="preserve">Next, a custom implementation of HTSeq-Count</w:t>
      </w:r>
      <w:r>
        <w:t xml:space="preserve"> </w:t>
      </w:r>
      <w:r>
        <w:t xml:space="preserve">(Anders, Pyl, and Huber</w:t>
      </w:r>
      <w:r>
        <w:t xml:space="preserve"> </w:t>
      </w:r>
      <w:hyperlink w:anchor="ref-Anders2014">
        <w:r>
          <w:rPr>
            <w:rStyle w:val="Hyperlink"/>
          </w:rPr>
          <w:t xml:space="preserve">2014</w:t>
        </w:r>
      </w:hyperlink>
      <w:r>
        <w:t xml:space="preserve">)</w:t>
      </w:r>
      <w:r>
        <w:t xml:space="preserve"> </w:t>
      </w:r>
      <w:r>
        <w:t xml:space="preserve">was used to count the total number of reads which map to each (genome, gene) pairing. Any read which mapped to multiple sites within the collection of acI genomes was discarded. Using the COGs identified by OrthoMCL, the total number of reads which map to each (clade, COG) pairing was then counted. This gives a measure of gene expression for the clade-level composite genome. Because ambiguous reads were discarded after mapping, this measure of gene expression provides an underestimate of the true expression level.</w:t>
      </w:r>
    </w:p>
    <w:p>
      <w:pPr>
        <w:pStyle w:val="BodyText"/>
      </w:pPr>
      <w:r>
        <w:t xml:space="preserve">For each clade, read counts were then normalized by sequencing depth and ORF length and expressed on a reads per kilobase million (RPKM) basis</w:t>
      </w:r>
      <w:r>
        <w:t xml:space="preserve"> </w:t>
      </w:r>
      <w:r>
        <w:t xml:space="preserve">(Mortazavi et al.</w:t>
      </w:r>
      <w:r>
        <w:t xml:space="preserve"> </w:t>
      </w:r>
      <w:hyperlink w:anchor="ref-Mortazavi2008">
        <w:r>
          <w:rPr>
            <w:rStyle w:val="Hyperlink"/>
          </w:rPr>
          <w:t xml:space="preserve">2008</w:t>
        </w:r>
      </w:hyperlink>
      <w:r>
        <w:t xml:space="preserve">)</w:t>
      </w:r>
      <w:r>
        <w:t xml:space="preserve">, while accounting for different ORF lengths within a COG. RPKM counts were averaged across the four metatranscriptomes to give the average expression across a 24-hour period. Finally, within each clade, the percentile rank expression for each COG was calculated. Figure 3C shows the calculated RPKM values for clade acI-C, along with the presence/absence of each COG in three acI-C genomes.</w:t>
      </w:r>
    </w:p>
    <w:p>
      <w:pPr>
        <w:pStyle w:val="Heading3"/>
      </w:pPr>
      <w:bookmarkStart w:id="35" w:name="re-annotation-of-transporter-genes"/>
      <w:bookmarkEnd w:id="35"/>
      <w:r>
        <w:t xml:space="preserve">Re-annotation of Transporter Genes</w:t>
      </w:r>
    </w:p>
    <w:p>
      <w:pPr>
        <w:pStyle w:val="FirstParagraph"/>
      </w:pPr>
      <w:r>
        <w:t xml:space="preserve">Many highly-expressed genes were annotated as transport proteins, and these proteins were re-annotated to assign function to COGs identified by OrthoMCL. Protein sequences were BLASTed against the TCDB reference database</w:t>
      </w:r>
      <w:r>
        <w:t xml:space="preserve"> </w:t>
      </w:r>
      <w:r>
        <w:t xml:space="preserve">(Saier et al.</w:t>
      </w:r>
      <w:r>
        <w:t xml:space="preserve"> </w:t>
      </w:r>
      <w:hyperlink w:anchor="ref-Saier2014">
        <w:r>
          <w:rPr>
            <w:rStyle w:val="Hyperlink"/>
          </w:rPr>
          <w:t xml:space="preserve">2014</w:t>
        </w:r>
      </w:hyperlink>
      <w:r>
        <w:t xml:space="preserve">)</w:t>
      </w:r>
      <w:r>
        <w:t xml:space="preserve"> </w:t>
      </w:r>
      <w:r>
        <w:t xml:space="preserve">using</w:t>
      </w:r>
      <w:r>
        <w:t xml:space="preserve"> </w:t>
      </w:r>
      <w:r>
        <w:rPr>
          <w:rStyle w:val="VerbatimChar"/>
        </w:rPr>
        <w:t xml:space="preserve">blastp</w:t>
      </w:r>
      <w:r>
        <w:t xml:space="preserve"> </w:t>
      </w:r>
      <w:r>
        <w:t xml:space="preserve">and given the annotation of the best-BLAST hit. If a COG contained genes with multiple annotations, the majority annotation was selected for that COG. Examples are given in the Results section.</w:t>
      </w:r>
    </w:p>
    <w:p>
      <w:pPr>
        <w:pStyle w:val="Heading2"/>
      </w:pPr>
      <w:bookmarkStart w:id="36" w:name="availability-of-data-and-materials"/>
      <w:bookmarkEnd w:id="36"/>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https://github.com/joshamilton/reverseEcologyMS.</w:t>
      </w:r>
    </w:p>
    <w:p>
      <w:pPr>
        <w:pStyle w:val="Heading1"/>
      </w:pPr>
      <w:bookmarkStart w:id="37" w:name="results"/>
      <w:bookmarkEnd w:id="37"/>
      <w:r>
        <w:t xml:space="preserve">Results</w:t>
      </w:r>
    </w:p>
    <w:p>
      <w:pPr>
        <w:pStyle w:val="Heading2"/>
      </w:pPr>
      <w:bookmarkStart w:id="38" w:name="genome-statistics-and-phylogenetic-affiliation"/>
      <w:bookmarkEnd w:id="38"/>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 et al.</w:t>
      </w:r>
      <w:r>
        <w:t xml:space="preserve"> </w:t>
      </w:r>
      <w:hyperlink w:anchor="ref-Garcia2013">
        <w:r>
          <w:rPr>
            <w:rStyle w:val="Hyperlink"/>
          </w:rPr>
          <w:t xml:space="preserve">2013</w:t>
        </w:r>
      </w:hyperlink>
      <w:r>
        <w:t xml:space="preserve">,</w:t>
      </w:r>
      <w:r>
        <w:t xml:space="preserve"> </w:t>
      </w:r>
      <w:r>
        <w:t xml:space="preserve">Ghylin et al. (</w:t>
      </w:r>
      <w:hyperlink w:anchor="ref-Ghylin2014">
        <w:r>
          <w:rPr>
            <w:rStyle w:val="Hyperlink"/>
          </w:rPr>
          <w:t xml:space="preserve">2014</w:t>
        </w:r>
      </w:hyperlink>
      <w:r>
        <w:t xml:space="preserve">)</w:t>
      </w:r>
      <w:r>
        <w:t xml:space="preserve">)</w:t>
      </w:r>
      <w:r>
        <w:t xml:space="preserve">, come from four temperate lakes in the United States and Europe, while the MAGs come from two temperate lakes in the United States (15 MAGs, nine of which have been previously-described</w:t>
      </w:r>
      <w:r>
        <w:t xml:space="preserve"> </w:t>
      </w:r>
      <w:r>
        <w:t xml:space="preserve">(Bendall et al.</w:t>
      </w:r>
      <w:r>
        <w:t xml:space="preserve"> </w:t>
      </w:r>
      <w:hyperlink w:anchor="ref-Bendall2016">
        <w:r>
          <w:rPr>
            <w:rStyle w:val="Hyperlink"/>
          </w:rPr>
          <w:t xml:space="preserve">2016</w:t>
        </w:r>
      </w:hyperlink>
      <w:r>
        <w:t xml:space="preserve">)</w:t>
      </w:r>
      <w:r>
        <w:t xml:space="preserve">), Spanish and American reservoirs (three MAGs</w:t>
      </w:r>
      <w:r>
        <w:t xml:space="preserve"> </w:t>
      </w:r>
      <w:r>
        <w:t xml:space="preserve">(Ghai et al.</w:t>
      </w:r>
      <w:r>
        <w:t xml:space="preserve"> </w:t>
      </w:r>
      <w:hyperlink w:anchor="ref-Ghai2014">
        <w:r>
          <w:rPr>
            <w:rStyle w:val="Hyperlink"/>
          </w:rPr>
          <w:t xml:space="preserve">2014</w:t>
        </w:r>
      </w:hyperlink>
      <w:r>
        <w:t xml:space="preserve">,</w:t>
      </w:r>
      <w:r>
        <w:t xml:space="preserve"> </w:t>
      </w:r>
      <w:r>
        <w:t xml:space="preserve">Tsementzi et al. (</w:t>
      </w:r>
      <w:hyperlink w:anchor="ref-Tsementzi2014">
        <w:r>
          <w:rPr>
            <w:rStyle w:val="Hyperlink"/>
          </w:rPr>
          <w:t xml:space="preserve">2014</w:t>
        </w:r>
      </w:hyperlink>
      <w:r>
        <w:t xml:space="preserve">)</w:t>
      </w:r>
      <w:r>
        <w:t xml:space="preserve">)</w:t>
      </w:r>
      <w:r>
        <w:t xml:space="preserve">), and a mixed culture from a European temperate lake</w:t>
      </w:r>
      <w:r>
        <w:t xml:space="preserve"> </w:t>
      </w:r>
      <w:r>
        <w:t xml:space="preserve">(Garcia et al.</w:t>
      </w:r>
      <w:r>
        <w:t xml:space="preserve"> </w:t>
      </w:r>
      <w:hyperlink w:anchor="ref-Garcia2015">
        <w:r>
          <w:rPr>
            <w:rStyle w:val="Hyperlink"/>
          </w:rPr>
          <w:t xml:space="preserve">2015</w:t>
        </w:r>
      </w:hyperlink>
      <w:r>
        <w:t xml:space="preserve">)</w:t>
      </w:r>
      <w:r>
        <w:t xml:space="preserve">. The full list of genomes is given in Table 1.</w:t>
      </w:r>
    </w:p>
    <w:p>
      <w:pPr>
        <w:pStyle w:val="BodyText"/>
      </w:pPr>
      <w:r>
        <w:t xml:space="preserve">A phylogenetic tree of these genomes is shown in Figure 1. The acI lineage has previously been shown to contain three distinct clades</w:t>
      </w:r>
      <w:r>
        <w:t xml:space="preserve"> </w:t>
      </w:r>
      <w:r>
        <w:t xml:space="preserve">(Newton et al.</w:t>
      </w:r>
      <w:r>
        <w:t xml:space="preserve"> </w:t>
      </w:r>
      <w:hyperlink w:anchor="ref-Newton2011a">
        <w:r>
          <w:rPr>
            <w:rStyle w:val="Hyperlink"/>
          </w:rPr>
          <w:t xml:space="preserve">2011</w:t>
        </w:r>
      </w:hyperlink>
      <w:r>
        <w:t xml:space="preserve">)</w:t>
      </w:r>
      <w:r>
        <w:t xml:space="preserve">, and our concatenated gene tree recapitulates this topology.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w:t>
      </w:r>
      <w:r>
        <w:t xml:space="preserve"> </w:t>
      </w:r>
      <w:r>
        <w:t xml:space="preserve">(REFs, Ghai, McMahon, and Rodriguez-Valera</w:t>
      </w:r>
      <w:r>
        <w:t xml:space="preserve"> </w:t>
      </w:r>
      <w:hyperlink w:anchor="ref-Ghai2012">
        <w:r>
          <w:rPr>
            <w:rStyle w:val="Hyperlink"/>
          </w:rPr>
          <w:t xml:space="preserve">2012</w:t>
        </w:r>
      </w:hyperlink>
      <w:r>
        <w:t xml:space="preserve">)</w:t>
      </w:r>
      <w:r>
        <w:t xml:space="preserve">. Estimated genome size and GC content of clade acI-C were not statistically different from clades acI-A and acI-B.</w:t>
      </w:r>
    </w:p>
    <w:p>
      <w:pPr>
        <w:pStyle w:val="Heading2"/>
      </w:pPr>
      <w:bookmarkStart w:id="39" w:name="estimated-completeness-of-tribe--and-clade-level-composite-genomes"/>
      <w:bookmarkEnd w:id="39"/>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 et al.</w:t>
      </w:r>
      <w:r>
        <w:t xml:space="preserve"> </w:t>
      </w:r>
      <w:hyperlink w:anchor="ref-Borenstein2008">
        <w:r>
          <w:rPr>
            <w:rStyle w:val="Hyperlink"/>
          </w:rPr>
          <w:t xml:space="preserve">2008</w:t>
        </w:r>
      </w:hyperlink>
      <w:r>
        <w:t xml:space="preserve">)</w:t>
      </w:r>
      <w:r>
        <w:t xml:space="preserve">, and the number of false positives is approximately equal to the incompleteness of the network</w:t>
      </w:r>
      <w:r>
        <w:t xml:space="preserve"> </w:t>
      </w:r>
      <w:r>
        <w:t xml:space="preserve">(Borenstein et al.</w:t>
      </w:r>
      <w:r>
        <w:t xml:space="preserve"> </w:t>
      </w:r>
      <w:hyperlink w:anchor="ref-Borenstein2008">
        <w:r>
          <w:rPr>
            <w:rStyle w:val="Hyperlink"/>
          </w:rPr>
          <w:t xml:space="preserve">2008</w:t>
        </w:r>
      </w:hyperlink>
      <w:r>
        <w:t xml:space="preserve">)</w:t>
      </w:r>
      <w:r>
        <w:t xml:space="preserve">.</w:t>
      </w:r>
    </w:p>
    <w:p>
      <w:pPr>
        <w:pStyle w:val="BodyText"/>
      </w:pPr>
      <w:r>
        <w:t xml:space="preserve">Using conserved single-copy marker genes</w:t>
      </w:r>
      <w:r>
        <w:t xml:space="preserve"> </w:t>
      </w:r>
      <w:r>
        <w:t xml:space="preserve">(Parks et al.</w:t>
      </w:r>
      <w:r>
        <w:t xml:space="preserve"> </w:t>
      </w:r>
      <w:hyperlink w:anchor="ref-Parks2015">
        <w:r>
          <w:rPr>
            <w:rStyle w:val="Hyperlink"/>
          </w:rPr>
          <w:t xml:space="preserve">2015</w:t>
        </w:r>
      </w:hyperlink>
      <w:r>
        <w:t xml:space="preserve">)</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0" w:name="protein-clustering-and-metatranscriptomics"/>
      <w:bookmarkEnd w:id="40"/>
      <w:r>
        <w:t xml:space="preserve">Protein Clustering and Metatranscriptomics</w:t>
      </w:r>
    </w:p>
    <w:p>
      <w:pPr>
        <w:pStyle w:val="FirstParagraph"/>
      </w:pPr>
      <w:r>
        <w:t xml:space="preserve">OrthoMCL identified a total of 5013 protein clusters across the three clades (Table S8). Of these, 1078 represent core genes, defined as present in at least one genome belonging to that clade.</w:t>
      </w:r>
    </w:p>
    <w:p>
      <w:pPr>
        <w:pStyle w:val="Compact"/>
        <w:numPr>
          <w:numId w:val="1001"/>
          <w:ilvl w:val="0"/>
        </w:numPr>
      </w:pPr>
      <w:r>
        <w:t xml:space="preserve">read recruiting - % of MG/MT reads which map to acI reference genome collections (still need to map the MGs)</w:t>
      </w:r>
    </w:p>
    <w:p>
      <w:pPr>
        <w:pStyle w:val="Compact"/>
        <w:numPr>
          <w:numId w:val="1001"/>
          <w:ilvl w:val="0"/>
        </w:numPr>
      </w:pPr>
      <w:r>
        <w:t xml:space="preserve">what does this say about…</w:t>
      </w:r>
    </w:p>
    <w:p>
      <w:pPr>
        <w:pStyle w:val="Compact"/>
        <w:numPr>
          <w:numId w:val="1001"/>
          <w:ilvl w:val="0"/>
        </w:numPr>
      </w:pPr>
      <w:r>
        <w:t xml:space="preserve">are acI active or dormant?</w:t>
      </w:r>
    </w:p>
    <w:p>
      <w:pPr>
        <w:pStyle w:val="Compact"/>
        <w:numPr>
          <w:numId w:val="1001"/>
          <w:ilvl w:val="0"/>
        </w:numPr>
      </w:pPr>
      <w:r>
        <w:t xml:space="preserve">quality of our reference genomes wrt conditions that day?</w:t>
      </w:r>
    </w:p>
    <w:p>
      <w:pPr>
        <w:pStyle w:val="Heading2"/>
      </w:pPr>
      <w:bookmarkStart w:id="41" w:name="a-workflow-for-high-throughput-reverse-ecological-analysis-of-metabolic-networks"/>
      <w:bookmarkEnd w:id="41"/>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To recap, unannotated contigs are converted to metabolic network reconstructions using KBase. The reconstructions are then converted to metabolic network graphs (Supplemental Figure S2) and combined to give composite metabolic network graphs for each clade (Figure 3). Seed compounds are then computed for each clade, using its composite metabolic network graph (Figure 3, Supplemental Figure S3).</w:t>
      </w:r>
    </w:p>
    <w:p>
      <w:pPr>
        <w:pStyle w:val="BodyText"/>
      </w:pPr>
      <w:r>
        <w:t xml:space="preserve">Metabolic network reconstructions for the acI genomes contained between 110 and 339 genes, encoding between 241 and 587 reactions which interconvert between 374 and 699 metabolites. On average, these genes account for 25% of the genes in the genome, a value consistent with metabolic network reconstructions for other organisms. Clade-level composite metabolic network graphs were considerably larger, with between 602 and 811 metabolites.</w:t>
      </w:r>
    </w:p>
    <w:p>
      <w:pPr>
        <w:pStyle w:val="BodyText"/>
      </w:pPr>
      <w:r>
        <w:t xml:space="preserve">These composite metabolic network graphs contained a large number of disconnected components (groups of nodes that are not connected to the bulk of the network, Supplemental Figure S4). For simplicity, these components were dropped from the graph, and seed compounds were computed for the single largest component. In all cases, the single largest component contained at least 80% of the nodes in the original graph.</w:t>
      </w:r>
    </w:p>
    <w:p>
      <w:pPr>
        <w:pStyle w:val="BodyText"/>
      </w:pPr>
      <w:r>
        <w:t xml:space="preserve">Decomposition of composite metabolic network graphs into their SCCs resulted in a bow-tie structure, in which a single giant component contains a substantial fraction of the compounds (Supplemental Figure S4). Across the three clades, the giant component contained 61% of the metabolites, a substantially larger fraction than reported for other organisms</w:t>
      </w:r>
      <w:r>
        <w:t xml:space="preserve"> </w:t>
      </w:r>
      <w:r>
        <w:t xml:space="preserve">(H. W. Ma and Zeng</w:t>
      </w:r>
      <w:r>
        <w:t xml:space="preserve"> </w:t>
      </w:r>
      <w:hyperlink w:anchor="ref-Ma2003a">
        <w:r>
          <w:rPr>
            <w:rStyle w:val="Hyperlink"/>
          </w:rPr>
          <w:t xml:space="preserve">2003</w:t>
        </w:r>
      </w:hyperlink>
      <w:r>
        <w:t xml:space="preserve">)</w:t>
      </w:r>
      <w:r>
        <w:t xml:space="preserve">.</w:t>
      </w:r>
    </w:p>
    <w:p>
      <w:pPr>
        <w:pStyle w:val="BodyText"/>
      </w:pPr>
      <w:r>
        <w:t xml:space="preserve">The total number of predicted seed sets (source components in the SCC decomposition) ranged from 63 to 95, and the number of seed compounds ranged from 70 to 102. This discrepency arises because some seed sets contain multiple compounds (an example is discussed below). However, such seed sets were rare (4% of all seed sets), and contained at most six compounds. The majority of seed compounds (96%) belonged to seed sets containing only a single compound. A total of 125 unique seed compounds were identified across the three clades, and a complete list can be found in Supplementary Table S9.</w:t>
      </w:r>
    </w:p>
    <w:p>
      <w:pPr>
        <w:pStyle w:val="Heading2"/>
      </w:pPr>
      <w:bookmarkStart w:id="42" w:name="evaluation-of-potential-seed-compounds"/>
      <w:bookmarkEnd w:id="42"/>
      <w:r>
        <w:t xml:space="preserve">Evaluation of Potential Seed Compounds</w:t>
      </w:r>
    </w:p>
    <w:p>
      <w:pPr>
        <w:pStyle w:val="FirstParagraph"/>
      </w:pPr>
      <w:r>
        <w:t xml:space="preserve">Seed compounds were predicted using the results of an automated annotation pipeline, and as such are likely to contain inaccuracies [REF]. As a result, we screened the set of predicted seed compounds to identify those which represented biologically plausible auxotrophies and degradation capabilities. This subset of seed compounds were then manually curated. Supplemental Tables S2 and S3 contain the final set of proposed auxotrophies and degradation capabilities, respectively, for clades acI-A, B, and C. Here, we present a series of brief vignettes explaining why compounds were retained or discarded discarded as biologically plausible.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this compound a seed compound. Manual inspection of individual genomes revealed the gene for carbamoylphosphate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and other such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aspartate semialdehyde dehydrogenase: L-aspartyl-4-phosphate --&gt; L-Aspartate-4-semialdehyde</w:t>
      </w:r>
      <w:r>
        <w:br w:type="textWrapping"/>
      </w:r>
      <w:r>
        <w:rPr>
          <w:rStyle w:val="VerbatimChar"/>
        </w:rPr>
        <w:t xml:space="preserve">homoserine dehydrogenase: L-Aspartate-4-semialdehyde --&gt; homoserine</w:t>
      </w:r>
    </w:p>
    <w:p>
      <w:pPr>
        <w:pStyle w:val="FirstParagraph"/>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route:</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2"/>
      </w:pPr>
      <w:bookmarkStart w:id="43" w:name="auxotrophies-and-degradation-capabilities-of-the-aci-lineage"/>
      <w:bookmarkEnd w:id="43"/>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(Vitamin B5, also known as pantothenic acid, is a precursor to coenzyme A formed from beta-alanine and pantoate). In bacteria, beta-alanine is typically synthesized via the decarboxylation of aspartate [REF], and we were unable to identify a candidate gene for this enzyme in any acI genome (Supplemental Table S3). Pyridoxine phosphate and pyridoxamine phosphate (forms of Vitamin B6) were also predicted to be seed compounds, and numerous enzymes in the biosynthesis of these compounds were undetected in the genomes (Supplemental Table S3). Vitamin B6 serve as cofactors for numerous metabolic enzymes [REF], which were detected in all three acI clades.</w:t>
      </w:r>
    </w:p>
    <w:p>
      <w:pPr>
        <w:pStyle w:val="BodyText"/>
      </w:pPr>
      <w:r>
        <w:t xml:space="preserve">Clades within the acI lineage also exhibited distinct auxotrophies. Clade acI-A was predicted to be auxotrophic for the cofactor tetrahydrofolate (THF), and numerous enzymes for its biosynthesis were missing (Supplemental Table S3).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trans-hydroxy proline, and acI-B was additionally predicted to degrade glycine betaine.</w:t>
      </w:r>
      <w:r>
        <w:t xml:space="preserve"> </w:t>
      </w:r>
      <w:r>
        <w:rPr>
          <w:b/>
        </w:rPr>
        <w:t xml:space="preserve">These compounds relate to the ecology of acI…</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(Supplemental Tables S4 and S5), despite the narrow substrate range reflected by the reactions assigned by KBase.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w:t>
      </w:r>
      <w:r>
        <w:t xml:space="preserve"> </w:t>
      </w:r>
      <w:r>
        <w:rPr>
          <w:b/>
        </w:rPr>
        <w:t xml:space="preserve">Compare to MAR-FISH and genomic studies.</w:t>
      </w:r>
      <w:r>
        <w:t xml:space="preserve"> </w:t>
      </w:r>
      <w:r>
        <w:t xml:space="preserve">The genes for these two enzymes were also highly expressed, being above the 78th percentile for gene expression in all three clades. Additionally, all three clades were predicted to encode an alpha-glucosidase, which was expressed above the 65th percentile in all three clades. Clades acI-A and C also encode an additional alpha-glucosidase and an alpha-amylase.</w:t>
      </w:r>
    </w:p>
    <w:p>
      <w:pPr>
        <w:pStyle w:val="BodyText"/>
      </w:pPr>
      <w:r>
        <w:t xml:space="preserve">Furthermore, these two clades encode an alpha-galactosidase and an enzyme which could be a beta-glucosidase, beta-galactosidase, or a beta-D-fucosidase.</w:t>
      </w:r>
      <w:r>
        <w:t xml:space="preserve"> </w:t>
      </w:r>
      <w:r>
        <w:rPr>
          <w:b/>
        </w:rPr>
        <w:t xml:space="preserve">Compare to MAR-FISH and genomic studies.</w:t>
      </w:r>
      <w:r>
        <w:t xml:space="preserve"> </w:t>
      </w:r>
      <w:r>
        <w:t xml:space="preserve">With the exception of the alpha-galactosidase, these enzymes were more highly expressed in clade acI-A than in acI-C, being expressed above the 73rd percentile instead of the 15th. The alpha-galactosidase was expressed approximately equally in the two clades, around the 67th percentile for gene expression.</w:t>
      </w:r>
    </w:p>
    <w:p>
      <w:pPr>
        <w:pStyle w:val="BodyText"/>
      </w:pPr>
      <w:r>
        <w:t xml:space="preserve">In the aggregate, these results suggest the acI lineage is capable of degrading a diverse array of peptides and polysaccharides, such as polyamine, spermidine, and</w:t>
      </w:r>
      <w:r>
        <w:t xml:space="preserve"> </w:t>
      </w:r>
      <w:r>
        <w:rPr>
          <w:b/>
        </w:rPr>
        <w:t xml:space="preserve">some polysaccharides that are abundant in lakes</w:t>
      </w:r>
      <w:r>
        <w:t xml:space="preserve">, which are all known to be abundant in freshwater ecosystems [REFs].</w:t>
      </w:r>
    </w:p>
    <w:p>
      <w:pPr>
        <w:pStyle w:val="Heading2"/>
      </w:pPr>
      <w:bookmarkStart w:id="44" w:name="compounds-transported-by-the-aci-lineage"/>
      <w:bookmarkEnd w:id="44"/>
      <w:r>
        <w:t xml:space="preserve">Compounds Transported by the acI Lineage</w:t>
      </w:r>
    </w:p>
    <w:p>
      <w:pPr>
        <w:pStyle w:val="FirstParagraph"/>
      </w:pPr>
      <w:r>
        <w:t xml:space="preserve">All acI clades encode for and express a diverse array of transporters (Figure 5 and Supplementary Table S6). Consistent with the presence of intra- and extra-cellular peptidases, all clades express numerous genes for the transport of peptides and amino acids, including at least one oligopeptide transporter, two branched-chain amino acid transporters, and a transporter for the polyamines spermidine and putrescine. Additionally, clades acI-A and B contain an additional di-peptide transporter, clades acI-A and C contain a transporter for basic amino acids (including lysine, for which acI-C is auxotrophic), and clade acI-A contains a transporter for glycine betaine. All clades also contain a transporter for ammonium. Of these, the ammonium, branched-chain amino acid, polyamine, and oligopeptide transporters are among the most highly expressed in these genomes, often above the 90th percentile of all expressed genes.</w:t>
      </w:r>
    </w:p>
    <w:p>
      <w:pPr>
        <w:pStyle w:val="BodyText"/>
      </w:pPr>
      <w:r>
        <w:t xml:space="preserve">All clades also strongly express transporters consistent with the presence of glycoside hydrolases, including a glucoside transporter and transporters for the sugars maltose (a dimer of glucose), xylose, and ribose (both aldopentoses). All three clades also express a transporter for N-acetyl-glucosamine (a derivative of glucose), though this transporter is not expressed as highly as the other saccharide transporters.</w:t>
      </w:r>
    </w:p>
    <w:p>
      <w:pPr>
        <w:pStyle w:val="BodyText"/>
      </w:pPr>
      <w:r>
        <w:t xml:space="preserve">The acI lineage also encodes for and expresses a number of transporters which do not have corresponding seed compounds, including transporters for nucleosides, pyrimidines, and the purine derivatives guanine and hypoxanthine. Clades acI-A and B contain a generic purine transporter, as well as a tricarboxylate transporter. With the exception of the purine transporter, these are also all highly expressed. Clade acI-A expresses a transporter for Vitamins B7 (the cofactor biotin), and clades acI-A and C express a transporter for Vitamin B12 (the cofactor cobalamin). Oddly,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 [REF]. In all clades, actinorhodopsin is among the top three most highly-expressed genes in that clade (Supplementary Table S10).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Heading1"/>
      </w:pPr>
      <w:bookmarkStart w:id="45" w:name="discussion"/>
      <w:bookmarkEnd w:id="45"/>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di- and oligopeptides. Notably, while all three clades contain peptidases which act on di-peptides, only clades acI-A and B contained a transporter for them. However, because our composite acI-C genome was predicted to be incomplete, we cannot state for certain that this transporter is truly absent. Finally, clades acI-A and C contain a transporter for other amino acids, which may act on the amino acids arginine, glutamate, glutamine which have been observed to be taken up in FISH studies.</w:t>
      </w:r>
    </w:p>
    <w:p>
      <w:pPr>
        <w:pStyle w:val="BodyText"/>
      </w:pPr>
      <w:r>
        <w:t xml:space="preserve">Furthermore, we confirm the ability of all three clades to consume the five-carbon sugars xylose and ribose, as well as the six-carbon sugar maltose (previously thought to be restricted to clade acI-B). All three clades also contain both a glycoside hydrolase and a transporter capable of acting on alpha-glucosides, and we have also identified a transporter for N-acetylglucosamine. Notably, a transporter for glucose monomers remains undetected. Furthermore, we identify additional hydrolases capable of acting on beta-glucosides, and alpha- and beta-galactosides in clades acI-A and acI-C, enzymes which had previously been detected only in clade acI-A.</w:t>
      </w:r>
    </w:p>
    <w:p>
      <w:pPr>
        <w:pStyle w:val="BodyText"/>
      </w:pPr>
      <w:r>
        <w:t xml:space="preserve">We also identified transporters for nucleosides (which may explain observed uptake of thymidine), pyrimidines, and the purine derivatives guanine and hypoxanthine. Clades acI-A and B contain a generic purine transporter, as well as a tricarboxylate transporter. Finally, all clades within the acI contain actinorhodopsin and the complete retinal biosynthesis pathway. The exception seems to be clade acI-C, which is missing the beta-carotene cleavage enzyme which produces retinal.</w:t>
      </w:r>
    </w:p>
    <w:p>
      <w:pPr>
        <w:pStyle w:val="BodyText"/>
      </w:pPr>
      <w:r>
        <w:t xml:space="preserve">Our analysis also suggests that auxotrophies for some vitamins may be universal features of the lineage, as we predict all clades to be auxotrophic for Vitamins B5 and B6 (previously, Vitamin B6 had been identified as an auxotrophy for clade acI-B). In addition, we predict transporters for Vitamins B7 and B12 in clade acI-A, but do not predict auxotrophies for these vitamins. In addition, our analysis does not identify Vitamins B2, B3, B9, or B12 as auxotrophies for clade acI-B, a result which had been previously suggested.</w:t>
      </w:r>
    </w:p>
    <w:p>
      <w:pPr>
        <w:pStyle w:val="BodyText"/>
      </w:pPr>
      <w:r>
        <w:t xml:space="preserve">Transport proteins for many all of these metabolites were among the most highly expressed in the genomes, suggesting that the success of acI’s passive lifestyle may be due to its ability to consume any substrate in its vicinity, without the need to activate expression of the necessary transport genes. The actinorhodopsin protein is highly expressed, and may facilitate synthesis of the ATP needed to drive acI’s many ABC-type transporters. In the aggregate, these results indicate the acI are photoheterotrophs, making a living on a diverse array of N-rich compounds, sugars, and oligo- and poly-saccharides.</w:t>
      </w:r>
    </w:p>
    <w:p>
      <w:pPr>
        <w:pStyle w:val="BodyText"/>
      </w:pPr>
      <w:r>
        <w:t xml:space="preserve">Our analysis also provides new insights into auxotrophies within the acI-C lineage, identifying tetrahydrofolate (THF) as an auxotrophy for clade acI-A, and lysine, homoserine, and UMP as auxotrophies for acI-C. THF is a derivative of folic acid (Vitamin B9), which was previously identified as an auxotrophy for clade acI-B. Additionally, clade acI-B was previously identified as auxotrophic for a number of amino acids, though lysine and homoserine were not among them. In the aggregate, these results provide additional support to the hypothesis that distributed metabolic pathways and metabolic complmentarity may be common features of freshwater bacterial communities</w:t>
      </w:r>
      <w:r>
        <w:t xml:space="preserve"> </w:t>
      </w:r>
      <w:r>
        <w:t xml:space="preserve">(Garcia et al.</w:t>
      </w:r>
      <w:r>
        <w:t xml:space="preserve"> </w:t>
      </w:r>
      <w:hyperlink w:anchor="ref-Garcia2015">
        <w:r>
          <w:rPr>
            <w:rStyle w:val="Hyperlink"/>
          </w:rPr>
          <w:t xml:space="preserve">2015</w:t>
        </w:r>
      </w:hyperlink>
      <w:r>
        <w:t xml:space="preserve">)</w:t>
      </w:r>
      <w:r>
        <w:t xml:space="preserve">.</w:t>
      </w:r>
    </w:p>
    <w:p>
      <w:pPr>
        <w:pStyle w:val="BodyText"/>
      </w:pPr>
      <w:r>
        <w:t xml:space="preserve">While the reverse ecology pipeline presented here identified aspects of acI metabolism not observed previously, our approach does have some significant limitations. First, because our analysis relied on constructing clade-level composite genomes, we of necessity cannot say anything about the metabolism of individual tribes or interactions between them. And second, metabolic network analysis does account for biological pathway organization, and predicts organisms may synthesize compounds via non-canonical routes. An example is presented in the Supplemental Material. As a result, the pipeline may under-predict the number of auxotrophies for a genome, a limitation which may explain why we failed to predict many suspected auxotrophies for clade acI-B.</w:t>
      </w:r>
    </w:p>
    <w:p>
      <w:pPr>
        <w:pStyle w:val="Heading1"/>
      </w:pPr>
      <w:bookmarkStart w:id="46" w:name="acknowledgements"/>
      <w:bookmarkEnd w:id="46"/>
      <w:r>
        <w:t xml:space="preserve">Acknowledgements</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references"/>
      <w:bookmarkEnd w:id="48"/>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9">
        <w:r>
          <w:rPr>
            <w:rStyle w:val="Hyperlink"/>
          </w:rPr>
          <w:t xml:space="preserve">doi:10.1101/002824</w:t>
        </w:r>
      </w:hyperlink>
      <w:r>
        <w:t xml:space="preserve">.</w:t>
      </w:r>
    </w:p>
    <w:p>
      <w:pPr>
        <w:pStyle w:val="Bibliography"/>
      </w:pPr>
      <w:r>
        <w:t xml:space="preserve">Beier, Sara, and Stefan Bertilsson. 2011. “Uncoupling of chitinase activity and uptake of hydrolysis products in freshwater bacterioplankton.”</w:t>
      </w:r>
      <w:r>
        <w:t xml:space="preserve"> </w:t>
      </w:r>
      <w:r>
        <w:rPr>
          <w:i/>
        </w:rPr>
        <w:t xml:space="preserve">Limnology and Oceanography</w:t>
      </w:r>
      <w:r>
        <w:t xml:space="preserve"> </w:t>
      </w:r>
      <w:r>
        <w:t xml:space="preserve">56 (4): 1179–88.</w:t>
      </w:r>
      <w:r>
        <w:t xml:space="preserve"> </w:t>
      </w:r>
      <w:hyperlink r:id="rId50">
        <w:r>
          <w:rPr>
            <w:rStyle w:val="Hyperlink"/>
          </w:rPr>
          <w:t xml:space="preserve">doi:10.4319/lo.2011.56.4.1179</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51">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52">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53">
        <w:r>
          <w:rPr>
            <w:rStyle w:val="Hyperlink"/>
          </w:rPr>
          <w:t xml:space="preserve">doi:10.1038/srep08365</w:t>
        </w:r>
      </w:hyperlink>
      <w:r>
        <w:t xml:space="preserve">.</w:t>
      </w:r>
    </w:p>
    <w:p>
      <w:pPr>
        <w:pStyle w:val="Bibliography"/>
      </w:pPr>
      <w:r>
        <w:t xml:space="preserve">Buck, Ulrike, Hans-Peter Grossart, Rudolf I Amann, and Jakob Pernthaler. 2009. “Substrate incorporation patterns of bacterioplankton populations in stratified and mixed waters of a humic lake.”</w:t>
      </w:r>
      <w:r>
        <w:t xml:space="preserve"> </w:t>
      </w:r>
      <w:r>
        <w:rPr>
          <w:i/>
        </w:rPr>
        <w:t xml:space="preserve">Environmental Microbiology</w:t>
      </w:r>
      <w:r>
        <w:t xml:space="preserve"> </w:t>
      </w:r>
      <w:r>
        <w:t xml:space="preserve">11 (7): 1854–65.</w:t>
      </w:r>
      <w:r>
        <w:t xml:space="preserve"> </w:t>
      </w:r>
      <w:hyperlink r:id="rId54">
        <w:r>
          <w:rPr>
            <w:rStyle w:val="Hyperlink"/>
          </w:rPr>
          <w:t xml:space="preserve">doi:10.1111/j.1462-2920.2009.01910.x</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55">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56">
        <w:r>
          <w:rPr>
            <w:rStyle w:val="Hyperlink"/>
          </w:rPr>
          <w:t xml:space="preserve">doi:10.7717/peerj.243</w:t>
        </w:r>
      </w:hyperlink>
      <w:r>
        <w:t xml:space="preserve">.</w:t>
      </w:r>
    </w:p>
    <w:p>
      <w:pPr>
        <w:pStyle w:val="Bibliography"/>
      </w:pPr>
      <w:r>
        <w:t xml:space="preserve">Eckert, Ester M, Michael Baumgartner, Iris M Huber, and Jakob Pernthaler. 2013. “Grazing resistant freshwater bacteria profit from chitin and cell-wall-derived organic carbon.”</w:t>
      </w:r>
      <w:r>
        <w:t xml:space="preserve"> </w:t>
      </w:r>
      <w:r>
        <w:rPr>
          <w:i/>
        </w:rPr>
        <w:t xml:space="preserve">Environmental Microbiology</w:t>
      </w:r>
      <w:r>
        <w:t xml:space="preserve"> </w:t>
      </w:r>
      <w:r>
        <w:t xml:space="preserve">15 (7): 2019–30.</w:t>
      </w:r>
      <w:r>
        <w:t xml:space="preserve"> </w:t>
      </w:r>
      <w:hyperlink r:id="rId57">
        <w:r>
          <w:rPr>
            <w:rStyle w:val="Hyperlink"/>
          </w:rPr>
          <w:t xml:space="preserve">doi:10.1111/1462-2920.12083</w:t>
        </w:r>
      </w:hyperlink>
      <w:r>
        <w:t xml:space="preserve">.</w:t>
      </w:r>
    </w:p>
    <w:p>
      <w:pPr>
        <w:pStyle w:val="Bibliography"/>
      </w:pPr>
      <w:r>
        <w:t xml:space="preserve">Eckert, Ester M, Michaela M Salcher, Thomas Posch, Bettina Eugster, and Jakob Pernthaler. 2012. “Rapid successions affect microbial N-acetyl-glucosamine uptake patterns during a lacustrine spring phytoplankton bloom.”</w:t>
      </w:r>
      <w:r>
        <w:t xml:space="preserve"> </w:t>
      </w:r>
      <w:r>
        <w:rPr>
          <w:i/>
        </w:rPr>
        <w:t xml:space="preserve">Environmental Microbiology</w:t>
      </w:r>
      <w:r>
        <w:t xml:space="preserve"> </w:t>
      </w:r>
      <w:r>
        <w:t xml:space="preserve">14 (3): 794–806.</w:t>
      </w:r>
      <w:r>
        <w:t xml:space="preserve"> </w:t>
      </w:r>
      <w:hyperlink r:id="rId58">
        <w:r>
          <w:rPr>
            <w:rStyle w:val="Hyperlink"/>
          </w:rPr>
          <w:t xml:space="preserve">doi:10.1111/j.1462-2920.2011.02639.x</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59">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0">
        <w:r>
          <w:rPr>
            <w:rStyle w:val="Hyperlink"/>
          </w:rPr>
          <w:t xml:space="preserve">doi:10.1111/mec.13319</w:t>
        </w:r>
      </w:hyperlink>
      <w:r>
        <w:t xml:space="preserve">.</w:t>
      </w:r>
    </w:p>
    <w:p>
      <w:pPr>
        <w:pStyle w:val="Bibliography"/>
      </w:pPr>
      <w:r>
        <w:t xml:space="preserve">Garcia, Sarahi L, Katherine D McMahon, Hans-Peter Grossart, and Falk Warnecke. 2014. “Successful enrichment of the ubiquitous freshwater acI Actinobacteria.”</w:t>
      </w:r>
      <w:r>
        <w:t xml:space="preserve"> </w:t>
      </w:r>
      <w:r>
        <w:rPr>
          <w:i/>
        </w:rPr>
        <w:t xml:space="preserve">Environmental Microbiology Reports</w:t>
      </w:r>
      <w:r>
        <w:t xml:space="preserve"> </w:t>
      </w:r>
      <w:r>
        <w:t xml:space="preserve">6 (1): 21–27.</w:t>
      </w:r>
      <w:r>
        <w:t xml:space="preserve"> </w:t>
      </w:r>
      <w:hyperlink r:id="rId61">
        <w:r>
          <w:rPr>
            <w:rStyle w:val="Hyperlink"/>
          </w:rPr>
          <w:t xml:space="preserve">doi:10.1111/1758-2229.12104</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2">
        <w:r>
          <w:rPr>
            <w:rStyle w:val="Hyperlink"/>
          </w:rPr>
          <w:t xml:space="preserve">doi:10.1038/ismej.2012.86</w:t>
        </w:r>
      </w:hyperlink>
      <w:r>
        <w:t xml:space="preserve">.</w:t>
      </w:r>
    </w:p>
    <w:p>
      <w:pPr>
        <w:pStyle w:val="Bibliography"/>
      </w:pPr>
      <w:r>
        <w:t xml:space="preserve">Ghai, Rohit, Katherine D McMahon, and Francisco Rodriguez-Valera. 2012. “Breaking a paradigm: cosmopolitan and abundant freshwater actinobacteria are low GC.”</w:t>
      </w:r>
      <w:r>
        <w:t xml:space="preserve"> </w:t>
      </w:r>
      <w:r>
        <w:rPr>
          <w:i/>
        </w:rPr>
        <w:t xml:space="preserve">Environmental Microbiology Reports</w:t>
      </w:r>
      <w:r>
        <w:t xml:space="preserve"> </w:t>
      </w:r>
      <w:r>
        <w:t xml:space="preserve">4 (1): 29–35.</w:t>
      </w:r>
      <w:r>
        <w:t xml:space="preserve"> </w:t>
      </w:r>
      <w:hyperlink r:id="rId63">
        <w:r>
          <w:rPr>
            <w:rStyle w:val="Hyperlink"/>
          </w:rPr>
          <w:t xml:space="preserve">doi:10.1111/j.1758-2229.2011.00274.x</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4">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5">
        <w:r>
          <w:rPr>
            <w:rStyle w:val="Hyperlink"/>
          </w:rPr>
          <w:t xml:space="preserve">doi:10.1038/ismej.2014.135</w:t>
        </w:r>
      </w:hyperlink>
      <w:r>
        <w:t xml:space="preserve">.</w:t>
      </w:r>
    </w:p>
    <w:p>
      <w:pPr>
        <w:pStyle w:val="Bibliography"/>
      </w:pPr>
      <w:r>
        <w:t xml:space="preserve">Glöckner, Frank Oliver, Evgeny Zaichikov, Natalia Belkova, Ludmilla Denissova, Jakob Pernthaler, Annelie Pernthaler, and Rudolf I Amann. 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t xml:space="preserve">66 (11): 5053–65.</w:t>
      </w:r>
      <w:r>
        <w:t xml:space="preserve"> </w:t>
      </w:r>
      <w:hyperlink r:id="rId66">
        <w:r>
          <w:rPr>
            <w:rStyle w:val="Hyperlink"/>
          </w:rPr>
          <w:t xml:space="preserve">http://www.pubmedcentral.nih.gov/articlerender.fcgi?artid=92419{\&amp;}tool=pmcentrez{\&amp;}rendertype=abstract</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7">
        <w:r>
          <w:rPr>
            <w:rStyle w:val="Hyperlink"/>
          </w:rPr>
          <w:t xml:space="preserve">doi:10.1038/nbt.1672</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68">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69">
        <w:r>
          <w:rPr>
            <w:rStyle w:val="Hyperlink"/>
          </w:rPr>
          <w:t xml:space="preserve">doi:10.1093/bioinformatics/bts611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0">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1">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2">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73">
        <w:r>
          <w:rPr>
            <w:rStyle w:val="Hyperlink"/>
          </w:rPr>
          <w:t xml:space="preserve">doi:10.1186/2047-217X-1-18</w:t>
        </w:r>
      </w:hyperlink>
      <w:r>
        <w:t xml:space="preserve">.</w:t>
      </w:r>
    </w:p>
    <w:p>
      <w:pPr>
        <w:pStyle w:val="Bibliography"/>
      </w:pPr>
      <w:r>
        <w:t xml:space="preserve">Ma, Hong W, and An-Ping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74">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5">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6">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7">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78">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79">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80">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1">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2">
        <w:r>
          <w:rPr>
            <w:rStyle w:val="Hyperlink"/>
          </w:rPr>
          <w:t xml:space="preserve">doi:10.1101/gr.186072.114.Freely</w:t>
        </w:r>
      </w:hyperlink>
      <w:r>
        <w:t xml:space="preserve">.</w:t>
      </w:r>
    </w:p>
    <w:p>
      <w:pPr>
        <w:pStyle w:val="Bibliography"/>
      </w:pPr>
      <w:r>
        <w:t xml:space="preserve">Pérez, María Teresa, Paul Hörtnagl, and Ruben Sommaruga. 2010. “Contrasting ability to take up leucine and thymidine among freshwater bacterial groups: Implications for bacterial production measurements.”</w:t>
      </w:r>
      <w:r>
        <w:t xml:space="preserve"> </w:t>
      </w:r>
      <w:r>
        <w:rPr>
          <w:i/>
        </w:rPr>
        <w:t xml:space="preserve">Environmental Microbiology</w:t>
      </w:r>
      <w:r>
        <w:t xml:space="preserve"> </w:t>
      </w:r>
      <w:r>
        <w:t xml:space="preserve">12 (1): 74–82.</w:t>
      </w:r>
      <w:r>
        <w:t xml:space="preserve"> </w:t>
      </w:r>
      <w:hyperlink r:id="rId83">
        <w:r>
          <w:rPr>
            <w:rStyle w:val="Hyperlink"/>
          </w:rPr>
          <w:t xml:space="preserve">doi:10.1111/j.1462-2920.2009.02043.x</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4">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5">
        <w:r>
          <w:rPr>
            <w:rStyle w:val="Hyperlink"/>
          </w:rPr>
          <w:t xml:space="preserve">doi:10.1093/nar/gkv1118</w:t>
        </w:r>
      </w:hyperlink>
      <w:r>
        <w:t xml:space="preserve">.</w:t>
      </w:r>
    </w:p>
    <w:p>
      <w:pPr>
        <w:pStyle w:val="Bibliography"/>
      </w:pPr>
      <w:r>
        <w:t xml:space="preserve">Saier, Milton H, Vamsee S Reddy, Dorjee G Tamang, and Åke Västermark. 2014. “The transporter classification database.”</w:t>
      </w:r>
      <w:r>
        <w:t xml:space="preserve"> </w:t>
      </w:r>
      <w:r>
        <w:rPr>
          <w:i/>
        </w:rPr>
        <w:t xml:space="preserve">Nucleic Acids Research</w:t>
      </w:r>
      <w:r>
        <w:t xml:space="preserve"> </w:t>
      </w:r>
      <w:r>
        <w:t xml:space="preserve">42 (D1): D251–58.</w:t>
      </w:r>
      <w:r>
        <w:t xml:space="preserve"> </w:t>
      </w:r>
      <w:hyperlink r:id="rId86">
        <w:r>
          <w:rPr>
            <w:rStyle w:val="Hyperlink"/>
          </w:rPr>
          <w:t xml:space="preserve">doi:10.1093/nar/gkt1097</w:t>
        </w:r>
      </w:hyperlink>
      <w:r>
        <w:t xml:space="preserve">.</w:t>
      </w:r>
    </w:p>
    <w:p>
      <w:pPr>
        <w:pStyle w:val="Bibliography"/>
      </w:pPr>
      <w:r>
        <w:t xml:space="preserve">Salcher, Michaela M, Jakob Pernthaler, and Thomas Posch. 2010. “Spatiotemporal distribution and activity patterns of bacteria from three phylogenetic groups in an oligomesotrophic lake.”</w:t>
      </w:r>
      <w:r>
        <w:t xml:space="preserve"> </w:t>
      </w:r>
      <w:r>
        <w:rPr>
          <w:i/>
        </w:rPr>
        <w:t xml:space="preserve">Limnology and Oceanography</w:t>
      </w:r>
      <w:r>
        <w:t xml:space="preserve"> </w:t>
      </w:r>
      <w:r>
        <w:t xml:space="preserve">55 (2): 846–56.</w:t>
      </w:r>
      <w:r>
        <w:t xml:space="preserve"> </w:t>
      </w:r>
      <w:hyperlink r:id="rId87">
        <w:r>
          <w:rPr>
            <w:rStyle w:val="Hyperlink"/>
          </w:rPr>
          <w:t xml:space="preserve">doi:10.4319/lo.2009.55.2.0846</w:t>
        </w:r>
      </w:hyperlink>
      <w:r>
        <w:t xml:space="preserve">.</w:t>
      </w:r>
    </w:p>
    <w:p>
      <w:pPr>
        <w:pStyle w:val="Bibliography"/>
      </w:pPr>
      <w:r>
        <w:t xml:space="preserve">Salcher, Michaela M, Thomas Posch, and Jakob Pernthaler. 2013. “In situ substrate preferences of abundant bacterioplankton populations in a prealpine freshwater lake.”</w:t>
      </w:r>
      <w:r>
        <w:t xml:space="preserve"> </w:t>
      </w:r>
      <w:r>
        <w:rPr>
          <w:i/>
        </w:rPr>
        <w:t xml:space="preserve">The ISME Journal</w:t>
      </w:r>
      <w:r>
        <w:t xml:space="preserve"> </w:t>
      </w:r>
      <w:r>
        <w:t xml:space="preserve">7 (5). Nature Publishing Group: 896–907.</w:t>
      </w:r>
      <w:r>
        <w:t xml:space="preserve"> </w:t>
      </w:r>
      <w:hyperlink r:id="rId88">
        <w:r>
          <w:rPr>
            <w:rStyle w:val="Hyperlink"/>
          </w:rPr>
          <w:t xml:space="preserve">doi:10.1038/ismej.2012.162</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89">
        <w:r>
          <w:rPr>
            <w:rStyle w:val="Hyperlink"/>
          </w:rPr>
          <w:t xml:space="preserve">doi:10.1186/2049-2618-2-17</w:t>
        </w:r>
      </w:hyperlink>
      <w:r>
        <w:t xml:space="preserve">.</w:t>
      </w:r>
    </w:p>
    <w:p>
      <w:pPr>
        <w:pStyle w:val="Bibliography"/>
      </w:pPr>
      <w:r>
        <w:t xml:space="preserve">Sharma, Adrian K, Katrin Sommerfeld, George S Bullerjahn, Audrey R Matteson, Steven W Wilhelm, Jan Jezbera, Ulrike Brandt, W Ford Doolittle, and Martin W Hahn. 2009. “Actinorhodopsin genes discovered in diverse freshwater habitats and among cultivated freshwater Actinobacteria.”</w:t>
      </w:r>
      <w:r>
        <w:t xml:space="preserve"> </w:t>
      </w:r>
      <w:r>
        <w:rPr>
          <w:i/>
        </w:rPr>
        <w:t xml:space="preserve">The ISME Journal</w:t>
      </w:r>
      <w:r>
        <w:t xml:space="preserve"> </w:t>
      </w:r>
      <w:r>
        <w:t xml:space="preserve">3 (6). Nature Publishing Group: 726–37.</w:t>
      </w:r>
      <w:r>
        <w:t xml:space="preserve"> </w:t>
      </w:r>
      <w:hyperlink r:id="rId90">
        <w:r>
          <w:rPr>
            <w:rStyle w:val="Hyperlink"/>
          </w:rPr>
          <w:t xml:space="preserve">doi:10.1038/ismej.2009.13</w:t>
        </w:r>
      </w:hyperlink>
      <w:r>
        <w:t xml:space="preserve">.</w:t>
      </w:r>
    </w:p>
    <w:p>
      <w:pPr>
        <w:pStyle w:val="Bibliography"/>
      </w:pPr>
      <w:r>
        <w:t xml:space="preserve">Sharma, Adrian K, Olga Zhaxybayeva, R Thane Papke, and W Ford Doolittle. 2008. “Actinorhodopsins: Proteorhodopsin-like gene sequences found predominantly in non-marine environments.”</w:t>
      </w:r>
      <w:r>
        <w:t xml:space="preserve"> </w:t>
      </w:r>
      <w:r>
        <w:rPr>
          <w:i/>
        </w:rPr>
        <w:t xml:space="preserve">Environmental Microbiology</w:t>
      </w:r>
      <w:r>
        <w:t xml:space="preserve"> </w:t>
      </w:r>
      <w:r>
        <w:t xml:space="preserve">10 (4): 1039–56.</w:t>
      </w:r>
      <w:r>
        <w:t xml:space="preserve"> </w:t>
      </w:r>
      <w:hyperlink r:id="rId91">
        <w:r>
          <w:rPr>
            <w:rStyle w:val="Hyperlink"/>
          </w:rPr>
          <w:t xml:space="preserve">doi:10.1111/j.1462-2920.2007.01525.x</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92">
        <w:r>
          <w:rPr>
            <w:rStyle w:val="Hyperlink"/>
          </w:rPr>
          <w:t xml:space="preserve">doi:10.1186/1471-2105-8-64</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93">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94">
        <w:r>
          <w:rPr>
            <w:rStyle w:val="Hyperlink"/>
          </w:rPr>
          <w:t xml:space="preserve">doi:10.1111/1758-2229.12180</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95">
        <w:r>
          <w:rPr>
            <w:rStyle w:val="Hyperlink"/>
          </w:rPr>
          <w:t xml:space="preserve">doi:10.1093/nar/gks479</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96">
        <w:r>
          <w:rPr>
            <w:rStyle w:val="Hyperlink"/>
          </w:rPr>
          <w:t xml:space="preserve">doi:10.1101/gr.074492.107</w:t>
        </w:r>
      </w:hyperlink>
      <w:r>
        <w:t xml:space="preserve">.</w:t>
      </w:r>
    </w:p>
    <w:p>
      <w:pPr>
        <w:pStyle w:val="Bibliography"/>
      </w:pPr>
      <w:r>
        <w:t xml:space="preserve">Zwart, Gabriel, Byron C Crump, Miranda P Kamst-Van Agterveld, Ferry Hagen, and Suk-Kyun Han. 2002. “Typical freshwater bacteria: an analysis of available 16S rRNA gene sequences from plankton of lakes and rivers.”</w:t>
      </w:r>
      <w:r>
        <w:t xml:space="preserve"> </w:t>
      </w:r>
      <w:r>
        <w:rPr>
          <w:i/>
        </w:rPr>
        <w:t xml:space="preserve">Aquatic Microbial Ecology</w:t>
      </w:r>
      <w:r>
        <w:t xml:space="preserve"> </w:t>
      </w:r>
      <w:r>
        <w:t xml:space="preserve">28 (2): 141–55.</w:t>
      </w:r>
      <w:r>
        <w:t xml:space="preserve"> </w:t>
      </w:r>
      <w:hyperlink r:id="rId97">
        <w:r>
          <w:rPr>
            <w:rStyle w:val="Hyperlink"/>
          </w:rPr>
          <w:t xml:space="preserve">doi:10.3354/ame028141</w:t>
        </w:r>
      </w:hyperlink>
      <w:r>
        <w:t xml:space="preserve">.</w:t>
      </w:r>
    </w:p>
    <w:p>
      <w:pPr>
        <w:pStyle w:val="Bibliography"/>
      </w:pPr>
      <w:r>
        <w:t xml:space="preserve">Zwart, Gabriel, William D Hiorns, Barbara A Methé, Miranda P van Agterveld, Raymond Huismans, Stephen C Nold, Jonathan P Zehr, and Hendrikus J Laanbroek. 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t xml:space="preserve">21 (4): 546–56.</w:t>
      </w:r>
      <w:r>
        <w:t xml:space="preserve"> </w:t>
      </w:r>
      <w:hyperlink r:id="rId98">
        <w:r>
          <w:rPr>
            <w:rStyle w:val="Hyperlink"/>
          </w:rPr>
          <w:t xml:space="preserve">doi:10.1016/S0723-2020(98)80067-2</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aa91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7e07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98" Target="http://doi.org/10.1016/S0723-2020(98)80067-2" TargetMode="External" /><Relationship Type="http://schemas.openxmlformats.org/officeDocument/2006/relationships/hyperlink" Id="rId90" Target="http://doi.org/10.1038/ismej.2009.13" TargetMode="External" /><Relationship Type="http://schemas.openxmlformats.org/officeDocument/2006/relationships/hyperlink" Id="rId77" Target="http://doi.org/10.1038/ismej.2011.84" TargetMode="External" /><Relationship Type="http://schemas.openxmlformats.org/officeDocument/2006/relationships/hyperlink" Id="rId88" Target="http://doi.org/10.1038/ismej.2012.162" TargetMode="External" /><Relationship Type="http://schemas.openxmlformats.org/officeDocument/2006/relationships/hyperlink" Id="rId62" Target="http://doi.org/10.1038/ismej.2012.86" TargetMode="External" /><Relationship Type="http://schemas.openxmlformats.org/officeDocument/2006/relationships/hyperlink" Id="rId65"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7" Target="http://doi.org/10.1038/nbt.1672" TargetMode="External" /><Relationship Type="http://schemas.openxmlformats.org/officeDocument/2006/relationships/hyperlink" Id="rId78"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52" Target="http://doi.org/10.1073/pnas.0806162105" TargetMode="External" /><Relationship Type="http://schemas.openxmlformats.org/officeDocument/2006/relationships/hyperlink" Id="rId75" Target="http://doi.org/10.1093/bioinformatics/19.2.270" TargetMode="External" /><Relationship Type="http://schemas.openxmlformats.org/officeDocument/2006/relationships/hyperlink" Id="rId74" Target="http://doi.org/10.1093/bioinformatics/btg177" TargetMode="External" /><Relationship Type="http://schemas.openxmlformats.org/officeDocument/2006/relationships/hyperlink" Id="rId76" Target="http://doi.org/10.1093/bioinformatics/btr507" TargetMode="External" /><Relationship Type="http://schemas.openxmlformats.org/officeDocument/2006/relationships/hyperlink" Id="rId69" Target="http://doi.org/10.1093/bioinformatics/bts611" TargetMode="External" /><Relationship Type="http://schemas.openxmlformats.org/officeDocument/2006/relationships/hyperlink" Id="rId93"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4" Target="http://doi.org/10.1093/nar/gks1219" TargetMode="External" /><Relationship Type="http://schemas.openxmlformats.org/officeDocument/2006/relationships/hyperlink" Id="rId95" Target="http://doi.org/10.1093/nar/gks479" TargetMode="External" /><Relationship Type="http://schemas.openxmlformats.org/officeDocument/2006/relationships/hyperlink" Id="rId86" Target="http://doi.org/10.1093/nar/gkt1097" TargetMode="External" /><Relationship Type="http://schemas.openxmlformats.org/officeDocument/2006/relationships/hyperlink" Id="rId71" Target="http://doi.org/10.1093/nar/gkt1178" TargetMode="External" /><Relationship Type="http://schemas.openxmlformats.org/officeDocument/2006/relationships/hyperlink" Id="rId81" Target="http://doi.org/10.1093/nar/gkt1226" TargetMode="External" /><Relationship Type="http://schemas.openxmlformats.org/officeDocument/2006/relationships/hyperlink" Id="rId79" Target="http://doi.org/10.1093/nar/gku1063" TargetMode="External" /><Relationship Type="http://schemas.openxmlformats.org/officeDocument/2006/relationships/hyperlink" Id="rId85"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96" Target="http://doi.org/10.1101/gr.074492.107" TargetMode="External" /><Relationship Type="http://schemas.openxmlformats.org/officeDocument/2006/relationships/hyperlink" Id="rId70" Target="http://doi.org/10.1101/gr.1224503" TargetMode="External" /><Relationship Type="http://schemas.openxmlformats.org/officeDocument/2006/relationships/hyperlink" Id="rId82" Target="http://doi.org/10.1101/gr.186072.114.Freely" TargetMode="External" /><Relationship Type="http://schemas.openxmlformats.org/officeDocument/2006/relationships/hyperlink" Id="rId55" Target="http://doi.org/10.1101/gr.7337908" TargetMode="External" /><Relationship Type="http://schemas.openxmlformats.org/officeDocument/2006/relationships/hyperlink" Id="rId57" Target="http://doi.org/10.1111/1462-2920.12083" TargetMode="External" /><Relationship Type="http://schemas.openxmlformats.org/officeDocument/2006/relationships/hyperlink" Id="rId61" Target="http://doi.org/10.1111/1758-2229.12104" TargetMode="External" /><Relationship Type="http://schemas.openxmlformats.org/officeDocument/2006/relationships/hyperlink" Id="rId94" Target="http://doi.org/10.1111/1758-2229.12180" TargetMode="External" /><Relationship Type="http://schemas.openxmlformats.org/officeDocument/2006/relationships/hyperlink" Id="rId91"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3" Target="http://doi.org/10.1111/j.1462-2920.2009.02043.x" TargetMode="External" /><Relationship Type="http://schemas.openxmlformats.org/officeDocument/2006/relationships/hyperlink" Id="rId58" Target="http://doi.org/10.1111/j.1462-2920.2011.02639.x" TargetMode="External" /><Relationship Type="http://schemas.openxmlformats.org/officeDocument/2006/relationships/hyperlink" Id="rId63" Target="http://doi.org/10.1111/j.1758-2229.2011.00274.x" TargetMode="External" /><Relationship Type="http://schemas.openxmlformats.org/officeDocument/2006/relationships/hyperlink" Id="rId64"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80" Target="http://doi.org/10.1128/MMBR.00028-10" TargetMode="External" /><Relationship Type="http://schemas.openxmlformats.org/officeDocument/2006/relationships/hyperlink" Id="rId92" Target="http://doi.org/10.1186/1471-2105-8-64" TargetMode="External" /><Relationship Type="http://schemas.openxmlformats.org/officeDocument/2006/relationships/hyperlink" Id="rId73" Target="http://doi.org/10.1186/2047-217X-1-18" TargetMode="External" /><Relationship Type="http://schemas.openxmlformats.org/officeDocument/2006/relationships/hyperlink" Id="rId89" Target="http://doi.org/10.1186/2049-2618-2-17" TargetMode="External" /><Relationship Type="http://schemas.openxmlformats.org/officeDocument/2006/relationships/hyperlink" Id="rId59" Target="http://doi.org/10.1371/journal.pcbi.1002195" TargetMode="External" /><Relationship Type="http://schemas.openxmlformats.org/officeDocument/2006/relationships/hyperlink" Id="rId97" Target="http://doi.org/10.3354/ame028141" TargetMode="External" /><Relationship Type="http://schemas.openxmlformats.org/officeDocument/2006/relationships/hyperlink" Id="rId87"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68" Target="http://doi.org/10.7717/peerj.1165" TargetMode="External" /><Relationship Type="http://schemas.openxmlformats.org/officeDocument/2006/relationships/hyperlink" Id="rId56" Target="http://doi.org/10.7717/peerj.243" TargetMode="External" /><Relationship Type="http://schemas.openxmlformats.org/officeDocument/2006/relationships/hyperlink" Id="rId66" Target="http://www.pubmedcentral.nih.gov/articlerender.fcgi?artid=92419{\&amp;}tool=pmcentrez{\&amp;}rendertype=abstract" TargetMode="External" /></Relationships>
</file>

<file path=word/_rels/footnotes.xml.rels><?xml version="1.0" encoding="UTF-8"?>
<Relationships xmlns="http://schemas.openxmlformats.org/package/2006/relationships"><Relationship Type="http://schemas.openxmlformats.org/officeDocument/2006/relationships/hyperlink" Id="rId98" Target="http://doi.org/10.1016/S0723-2020(98)80067-2" TargetMode="External" /><Relationship Type="http://schemas.openxmlformats.org/officeDocument/2006/relationships/hyperlink" Id="rId90" Target="http://doi.org/10.1038/ismej.2009.13" TargetMode="External" /><Relationship Type="http://schemas.openxmlformats.org/officeDocument/2006/relationships/hyperlink" Id="rId77" Target="http://doi.org/10.1038/ismej.2011.84" TargetMode="External" /><Relationship Type="http://schemas.openxmlformats.org/officeDocument/2006/relationships/hyperlink" Id="rId88" Target="http://doi.org/10.1038/ismej.2012.162" TargetMode="External" /><Relationship Type="http://schemas.openxmlformats.org/officeDocument/2006/relationships/hyperlink" Id="rId62" Target="http://doi.org/10.1038/ismej.2012.86" TargetMode="External" /><Relationship Type="http://schemas.openxmlformats.org/officeDocument/2006/relationships/hyperlink" Id="rId65"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7" Target="http://doi.org/10.1038/nbt.1672" TargetMode="External" /><Relationship Type="http://schemas.openxmlformats.org/officeDocument/2006/relationships/hyperlink" Id="rId78"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52" Target="http://doi.org/10.1073/pnas.0806162105" TargetMode="External" /><Relationship Type="http://schemas.openxmlformats.org/officeDocument/2006/relationships/hyperlink" Id="rId75" Target="http://doi.org/10.1093/bioinformatics/19.2.270" TargetMode="External" /><Relationship Type="http://schemas.openxmlformats.org/officeDocument/2006/relationships/hyperlink" Id="rId74" Target="http://doi.org/10.1093/bioinformatics/btg177" TargetMode="External" /><Relationship Type="http://schemas.openxmlformats.org/officeDocument/2006/relationships/hyperlink" Id="rId76" Target="http://doi.org/10.1093/bioinformatics/btr507" TargetMode="External" /><Relationship Type="http://schemas.openxmlformats.org/officeDocument/2006/relationships/hyperlink" Id="rId69" Target="http://doi.org/10.1093/bioinformatics/bts611" TargetMode="External" /><Relationship Type="http://schemas.openxmlformats.org/officeDocument/2006/relationships/hyperlink" Id="rId93" Target="http://doi.org/10.1093/bioinformatics/btu033" TargetMode="External" /><Relationship Type="http://schemas.openxmlformats.org/officeDocument/2006/relationships/hyperlink" Id="rId72" Target="http://doi.org/10.1093/nar/gkh293" TargetMode="External" /><Relationship Type="http://schemas.openxmlformats.org/officeDocument/2006/relationships/hyperlink" Id="rId84" Target="http://doi.org/10.1093/nar/gks1219" TargetMode="External" /><Relationship Type="http://schemas.openxmlformats.org/officeDocument/2006/relationships/hyperlink" Id="rId95" Target="http://doi.org/10.1093/nar/gks479" TargetMode="External" /><Relationship Type="http://schemas.openxmlformats.org/officeDocument/2006/relationships/hyperlink" Id="rId86" Target="http://doi.org/10.1093/nar/gkt1097" TargetMode="External" /><Relationship Type="http://schemas.openxmlformats.org/officeDocument/2006/relationships/hyperlink" Id="rId71" Target="http://doi.org/10.1093/nar/gkt1178" TargetMode="External" /><Relationship Type="http://schemas.openxmlformats.org/officeDocument/2006/relationships/hyperlink" Id="rId81" Target="http://doi.org/10.1093/nar/gkt1226" TargetMode="External" /><Relationship Type="http://schemas.openxmlformats.org/officeDocument/2006/relationships/hyperlink" Id="rId79" Target="http://doi.org/10.1093/nar/gku1063" TargetMode="External" /><Relationship Type="http://schemas.openxmlformats.org/officeDocument/2006/relationships/hyperlink" Id="rId85"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96" Target="http://doi.org/10.1101/gr.074492.107" TargetMode="External" /><Relationship Type="http://schemas.openxmlformats.org/officeDocument/2006/relationships/hyperlink" Id="rId70" Target="http://doi.org/10.1101/gr.1224503" TargetMode="External" /><Relationship Type="http://schemas.openxmlformats.org/officeDocument/2006/relationships/hyperlink" Id="rId82" Target="http://doi.org/10.1101/gr.186072.114.Freely" TargetMode="External" /><Relationship Type="http://schemas.openxmlformats.org/officeDocument/2006/relationships/hyperlink" Id="rId55" Target="http://doi.org/10.1101/gr.7337908" TargetMode="External" /><Relationship Type="http://schemas.openxmlformats.org/officeDocument/2006/relationships/hyperlink" Id="rId57" Target="http://doi.org/10.1111/1462-2920.12083" TargetMode="External" /><Relationship Type="http://schemas.openxmlformats.org/officeDocument/2006/relationships/hyperlink" Id="rId61" Target="http://doi.org/10.1111/1758-2229.12104" TargetMode="External" /><Relationship Type="http://schemas.openxmlformats.org/officeDocument/2006/relationships/hyperlink" Id="rId94" Target="http://doi.org/10.1111/1758-2229.12180" TargetMode="External" /><Relationship Type="http://schemas.openxmlformats.org/officeDocument/2006/relationships/hyperlink" Id="rId91"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3" Target="http://doi.org/10.1111/j.1462-2920.2009.02043.x" TargetMode="External" /><Relationship Type="http://schemas.openxmlformats.org/officeDocument/2006/relationships/hyperlink" Id="rId58" Target="http://doi.org/10.1111/j.1462-2920.2011.02639.x" TargetMode="External" /><Relationship Type="http://schemas.openxmlformats.org/officeDocument/2006/relationships/hyperlink" Id="rId63" Target="http://doi.org/10.1111/j.1758-2229.2011.00274.x" TargetMode="External" /><Relationship Type="http://schemas.openxmlformats.org/officeDocument/2006/relationships/hyperlink" Id="rId64"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80" Target="http://doi.org/10.1128/MMBR.00028-10" TargetMode="External" /><Relationship Type="http://schemas.openxmlformats.org/officeDocument/2006/relationships/hyperlink" Id="rId92" Target="http://doi.org/10.1186/1471-2105-8-64" TargetMode="External" /><Relationship Type="http://schemas.openxmlformats.org/officeDocument/2006/relationships/hyperlink" Id="rId73" Target="http://doi.org/10.1186/2047-217X-1-18" TargetMode="External" /><Relationship Type="http://schemas.openxmlformats.org/officeDocument/2006/relationships/hyperlink" Id="rId89" Target="http://doi.org/10.1186/2049-2618-2-17" TargetMode="External" /><Relationship Type="http://schemas.openxmlformats.org/officeDocument/2006/relationships/hyperlink" Id="rId59" Target="http://doi.org/10.1371/journal.pcbi.1002195" TargetMode="External" /><Relationship Type="http://schemas.openxmlformats.org/officeDocument/2006/relationships/hyperlink" Id="rId97" Target="http://doi.org/10.3354/ame028141" TargetMode="External" /><Relationship Type="http://schemas.openxmlformats.org/officeDocument/2006/relationships/hyperlink" Id="rId87"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68" Target="http://doi.org/10.7717/peerj.1165" TargetMode="External" /><Relationship Type="http://schemas.openxmlformats.org/officeDocument/2006/relationships/hyperlink" Id="rId56" Target="http://doi.org/10.7717/peerj.243" TargetMode="External" /><Relationship Type="http://schemas.openxmlformats.org/officeDocument/2006/relationships/hyperlink" Id="rId66" Target="http://www.pubmedcentral.nih.gov/articlerender.fcgi?artid=92419{\&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