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w:t>
      </w:r>
      <w:r>
        <w:t xml:space="preserve"> </w:t>
      </w:r>
      <w:r>
        <w:rPr>
          <w:i/>
        </w:rPr>
        <w:t xml:space="preserve">et al.</w:t>
      </w:r>
      <w:r>
        <w:t xml:space="preserve">, 2014)</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w:t>
      </w:r>
      <w:r>
        <w:t xml:space="preserve"> </w:t>
      </w:r>
      <w:r>
        <w:rPr>
          <w:i/>
        </w:rPr>
        <w:t xml:space="preserve">et al.</w:t>
      </w:r>
      <w:r>
        <w:t xml:space="preserve">,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w:t>
      </w:r>
      <w:r>
        <w:t xml:space="preserve"> </w:t>
      </w:r>
      <w:r>
        <w:rPr>
          <w:i/>
        </w:rPr>
        <w:t xml:space="preserve">et al.</w:t>
      </w:r>
      <w:r>
        <w:t xml:space="preserve">, 2003)</w:t>
      </w:r>
      <w:r>
        <w:t xml:space="preserve">. For each cluster, count all unique reads which map to any gene within that cluster using HTSeq</w:t>
      </w:r>
      <w:r>
        <w:t xml:space="preserve"> </w:t>
      </w:r>
      <w:r>
        <w:t xml:space="preserve">(Anders</w:t>
      </w:r>
      <w:r>
        <w:t xml:space="preserve"> </w:t>
      </w:r>
      <w:r>
        <w:rPr>
          <w:i/>
        </w:rPr>
        <w:t xml:space="preserve">et al.</w:t>
      </w:r>
      <w:r>
        <w:t xml:space="preserve">, 2014)</w:t>
      </w:r>
      <w:r>
        <w:t xml:space="preserve"> </w:t>
      </w:r>
      <w:r>
        <w:t xml:space="preserve">and compute the relative gene expression using RPKM</w:t>
      </w:r>
      <w:r>
        <w:t xml:space="preserve"> </w:t>
      </w:r>
      <w:r>
        <w:t xml:space="preserve">(Mortazavi</w:t>
      </w:r>
      <w:r>
        <w:t xml:space="preserve"> </w:t>
      </w:r>
      <w:r>
        <w:rPr>
          <w:i/>
        </w:rPr>
        <w:t xml:space="preserve">et al.</w:t>
      </w:r>
      <w:r>
        <w:t xml:space="preserve">,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2.pdf"/>
      <w:bookmarkEnd w:id="28"/>
      <w:r>
        <w:t xml:space="preserve">Supplementary Figure 1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represents metabolism as a hypergraph, in which metabolites are represented as nodes and reactions as hyperedges. In this representation, an edge can connect more than two nodes. For example, a single hyperedge (denoted by a heavy black line) connects the metabolites glucose and ATP to glucose-6P, ADP, and Pi. For clarity, protons are not shown.</w:t>
      </w:r>
      <w:r>
        <w:t xml:space="preserve"> </w:t>
      </w:r>
      <w:r>
        <w:rPr>
          <w:b/>
        </w:rPr>
        <w:t xml:space="preserve">(C)</w:t>
      </w:r>
      <w:r>
        <w:t xml:space="preserve"> </w:t>
      </w:r>
      <w:r>
        <w:t xml:space="preserve">However, the algorithm used by the seed set framework requires metabolism to be represented as a metabolic network graph, in which an edge can connect only two nodes. In this representation, a reaction is represented by a set of edges connecting all substrates to all products. For example, the heavy hyperedge in (B) is now denoted by six separate edges connecting glucose to ADP, glucose to Pi, glucose to glucose-6P, ATP to ADP, ATP to Pi, and ATP to glucose-6P (again denoted by heavy black lines). Of these, only one (glucose to glucose-6P) is biologically meaningful.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Of the six heavy edges in (C), only the biologically meaningful one is retained, connecting glucose to glucose-6P (again denoted by a heavy black line). The images in (B) and (C) are modified from</w:t>
      </w:r>
      <w:r>
        <w:t xml:space="preserve"> </w:t>
      </w:r>
      <w:r>
        <w:t xml:space="preserve">(Ma and Zeng, 2003)</w:t>
      </w:r>
      <w:r>
        <w:t xml:space="preserve">.</w:t>
      </w:r>
    </w:p>
    <w:p>
      <w:pPr>
        <w:pStyle w:val="BodyText"/>
      </w:pPr>
      <w:r>
        <w:t xml:space="preserve"> </w:t>
      </w:r>
    </w:p>
    <w:p>
      <w:pPr>
        <w:pStyle w:val="Heading2"/>
      </w:pPr>
      <w:bookmarkStart w:id="29" w:name="supplementary-figure-2-figuresfig3-workflowfigures3.pdf"/>
      <w:bookmarkEnd w:id="29"/>
      <w:r>
        <w:t xml:space="preserve">Supplementary Figure 2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0" w:name="supplementary-figure-3-figuresfig3-workflowfigures4.pdf"/>
      <w:bookmarkEnd w:id="30"/>
      <w:r>
        <w:t xml:space="preserve">Supplementary Figure 3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1" w:name="supplementary-figure-4-figuresfig1-treetree-full.pdf"/>
      <w:bookmarkEnd w:id="31"/>
      <w:r>
        <w:t xml:space="preserve">Supplementary Figure 4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w:t>
      </w:r>
      <w:r>
        <w:t xml:space="preserve"> </w:t>
      </w:r>
      <w:r>
        <w:rPr>
          <w:i/>
        </w:rPr>
        <w:t xml:space="preserve">et al.</w:t>
      </w:r>
      <w:r>
        <w:t xml:space="preserve">, 2014)</w:t>
      </w:r>
      <w:r>
        <w:t xml:space="preserve">. The class Acidimicrobiia forms the outgroup.</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Gao B, Gupta RS. (2012). Phylogenetic Framework and Molecular Signatures for the Main Clades of the Phylum Actinobacteria.</w:t>
      </w:r>
      <w:r>
        <w:t xml:space="preserve"> </w:t>
      </w:r>
      <w:r>
        <w:rPr>
          <w:i/>
        </w:rPr>
        <w:t xml:space="preserve">Microbiology and Molecular Biology Reviews</w:t>
      </w:r>
      <w:r>
        <w:t xml:space="preserve"> </w:t>
      </w:r>
      <w:r>
        <w:rPr>
          <w:b/>
        </w:rPr>
        <w:t xml:space="preserve">76</w:t>
      </w:r>
      <w:r>
        <w:t xml:space="preserve">: 66–112.</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ff1a3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