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w:t>
      </w:r>
      <w:r>
        <w:t xml:space="preserve"> </w:t>
      </w:r>
      <w:r>
        <w:rPr>
          <w:i/>
        </w:rPr>
        <w:t xml:space="preserve">et al.</w:t>
      </w:r>
      <w:r>
        <w:t xml:space="preserve">, 2014)</w:t>
      </w:r>
      <w:r>
        <w:t xml:space="preserve">. The order Actinomycetales forms the outgroup. Vertical black bars indicate groups of genomes belonging to defined clades/tribe within the acI lineage, as determined using 16S rRNA gene sequences (for SAGs and bin FNEF8-2 bin_7 acI-B only) and a defined taxonomy</w:t>
      </w:r>
      <w:r>
        <w:t xml:space="preserve"> </w:t>
      </w:r>
      <w:r>
        <w:t xml:space="preserve">(Newton</w:t>
      </w:r>
      <w:r>
        <w:t xml:space="preserve"> </w:t>
      </w:r>
      <w:r>
        <w:rPr>
          <w:i/>
        </w:rPr>
        <w:t xml:space="preserve">et al.</w:t>
      </w:r>
      <w:r>
        <w:t xml:space="preserve">, 2011)</w:t>
      </w:r>
      <w:r>
        <w:t xml:space="preserve">. SAGs are indicated with italic text. Supplemental Figure S5 shows the position of the acI lineage relative to other orders within the class Actinobacteria.</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(Parks</w:t>
      </w:r>
      <w:r>
        <w:t xml:space="preserve"> </w:t>
      </w:r>
      <w:r>
        <w:rPr>
          <w:i/>
        </w:rPr>
        <w:t xml:space="preserve">et al.</w:t>
      </w:r>
      <w:r>
        <w:t xml:space="preserve">, 2015)</w:t>
      </w:r>
      <w:r>
        <w:t xml:space="preserve">. Error bars represent the 95% confidence interval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Microbial contigs are annotated using</w:t>
      </w:r>
      <w:r>
        <w:t xml:space="preserve"> </w:t>
      </w:r>
      <w:hyperlink r:id="rId24">
        <w:r>
          <w:rPr>
            <w:rStyle w:val="Hyperlink"/>
          </w:rPr>
          <w:t xml:space="preserve">KBase</w:t>
        </w:r>
      </w:hyperlink>
      <w:r>
        <w:t xml:space="preserve">, and a metabolic network reconstruction is built from the annotations. For each genome, the metabolic network reconstruction is converted to a metabolic network graph using custom Python scripts. In these graphs, metabolites are represented as nodes (circles) and reactions by arcs. Grey nodes and edges indicate components of the composite graph missing from that genome graph. Additional information on this step of the workflow is available in Figure S1.</w:t>
      </w:r>
      <w:r>
        <w:t xml:space="preserve"> </w:t>
      </w:r>
      <w:r>
        <w:rPr>
          <w:b/>
        </w:rPr>
        <w:t xml:space="preserve">(B)</w:t>
      </w:r>
      <w:r>
        <w:t xml:space="preserve"> </w:t>
      </w:r>
      <w:r>
        <w:t xml:space="preserve">A composite network graph is created for each clade by joining graphs for all genomes from that clade, and seed compounds are computed for the composite graph. Seed compounds are shown in red. Additional information on this step of the workflow is available in Figures S2, S3, and S4.</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w:t>
      </w:r>
      <w:r>
        <w:t xml:space="preserve"> </w:t>
      </w:r>
      <w:hyperlink r:id="rId25">
        <w:r>
          <w:rPr>
            <w:rStyle w:val="Hyperlink"/>
          </w:rPr>
          <w:t xml:space="preserve">BBMap</w:t>
        </w:r>
      </w:hyperlink>
      <w:r>
        <w:t xml:space="preserve">. Orthologous gene clusters are identified using OrthoMCL</w:t>
      </w:r>
      <w:r>
        <w:t xml:space="preserve"> </w:t>
      </w:r>
      <w:r>
        <w:t xml:space="preserve">(Li</w:t>
      </w:r>
      <w:r>
        <w:t xml:space="preserve"> </w:t>
      </w:r>
      <w:r>
        <w:rPr>
          <w:i/>
        </w:rPr>
        <w:t xml:space="preserve">et al.</w:t>
      </w:r>
      <w:r>
        <w:t xml:space="preserve">, 2003)</w:t>
      </w:r>
      <w:r>
        <w:t xml:space="preserve">. For each cluster, unique reads which map to any gene within that cluster are counted using HTSeq</w:t>
      </w:r>
      <w:r>
        <w:t xml:space="preserve"> </w:t>
      </w:r>
      <w:r>
        <w:t xml:space="preserve">(Anders</w:t>
      </w:r>
      <w:r>
        <w:t xml:space="preserve"> </w:t>
      </w:r>
      <w:r>
        <w:rPr>
          <w:i/>
        </w:rPr>
        <w:t xml:space="preserve">et al.</w:t>
      </w:r>
      <w:r>
        <w:t xml:space="preserve">, 2014)</w:t>
      </w:r>
      <w:r>
        <w:t xml:space="preserve"> </w:t>
      </w:r>
      <w:r>
        <w:t xml:space="preserve">the relative gene expression is computed using RPKM</w:t>
      </w:r>
      <w:r>
        <w:t xml:space="preserve"> </w:t>
      </w:r>
      <w:r>
        <w:t xml:space="preserve">(Mortazavi</w:t>
      </w:r>
      <w:r>
        <w:t xml:space="preserve"> </w:t>
      </w:r>
      <w:r>
        <w:rPr>
          <w:i/>
        </w:rPr>
        <w:t xml:space="preserve">et al.</w:t>
      </w:r>
      <w:r>
        <w:t xml:space="preserve">, 2008)</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average log2 RPKM of the encoding gene cluster. For multi-subunit transporters, the RPKM of the substrate-binding subunit was chosen.</w:t>
      </w:r>
    </w:p>
    <w:p>
      <w:pPr>
        <w:pStyle w:val="BodyText"/>
      </w:pPr>
      <w:r>
        <w:t xml:space="preserve"> </w:t>
      </w:r>
    </w:p>
    <w:p>
      <w:pPr>
        <w:pStyle w:val="Heading2"/>
      </w:pPr>
      <w:bookmarkStart w:id="28" w:name="supplementary-figure-1-figuresfig3-workflowfigures1.pdf"/>
      <w:bookmarkEnd w:id="28"/>
      <w:r>
        <w:t xml:space="preserve">Supplementary Figure 1 (figures/fig3-workflow/FigureS1.pdf)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(Ma and Zeng, 2003)</w:t>
      </w:r>
      <w:r>
        <w:t xml:space="preserve">.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29" w:name="supplementary-figure-2-figuresfig3-workflowfigures2.pdf"/>
      <w:bookmarkEnd w:id="29"/>
      <w:r>
        <w:t xml:space="preserve">Supplementary Figure 2 (figures/fig3-workflow/FigureS2.pdf)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red). These nodes and edges are added to the Actinobacterium_10 graph, giving the composite metabolic network graph for these two genomes (Actinobacterium_10 + ME00885). Then, this graph is compared to the graph for ME03864, and nodes and edges unique to ME03864 are identified (in red). These nodes and edges are added to the Actinobacterium_10 + ME00885 metabolic network graph, giving the composite metabolic network graph for clade acI-C.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30" w:name="supplementary-figure-3-figuresfig3-workflowfigures3.pdf"/>
      <w:bookmarkEnd w:id="30"/>
      <w:r>
        <w:t xml:space="preserve">Supplementary Figure 3 (figures/fig3-workflow/FigureS3.pdf)</w:t>
      </w:r>
    </w:p>
    <w:p>
      <w:pPr>
        <w:pStyle w:val="FirstParagraph"/>
      </w:pPr>
      <w:r>
        <w:t xml:space="preserve"> </w:t>
      </w:r>
    </w:p>
    <w:p>
      <w:pPr>
        <w:pStyle w:val="BodyText"/>
      </w:pPr>
      <w:r>
        <w:t xml:space="preserve">Identifying seed compounds in metabolic networks, using the same metabolic network as in Supplemental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31" w:name="supplementary-figure-4-figuresfig3-workflowfigures4.pdf"/>
      <w:bookmarkEnd w:id="31"/>
      <w:r>
        <w:t xml:space="preserve">Supplementary Figure 4 (figures/fig3-workflow/FigureS4.pdf)</w:t>
      </w:r>
    </w:p>
    <w:p>
      <w:pPr>
        <w:pStyle w:val="FirstParagraph"/>
      </w:pPr>
      <w:r>
        <w:t xml:space="preserve"> </w:t>
      </w:r>
    </w:p>
    <w:p>
      <w:pPr>
        <w:pStyle w:val="BodyText"/>
      </w:pPr>
      <w:r>
        <w:t xml:space="preserve">Complete composite metabolic network graph for clade acI-C, showing disconnected components and the giant strongly connected components. Gray nodes and edges represent disconnected components which are dropped prior to computing the network’s seed sets. Red nodes represent those present in the giant strongly connected component which contains the majority of the metabolites in the network.</w:t>
      </w:r>
    </w:p>
    <w:p>
      <w:pPr>
        <w:pStyle w:val="BodyText"/>
      </w:pPr>
      <w:r>
        <w:t xml:space="preserve"> </w:t>
      </w:r>
    </w:p>
    <w:p>
      <w:pPr>
        <w:pStyle w:val="Heading2"/>
      </w:pPr>
      <w:bookmarkStart w:id="32" w:name="supplementary-figure-5-figuresfig1-treetree-full.pdf"/>
      <w:bookmarkEnd w:id="32"/>
      <w:r>
        <w:t xml:space="preserve">Supplementary Figure 5 (figures/fig1-tree/tree-full.pdf)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(Gao and Gupta, 2012)</w:t>
      </w:r>
      <w:r>
        <w:t xml:space="preserve"> </w:t>
      </w:r>
      <w:r>
        <w:t xml:space="preserve">(Table S17).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w:t>
      </w:r>
      <w:r>
        <w:t xml:space="preserve"> </w:t>
      </w:r>
      <w:r>
        <w:rPr>
          <w:i/>
        </w:rPr>
        <w:t xml:space="preserve">et al.</w:t>
      </w:r>
      <w:r>
        <w:t xml:space="preserve">, 2014)</w:t>
      </w:r>
      <w:r>
        <w:t xml:space="preserve">. The class Acidimicrobiia forms the outgroup. Vertical black bars indicate groups of genomes belonging to defined clades/tribe within the acI lineage, as determined using 16S rRNA gene sequences (for SAGs and bin FNEF8-2 bin_7 acI-B only) and a defined taxonomy</w:t>
      </w:r>
      <w:r>
        <w:t xml:space="preserve"> </w:t>
      </w:r>
      <w:r>
        <w:t xml:space="preserve">(Newton</w:t>
      </w:r>
      <w:r>
        <w:t xml:space="preserve"> </w:t>
      </w:r>
      <w:r>
        <w:rPr>
          <w:i/>
        </w:rPr>
        <w:t xml:space="preserve">et al.</w:t>
      </w:r>
      <w:r>
        <w:t xml:space="preserve">, 2011)</w:t>
      </w:r>
      <w:r>
        <w:t xml:space="preserve">. SAGs are indicated with italic text.</w:t>
      </w:r>
    </w:p>
    <w:p>
      <w:pPr>
        <w:pStyle w:val="BodyText"/>
      </w:pPr>
      <w:r>
        <w:t xml:space="preserve"> </w:t>
      </w:r>
    </w:p>
    <w:p>
      <w:pPr>
        <w:pStyle w:val="Heading2"/>
      </w:pPr>
      <w:bookmarkStart w:id="33" w:name="references"/>
      <w:bookmarkEnd w:id="33"/>
      <w:r>
        <w:t xml:space="preserve">References</w:t>
      </w:r>
    </w:p>
    <w:p>
      <w:pPr>
        <w:pStyle w:val="FirstParagraph"/>
      </w:pPr>
      <w:r>
        <w:t xml:space="preserve"> </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Gao B, Gupta RS. (2012). Phylogenetic Framework and Molecular Signatures for the Main Clades of the Phylum Actinobacteria.</w:t>
      </w:r>
      <w:r>
        <w:t xml:space="preserve"> </w:t>
      </w:r>
      <w:r>
        <w:rPr>
          <w:i/>
        </w:rPr>
        <w:t xml:space="preserve">Microbiology and Molecular Biology Reviews</w:t>
      </w:r>
      <w:r>
        <w:t xml:space="preserve"> </w:t>
      </w:r>
      <w:r>
        <w:rPr>
          <w:b/>
        </w:rPr>
        <w:t xml:space="preserve">76</w:t>
      </w:r>
      <w:r>
        <w:t xml:space="preserve">: 66–112.</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2b7f9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